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Joyce Thomas Patrick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ROPER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6496 UNIVERSITY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SARASOTA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ROPER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20"/>
        <w:gridCol w:w="466"/>
        <w:gridCol w:w="629"/>
        <w:gridCol w:w="1184"/>
        <w:gridCol w:w="1013"/>
        <w:gridCol w:w="9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5,129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Spousal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reported are restricted shares granted to the reporting person pursuant to the Director Compensation Plan. The restricted shares vest on the 6-month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K. Stipancich,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2706" TargetMode="External"/><Relationship Id="rId5" Type="http://schemas.openxmlformats.org/officeDocument/2006/relationships/hyperlink" Target="http://www.sec.gov/cgi-bin/browse-edgar?action=getcompany&amp;CIK=0000882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3280</Characters>
  <CharactersWithSpaces>3810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