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4069d8k.htm"/>
      <w:bookmarkStart w:id="1" w:name="ksd12406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August 10, 2026 (August 6, 2026)</w:t>
      </w:r>
    </w:p>
    <w:p>
      <w:pPr>
        <w:pStyle w:val="TextBody"/>
        <w:bidi w:val="0"/>
        <w:spacing w:before="0" w:after="0"/>
        <w:jc w:val="center"/>
        <w:rPr>
          <w:rFonts w:ascii="Times New Roman" w:hAnsi="Times New Roman"/>
          <w:b/>
          <w:sz w:val="20"/>
        </w:rPr>
      </w:pPr>
      <w:r>
        <w:rPr>
          <w:rFonts w:ascii="Times New Roman" w:hAnsi="Times New Roman"/>
          <w:b/>
          <w:sz w:val="20"/>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ROPER TECHNOLOGIES,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180" w:after="0"/>
        <w:jc w:val="center"/>
        <w:rPr>
          <w:rFonts w:ascii="Times New Roman" w:hAnsi="Times New Roman"/>
          <w:b/>
          <w:caps/>
          <w:sz w:val="20"/>
        </w:rPr>
      </w:pPr>
      <w:r>
        <w:rPr>
          <w:rFonts w:ascii="Times New Roman" w:hAnsi="Times New Roman"/>
          <w:b/>
          <w:caps/>
          <w:sz w:val="20"/>
        </w:rPr>
        <w:t>Delaware</w:t>
      </w:r>
    </w:p>
    <w:p>
      <w:pPr>
        <w:pStyle w:val="TextBody"/>
        <w:bidi w:val="0"/>
        <w:spacing w:before="0" w:after="0"/>
        <w:jc w:val="center"/>
        <w:rPr>
          <w:rFonts w:ascii="Times New Roman" w:hAnsi="Times New Roman"/>
          <w:b/>
          <w:sz w:val="16"/>
        </w:rPr>
      </w:pPr>
      <w:r>
        <w:rPr>
          <w:rFonts w:ascii="Times New Roman" w:hAnsi="Times New Roman"/>
          <w:b/>
          <w:sz w:val="16"/>
        </w:rPr>
        <w:t>(State or other jurisdiction of incorporation)</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995"/>
        <w:gridCol w:w="60"/>
        <w:gridCol w:w="137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center"/>
              <w:rPr>
                <w:b/>
              </w:rPr>
            </w:pPr>
            <w:r>
              <w:rPr>
                <w:b/>
              </w:rPr>
              <w:t>1-12273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51-0263969</w:t>
            </w:r>
          </w:p>
        </w:tc>
      </w:tr>
      <w:tr>
        <w:trPr/>
        <w:tc>
          <w:tcPr>
            <w:tcW w:w="99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6170"/>
        <w:gridCol w:w="60"/>
        <w:gridCol w:w="1145"/>
      </w:tblGrid>
      <w:tr>
        <w:trPr/>
        <w:tc>
          <w:tcPr>
            <w:tcW w:w="6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6170" w:type="dxa"/>
            <w:tcBorders/>
            <w:vAlign w:val="center"/>
          </w:tcPr>
          <w:p>
            <w:pPr>
              <w:pStyle w:val="TableContents"/>
              <w:bidi w:val="0"/>
              <w:spacing w:before="0" w:after="283"/>
              <w:jc w:val="center"/>
              <w:rPr>
                <w:b/>
              </w:rPr>
            </w:pPr>
            <w:r>
              <w:rPr>
                <w:b/>
              </w:rPr>
              <w:t xml:space="preserve">6496 UNIVERSITY PARKWAY, SARASOTA, </w:t>
            </w:r>
            <w:r>
              <w:rPr>
                <w:b/>
                <w:caps/>
              </w:rPr>
              <w:t>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34240</w:t>
            </w:r>
          </w:p>
        </w:tc>
      </w:tr>
      <w:tr>
        <w:trPr/>
        <w:tc>
          <w:tcPr>
            <w:tcW w:w="61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(941) 556-2601</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245"/>
        <w:gridCol w:w="7220"/>
      </w:tblGrid>
      <w:tr>
        <w:trPr/>
        <w:tc>
          <w:tcPr>
            <w:tcW w:w="245"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095" w:type="dxa"/>
        <w:jc w:val="left"/>
        <w:tblInd w:w="0" w:type="dxa"/>
        <w:tblLayout w:type="fixed"/>
        <w:tblCellMar>
          <w:top w:w="0" w:type="dxa"/>
          <w:left w:w="0" w:type="dxa"/>
          <w:bottom w:w="0" w:type="dxa"/>
          <w:right w:w="0" w:type="dxa"/>
        </w:tblCellMar>
      </w:tblPr>
      <w:tblGrid>
        <w:gridCol w:w="3185"/>
        <w:gridCol w:w="60"/>
        <w:gridCol w:w="740"/>
        <w:gridCol w:w="60"/>
        <w:gridCol w:w="3050"/>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8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ROP</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5.04 Temporary Suspension of Trading Under Registrant’s Employee Benefit Plans. </w:t>
      </w:r>
    </w:p>
    <w:p>
      <w:pPr>
        <w:pStyle w:val="TextBody"/>
        <w:bidi w:val="0"/>
        <w:spacing w:before="120" w:after="0"/>
        <w:jc w:val="left"/>
        <w:rPr>
          <w:rFonts w:ascii="Times New Roman" w:hAnsi="Times New Roman"/>
          <w:sz w:val="20"/>
        </w:rPr>
      </w:pPr>
      <w:r>
        <w:rPr>
          <w:rFonts w:ascii="Times New Roman" w:hAnsi="Times New Roman"/>
          <w:sz w:val="20"/>
        </w:rPr>
        <w:t xml:space="preserve">On August 6, 2026, Roper Technologies, Inc. (the “Company”), in its capacity as plan administrator, provided notice to participants and beneficiaries under Section 101(i)(2)(E) of the Employee Retirement Income Security Act of 1974 regarding an anticipated blackout period (“Blackout Period”) under the Roper Technologies, Inc. Employees’ Retirement Savings 003 Plan and the Roper Technologies, Inc. Employees’ Retirement Savings 004 Plan (collectively, the “401(k) Plans”). The Blackout Period is necessary in connection with the transition of recordkeeping services for the 401(k) Plans from Vanguard to Fidelity Investments, effective October 2, 2026. </w:t>
      </w:r>
    </w:p>
    <w:p>
      <w:pPr>
        <w:pStyle w:val="TextBody"/>
        <w:bidi w:val="0"/>
        <w:spacing w:before="240" w:after="0"/>
        <w:jc w:val="left"/>
        <w:rPr>
          <w:rFonts w:ascii="Times New Roman" w:hAnsi="Times New Roman"/>
          <w:sz w:val="20"/>
        </w:rPr>
      </w:pPr>
      <w:r>
        <w:rPr>
          <w:rFonts w:ascii="Times New Roman" w:hAnsi="Times New Roman"/>
          <w:sz w:val="20"/>
        </w:rPr>
        <w:t xml:space="preserve">During the Blackout Period, participants and beneficiaries will be temporarily unable to change investment elections, transfer assets among investment funds, obtain loans or distributions, or conduct certain other transactions, including transactions involving the Company’s common stock held through the 401(k) Plans. </w:t>
      </w:r>
    </w:p>
    <w:p>
      <w:pPr>
        <w:pStyle w:val="TextBody"/>
        <w:bidi w:val="0"/>
        <w:spacing w:before="240" w:after="0"/>
        <w:jc w:val="left"/>
        <w:rPr>
          <w:rFonts w:ascii="Times New Roman" w:hAnsi="Times New Roman"/>
          <w:sz w:val="20"/>
        </w:rPr>
      </w:pPr>
      <w:r>
        <w:rPr>
          <w:rFonts w:ascii="Times New Roman" w:hAnsi="Times New Roman"/>
          <w:sz w:val="20"/>
        </w:rPr>
        <w:t xml:space="preserve">The Blackout Period is expected to begin at 4:00 p.m. Eastern Time on September 25, 2026, and end during the week of October 18,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7, 2026, the Company provided notice of the Blackout Period to its directors and executive officers pursuant to Section 306(a) of the Sarbanes-Oxley Act of 2002 and Rule 104 of Regulation BTR under the Securities Exchange Act of 1934, as amended. The notice informed the Company’s directors and executive officers that, during the Blackout Period and subject to certain exceptions, they will be prohibited from directly or indirectly purchasing, selling, or otherwise acquiring or transferring any equity security of the Company acquired in connection with their service or employment as a director or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A copy of the notice is filed as Exhibit 99.1 and incorporated herein by reference. During the Blackout Period and for a period of two years following its end, shareholders and other interested persons may obtain, without charge, information regarding the actual beginning and ending dates of the Blackout Period by contacting the 401(k) Plan Administrator, Roper Technologies, Inc., 6496 University Parkway, Sarasota, Florida 34240, or by telephone at (941) 556-2601.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Exhibits</w:t>
      </w:r>
      <w:r>
        <w:rPr>
          <w:rFonts w:ascii="Times New Roman" w:hAnsi="Times New Roman"/>
          <w:sz w:val="20"/>
        </w:rPr>
        <w:t xml:space="preserve">.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455"/>
        <w:gridCol w:w="120"/>
        <w:gridCol w:w="768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24069dex991.htm">
              <w:r>
                <w:rPr>
                  <w:rStyle w:val="InternetLink"/>
                </w:rPr>
                <w:t xml:space="preserve">Notice to Directors and Executive Officers dated August 6,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51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675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5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ROPER TECHNOLOGIES, INC.</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81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K. Stipancich</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John K. Stipancich</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Executive Vice President, Chief Legal Officer and Corporate Secretary</w:t>
            </w:r>
          </w:p>
        </w:tc>
      </w:tr>
    </w:tbl>
    <w:p>
      <w:pPr>
        <w:pStyle w:val="TextBody"/>
        <w:bidi w:val="0"/>
        <w:spacing w:before="0" w:after="0"/>
        <w:jc w:val="right"/>
        <w:rPr>
          <w:rFonts w:ascii="Times New Roman" w:hAnsi="Times New Roman"/>
          <w:b/>
          <w:sz w:val="20"/>
        </w:rPr>
      </w:pPr>
      <w:bookmarkStart w:id="2" w:name="d124069dex991.htm"/>
      <w:bookmarkStart w:id="3" w:name="ksd124069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Blackout Period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Roper Technologies, Inc. Employees’ Retirement Savings Plans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3"/>
        <w:gridCol w:w="125"/>
        <w:gridCol w:w="9227"/>
      </w:tblGrid>
      <w:tr>
        <w:trPr/>
        <w:tc>
          <w:tcPr>
            <w:tcW w:w="85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9227" w:type="dxa"/>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b/>
                <w:sz w:val="22"/>
              </w:rPr>
            </w:pPr>
            <w:r>
              <w:rPr>
                <w:b/>
                <w:sz w:val="22"/>
              </w:rPr>
              <w:t>To:</w:t>
            </w:r>
          </w:p>
        </w:tc>
        <w:tc>
          <w:tcPr>
            <w:tcW w:w="125" w:type="dxa"/>
            <w:tcBorders/>
            <w:vAlign w:val="bottom"/>
          </w:tcPr>
          <w:p>
            <w:pPr>
              <w:pStyle w:val="TableContents"/>
              <w:bidi w:val="0"/>
              <w:spacing w:before="0" w:after="283"/>
              <w:jc w:val="left"/>
              <w:rPr/>
            </w:pPr>
            <w:r>
              <w:rPr/>
              <w:t>  </w:t>
            </w:r>
          </w:p>
        </w:tc>
        <w:tc>
          <w:tcPr>
            <w:tcW w:w="9227" w:type="dxa"/>
            <w:tcBorders/>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of Roper Technologies, Inc.</w:t>
            </w:r>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b/>
                <w:sz w:val="22"/>
              </w:rPr>
            </w:pPr>
            <w:r>
              <w:rPr>
                <w:b/>
                <w:sz w:val="22"/>
              </w:rPr>
              <w:t>From:</w:t>
            </w:r>
          </w:p>
        </w:tc>
        <w:tc>
          <w:tcPr>
            <w:tcW w:w="125" w:type="dxa"/>
            <w:tcBorders/>
            <w:vAlign w:val="bottom"/>
          </w:tcPr>
          <w:p>
            <w:pPr>
              <w:pStyle w:val="TableContents"/>
              <w:bidi w:val="0"/>
              <w:spacing w:before="0" w:after="283"/>
              <w:jc w:val="left"/>
              <w:rPr/>
            </w:pPr>
            <w:r>
              <w:rPr/>
              <w:t>  </w:t>
            </w:r>
          </w:p>
        </w:tc>
        <w:tc>
          <w:tcPr>
            <w:tcW w:w="9227" w:type="dxa"/>
            <w:tcBorders/>
          </w:tcPr>
          <w:p>
            <w:pPr>
              <w:pStyle w:val="TableContents"/>
              <w:bidi w:val="0"/>
              <w:spacing w:before="0" w:after="0"/>
              <w:jc w:val="left"/>
              <w:rPr>
                <w:rFonts w:ascii="Times New Roman" w:hAnsi="Times New Roman"/>
                <w:sz w:val="20"/>
              </w:rPr>
            </w:pPr>
            <w:r>
              <w:rPr>
                <w:rFonts w:ascii="Times New Roman" w:hAnsi="Times New Roman"/>
                <w:sz w:val="20"/>
              </w:rPr>
              <w:t>Courtney Albury</w:t>
            </w:r>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b/>
                <w:sz w:val="22"/>
              </w:rPr>
            </w:pPr>
            <w:r>
              <w:rPr>
                <w:b/>
                <w:sz w:val="22"/>
              </w:rPr>
              <w:t>Date:</w:t>
            </w:r>
          </w:p>
        </w:tc>
        <w:tc>
          <w:tcPr>
            <w:tcW w:w="125" w:type="dxa"/>
            <w:tcBorders/>
            <w:vAlign w:val="bottom"/>
          </w:tcPr>
          <w:p>
            <w:pPr>
              <w:pStyle w:val="TableContents"/>
              <w:bidi w:val="0"/>
              <w:spacing w:before="0" w:after="283"/>
              <w:jc w:val="left"/>
              <w:rPr/>
            </w:pPr>
            <w:r>
              <w:rPr/>
              <w:t>  </w:t>
            </w:r>
          </w:p>
        </w:tc>
        <w:tc>
          <w:tcPr>
            <w:tcW w:w="9227" w:type="dxa"/>
            <w:tcBorders/>
          </w:tcPr>
          <w:p>
            <w:pPr>
              <w:pStyle w:val="TableContents"/>
              <w:bidi w:val="0"/>
              <w:spacing w:before="0" w:after="0"/>
              <w:jc w:val="left"/>
              <w:rPr>
                <w:rFonts w:ascii="Times New Roman" w:hAnsi="Times New Roman"/>
                <w:sz w:val="20"/>
              </w:rPr>
            </w:pPr>
            <w:r>
              <w:rPr>
                <w:rFonts w:ascii="Times New Roman" w:hAnsi="Times New Roman"/>
                <w:sz w:val="20"/>
              </w:rPr>
              <w:t>August 6, 2026</w:t>
            </w:r>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b/>
                <w:sz w:val="22"/>
              </w:rPr>
            </w:pPr>
            <w:r>
              <w:rPr>
                <w:b/>
                <w:sz w:val="22"/>
              </w:rPr>
              <w:t>Subject:</w:t>
            </w:r>
          </w:p>
        </w:tc>
        <w:tc>
          <w:tcPr>
            <w:tcW w:w="125" w:type="dxa"/>
            <w:tcBorders/>
            <w:vAlign w:val="bottom"/>
          </w:tcPr>
          <w:p>
            <w:pPr>
              <w:pStyle w:val="TableContents"/>
              <w:bidi w:val="0"/>
              <w:spacing w:before="0" w:after="283"/>
              <w:jc w:val="left"/>
              <w:rPr/>
            </w:pPr>
            <w:r>
              <w:rPr/>
              <w:t>  </w:t>
            </w:r>
          </w:p>
        </w:tc>
        <w:tc>
          <w:tcPr>
            <w:tcW w:w="9227" w:type="dxa"/>
            <w:tcBorders/>
          </w:tcPr>
          <w:p>
            <w:pPr>
              <w:pStyle w:val="TableContents"/>
              <w:bidi w:val="0"/>
              <w:spacing w:before="0" w:after="0"/>
              <w:jc w:val="left"/>
              <w:rPr>
                <w:rFonts w:ascii="Times New Roman" w:hAnsi="Times New Roman"/>
                <w:sz w:val="20"/>
              </w:rPr>
            </w:pPr>
            <w:r>
              <w:rPr>
                <w:rFonts w:ascii="Times New Roman" w:hAnsi="Times New Roman"/>
                <w:sz w:val="20"/>
              </w:rPr>
              <w:t>Notice of Blackout Trading Restriction Period</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notice is being provided pursuant to Section 306(a) of the Sarbanes-Oxley Act of 2002 and Rule 104 of Regulation Blackout Trading Restriction (“Regulation BTR”) under the Securities Exchange Act of 1934,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Securities Subject to the BTR Blackout Period </w:t>
      </w:r>
    </w:p>
    <w:p>
      <w:pPr>
        <w:pStyle w:val="TextBody"/>
        <w:bidi w:val="0"/>
        <w:spacing w:before="120" w:after="0"/>
        <w:jc w:val="left"/>
        <w:rPr>
          <w:rFonts w:ascii="Times New Roman" w:hAnsi="Times New Roman"/>
          <w:sz w:val="20"/>
        </w:rPr>
      </w:pPr>
      <w:r>
        <w:rPr>
          <w:rFonts w:ascii="Times New Roman" w:hAnsi="Times New Roman"/>
          <w:sz w:val="20"/>
        </w:rPr>
        <w:t xml:space="preserve">During the blackout trading restriction period described below (the “BTR Blackout Period”), you will be prohibited, subject to certain exceptions, from directly or indirectly purchasing, selling, or otherwise acquiring or transferring any equity security of Roper Technologies, Inc. (the “Company”) that you acquired in connection with your service or employment as a director or executive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subject to this restriction include the Company’s common stock, par value $0.01 per share, and any derivative security relating to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BTR Blackout Period is in addition to any quarterly or event-specific blackout period applicable under the Company’s Securities Transaction Compliance Program. </w:t>
      </w:r>
    </w:p>
    <w:p>
      <w:pPr>
        <w:pStyle w:val="TextBody"/>
        <w:bidi w:val="0"/>
        <w:spacing w:before="240" w:after="0"/>
        <w:jc w:val="left"/>
        <w:rPr>
          <w:rFonts w:ascii="Times New Roman" w:hAnsi="Times New Roman"/>
          <w:b/>
          <w:i/>
          <w:sz w:val="20"/>
        </w:rPr>
      </w:pPr>
      <w:r>
        <w:rPr>
          <w:rFonts w:ascii="Times New Roman" w:hAnsi="Times New Roman"/>
          <w:b/>
          <w:i/>
          <w:sz w:val="20"/>
        </w:rPr>
        <w:t xml:space="preserve">Reason for BTR Blackout Period </w:t>
      </w:r>
    </w:p>
    <w:p>
      <w:pPr>
        <w:pStyle w:val="TextBody"/>
        <w:bidi w:val="0"/>
        <w:spacing w:before="120" w:after="0"/>
        <w:jc w:val="left"/>
        <w:rPr>
          <w:rFonts w:ascii="Times New Roman" w:hAnsi="Times New Roman"/>
          <w:sz w:val="20"/>
        </w:rPr>
      </w:pPr>
      <w:r>
        <w:rPr>
          <w:rFonts w:ascii="Times New Roman" w:hAnsi="Times New Roman"/>
          <w:sz w:val="20"/>
        </w:rPr>
        <w:t xml:space="preserve">Recordkeeping services under the Roper Technologies, Inc. Employees’ Retirement Savings 003 Plan and the Roper Technologies, Inc. Employees’ Retirement Savings 004 Plan (collectively, the “Plans”) will transition from Vanguard to Fidelity Investments, effective October 2, 2026. </w:t>
      </w:r>
    </w:p>
    <w:p>
      <w:pPr>
        <w:pStyle w:val="TextBody"/>
        <w:bidi w:val="0"/>
        <w:spacing w:before="240" w:after="0"/>
        <w:jc w:val="left"/>
        <w:rPr>
          <w:rFonts w:ascii="Times New Roman" w:hAnsi="Times New Roman"/>
          <w:sz w:val="20"/>
        </w:rPr>
      </w:pPr>
      <w:r>
        <w:rPr>
          <w:rFonts w:ascii="Times New Roman" w:hAnsi="Times New Roman"/>
          <w:sz w:val="20"/>
        </w:rPr>
        <w:t xml:space="preserve">The BTR Blackout Period is necessary to permit the administrative transfer of participant accounts under the Plans, including accounts invested in Company common stock, to the new recordkeeping platform. </w:t>
      </w:r>
    </w:p>
    <w:p>
      <w:pPr>
        <w:pStyle w:val="TextBody"/>
        <w:bidi w:val="0"/>
        <w:spacing w:before="240" w:after="0"/>
        <w:jc w:val="left"/>
        <w:rPr>
          <w:rFonts w:ascii="Times New Roman" w:hAnsi="Times New Roman"/>
          <w:sz w:val="20"/>
        </w:rPr>
      </w:pPr>
      <w:r>
        <w:rPr>
          <w:rFonts w:ascii="Times New Roman" w:hAnsi="Times New Roman"/>
          <w:sz w:val="20"/>
        </w:rPr>
        <w:t xml:space="preserve">During the corresponding blackout period under the Plans, participants and beneficiaries will be temporarily unable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sell or otherwise acquire or transfer assets into or out of any investment alternative, including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existing investment elections or contribution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distributions or withdrawals;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loans;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rollover contributions;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loan repayments by check.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Participants and beneficiaries under the Plans have received a separate notice regarding the blackout period applicable to their accounts under the Plans. The period during which Plan participants and beneficiaries will be unable to conduct the transactions described above is expected to correspond to the BTR Blackout Period described below. </w:t>
      </w:r>
    </w:p>
    <w:p>
      <w:pPr>
        <w:pStyle w:val="TextBody"/>
        <w:bidi w:val="0"/>
        <w:spacing w:before="240" w:after="0"/>
        <w:jc w:val="left"/>
        <w:rPr>
          <w:rFonts w:ascii="Times New Roman" w:hAnsi="Times New Roman"/>
          <w:b/>
          <w:i/>
          <w:sz w:val="20"/>
        </w:rPr>
      </w:pPr>
      <w:r>
        <w:rPr>
          <w:rFonts w:ascii="Times New Roman" w:hAnsi="Times New Roman"/>
          <w:b/>
          <w:i/>
          <w:sz w:val="20"/>
        </w:rPr>
        <w:t xml:space="preserve">Length of the BTR Blackout Period </w:t>
      </w:r>
    </w:p>
    <w:p>
      <w:pPr>
        <w:pStyle w:val="TextBody"/>
        <w:bidi w:val="0"/>
        <w:spacing w:before="120" w:after="0"/>
        <w:jc w:val="left"/>
        <w:rPr>
          <w:rFonts w:ascii="Times New Roman" w:hAnsi="Times New Roman"/>
          <w:sz w:val="20"/>
        </w:rPr>
      </w:pPr>
      <w:r>
        <w:rPr>
          <w:rFonts w:ascii="Times New Roman" w:hAnsi="Times New Roman"/>
          <w:sz w:val="20"/>
        </w:rPr>
        <w:t xml:space="preserve">The BTR Blackout Period is expected to begin at </w:t>
      </w:r>
      <w:r>
        <w:rPr>
          <w:rFonts w:ascii="Times New Roman" w:hAnsi="Times New Roman"/>
          <w:b/>
          <w:sz w:val="20"/>
        </w:rPr>
        <w:t>4:00 p.m. Eastern Time on September</w:t>
      </w:r>
      <w:r>
        <w:rPr>
          <w:rFonts w:ascii="Times New Roman" w:hAnsi="Times New Roman"/>
          <w:sz w:val="20"/>
        </w:rPr>
        <w:t> </w:t>
      </w:r>
      <w:r>
        <w:rPr>
          <w:rFonts w:ascii="Times New Roman" w:hAnsi="Times New Roman"/>
          <w:b/>
          <w:sz w:val="20"/>
        </w:rPr>
        <w:t>25, 2026</w:t>
      </w:r>
      <w:r>
        <w:rPr>
          <w:rFonts w:ascii="Times New Roman" w:hAnsi="Times New Roman"/>
          <w:sz w:val="20"/>
        </w:rPr>
        <w:t xml:space="preserve"> and end during the </w:t>
      </w:r>
      <w:r>
        <w:rPr>
          <w:rFonts w:ascii="Times New Roman" w:hAnsi="Times New Roman"/>
          <w:b/>
          <w:sz w:val="20"/>
        </w:rPr>
        <w:t>week of October</w:t>
      </w:r>
      <w:r>
        <w:rPr>
          <w:rFonts w:ascii="Times New Roman" w:hAnsi="Times New Roman"/>
          <w:sz w:val="20"/>
        </w:rPr>
        <w:t> </w:t>
      </w:r>
      <w:r>
        <w:rPr>
          <w:rFonts w:ascii="Times New Roman" w:hAnsi="Times New Roman"/>
          <w:b/>
          <w:sz w:val="20"/>
        </w:rPr>
        <w:t>18, 2026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expected beginning or ending date of the BTR Blackout Period changes, the Company will provide you with notice of the revised dates as soon as reasonably practicable.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Exceptions and Required Preclearance </w:t>
      </w:r>
    </w:p>
    <w:p>
      <w:pPr>
        <w:pStyle w:val="TextBody"/>
        <w:bidi w:val="0"/>
        <w:spacing w:before="120" w:after="0"/>
        <w:jc w:val="left"/>
        <w:rPr>
          <w:rFonts w:ascii="Times New Roman" w:hAnsi="Times New Roman"/>
          <w:sz w:val="20"/>
        </w:rPr>
      </w:pPr>
      <w:r>
        <w:rPr>
          <w:rFonts w:ascii="Times New Roman" w:hAnsi="Times New Roman"/>
          <w:sz w:val="20"/>
        </w:rPr>
        <w:t xml:space="preserve">Certain transactions may be exempt from the prohibition imposed by Regulation BTR. You should not engage in any transaction involving Company securities during the BTR Blackout Period without first obtaining preclearance from the Company’s Legal Department.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You may obtain, without charge, the actual beginning and ending dates of the BTR Blackout Period, both during the BTR Blackout Period and for a period of two years after it ends, and obtain answers to other questions regarding the BTR Blackout Period by contacting: </w:t>
      </w:r>
    </w:p>
    <w:p>
      <w:pPr>
        <w:pStyle w:val="TextBody"/>
        <w:bidi w:val="0"/>
        <w:spacing w:before="240" w:after="0"/>
        <w:jc w:val="left"/>
        <w:rPr>
          <w:rFonts w:ascii="Times New Roman" w:hAnsi="Times New Roman"/>
          <w:sz w:val="20"/>
        </w:rPr>
      </w:pPr>
      <w:r>
        <w:rPr>
          <w:rFonts w:ascii="Times New Roman" w:hAnsi="Times New Roman"/>
          <w:sz w:val="20"/>
        </w:rPr>
        <w:t xml:space="preserve">Courtney Albury </w:t>
      </w:r>
    </w:p>
    <w:p>
      <w:pPr>
        <w:pStyle w:val="TextBody"/>
        <w:bidi w:val="0"/>
        <w:spacing w:before="0" w:after="0"/>
        <w:jc w:val="left"/>
        <w:rPr>
          <w:rFonts w:ascii="Times New Roman" w:hAnsi="Times New Roman"/>
          <w:sz w:val="20"/>
        </w:rPr>
      </w:pPr>
      <w:r>
        <w:rPr>
          <w:rFonts w:ascii="Times New Roman" w:hAnsi="Times New Roman"/>
          <w:sz w:val="20"/>
        </w:rPr>
        <w:t xml:space="preserve">401(k) Plan Administrator </w:t>
      </w:r>
    </w:p>
    <w:p>
      <w:pPr>
        <w:pStyle w:val="TextBody"/>
        <w:bidi w:val="0"/>
        <w:spacing w:before="0" w:after="0"/>
        <w:jc w:val="left"/>
        <w:rPr>
          <w:rFonts w:ascii="Times New Roman" w:hAnsi="Times New Roman"/>
          <w:sz w:val="20"/>
        </w:rPr>
      </w:pPr>
      <w:r>
        <w:rPr>
          <w:rFonts w:ascii="Times New Roman" w:hAnsi="Times New Roman"/>
          <w:sz w:val="20"/>
        </w:rPr>
        <w:t xml:space="preserve">Roper Technologies, Inc. </w:t>
      </w:r>
    </w:p>
    <w:p>
      <w:pPr>
        <w:pStyle w:val="TextBody"/>
        <w:bidi w:val="0"/>
        <w:spacing w:before="0" w:after="0"/>
        <w:jc w:val="left"/>
        <w:rPr>
          <w:rFonts w:ascii="Times New Roman" w:hAnsi="Times New Roman"/>
          <w:sz w:val="20"/>
        </w:rPr>
      </w:pPr>
      <w:r>
        <w:rPr>
          <w:rFonts w:ascii="Times New Roman" w:hAnsi="Times New Roman"/>
          <w:sz w:val="20"/>
        </w:rPr>
        <w:t xml:space="preserve">6496 University Parkway </w:t>
      </w:r>
    </w:p>
    <w:p>
      <w:pPr>
        <w:pStyle w:val="TextBody"/>
        <w:bidi w:val="0"/>
        <w:spacing w:before="0" w:after="0"/>
        <w:jc w:val="left"/>
        <w:rPr>
          <w:rFonts w:ascii="Times New Roman" w:hAnsi="Times New Roman"/>
          <w:sz w:val="20"/>
        </w:rPr>
      </w:pPr>
      <w:r>
        <w:rPr>
          <w:rFonts w:ascii="Times New Roman" w:hAnsi="Times New Roman"/>
          <w:sz w:val="20"/>
        </w:rPr>
        <w:t xml:space="preserve">Sarasota, Florida 34240 </w:t>
      </w:r>
    </w:p>
    <w:p>
      <w:pPr>
        <w:pStyle w:val="TextBody"/>
        <w:bidi w:val="0"/>
        <w:spacing w:before="0" w:after="0"/>
        <w:jc w:val="left"/>
        <w:rPr>
          <w:rFonts w:ascii="Times New Roman" w:hAnsi="Times New Roman"/>
          <w:sz w:val="20"/>
        </w:rPr>
      </w:pPr>
      <w:r>
        <w:rPr>
          <w:rFonts w:ascii="Times New Roman" w:hAnsi="Times New Roman"/>
          <w:sz w:val="20"/>
        </w:rPr>
        <w:t xml:space="preserve">Telephone: (941) 556-2601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1258</Words>
  <Characters>7256</Characters>
  <CharactersWithSpaces>8513</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