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ROPER TECHNOLGIES,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WindAcre Partnership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8,630,200.00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8,630,200.00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8,630,200.00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8.55 %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Master Fund owns 8,630,200 Shares of Common Stock, consisting of 8,630,200 Shares of Common Stock directly held. By virtue of their relationships with the Master Fund discussed in further detail in Item 2, each of WindAcre and Mr. Amin may be deemed to beneficially own the Shares owned by the Master Fund. This Schedule 13G reports an aggregate of 8,630,200 Shares of Common Stock, consisting of 8,630,200 Shares of Common Stock directly held. The filing of this Schedule 13G shall not be construed as an admission that the Reporting Persons are, for purposes of Section 13(d) of the Securities Exchange Act of 1934, as amended, the beneficial owners of any of the Shares reported herein. Each of the Reporting Persons specifically disclaims beneficial ownership of the Shares reported herein that are not directly owned by such Reporting Person. The following ownership percentages are based on 100,917,359 Shares outstanding, which is comprised of 100,917,359 Shares of Common Stock outstanding as of April 30, 2026, as reported in the Issuer's Form 10-Q dated March 31, 2026. The 8,630,200 Shares owned by the Master Fund represent approximately 8.55% of the outstanding Shares. By virtue of its relationship with the Master Fund discussed in further detail in Item 2, WindAcre may be deemed to beneficially own 8,630,200 Shares, representing approximately 8.55% of the outstanding Shares and Mr. Amin may be deemed to beneficially own 8,630,200 Shares representing approximately 8.55% of the outstanding Shares. This schedule 13G reports an aggregate of 8,630,200 Shares, representing approximately 8.55% of the outstanding Shares.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WindAcre Partnership Master Fund,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8,630,200.00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8,630,200.00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8,630,200.00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8.55 %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Master Fund owns 8,630,200 Shares of Common Stock, consisting of 8,630,200 Shares of Common Stock directly held. By virtue of their relationships with the Master Fund discussed in further detail in Item 2, each of WindAcre and Mr. Amin may be deemed to beneficially own the Shares owned by the Master Fund. This Schedule 13G reports an aggregate of 8,630,200 Shares of Common Stock, consisting of 8,630,200 Shares of Common Stock directly held. The filing of this Schedule 13G shall not be construed as an admission that the Reporting Persons are, for purposes of Section 13(d) of the Securities Exchange Act of 1934, as amended, the beneficial owners of any of the Shares reported herein. Each of the Reporting Persons specifically disclaims beneficial ownership of the Shares reported herein that are not directly owned by such Reporting Person. The following ownership percentages are based on 100,917,359 Shares outstanding, which is comprised of 100,917,359 Shares of Common Stock outstanding as of April 30, 2026, as reported in the Issuer's Form 10-Q dated March 31, 2026. The 8,630,200 Shares owned by the Master Fund represent approximately 8.55% of the outstanding Shares. By virtue of its relationship with the Master Fund discussed in further detail in Item 2, WindAcre may be deemed to beneficially own 8,630,200 Shares, representing approximately 8.55% of the outstanding Shares and Mr. Amin may be deemed to beneficially own 8,630,200 Shares representing approximately 8.55% of the outstanding Shares. This schedule 13G reports an aggregate of 8,630,200 Shares, representing approximately 8.55% of the outstanding Shares.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Snehal Rajnikant Amin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8,630,200.00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8,630,200.00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8,630,200.00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8.55 %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Master Fund owns 8,630,200 Shares of Common Stock, consisting of 8,630,200 Shares of Common Stock directly held. By virtue of their relationships with the Master Fund discussed in further detail in Item 2, each of WindAcre and Mr. Amin may be deemed to beneficially own the Shares owned by the Master Fund. This Schedule 13G reports an aggregate of 8,630,200 Shares of Common Stock, consisting of 8,630,200 Shares of Common Stock directly held. The filing of this Schedule 13G shall not be construed as an admission that the Reporting Persons are, for purposes of Section 13(d) of the Securities Exchange Act of 1934, as amended, the beneficial owners of any of the Shares reported herein. Each of the Reporting Persons specifically disclaims beneficial ownership of the Shares reported herein that are not directly owned by such Reporting Person. The following ownership percentages are based on 100,917,359 Shares outstanding, which is comprised of 100,917,359 Shares of Common Stock outstanding as of April 30, 2026, as reported in the Issuer's Form 10-Q dated March 31, 2026. The 8,630,200 Shares owned by the Master Fund represent approximately 8.55% of the outstanding Shares. By virtue of its relationship with the Master Fund discussed in further detail in Item 2, WindAcre may be deemed to beneficially own 8,630,200 Shares, representing approximately 8.55% of the outstanding Shares and Mr. Amin may be deemed to beneficially own 8,630,200 Shares representing approximately 8.55% of the outstanding Shares. This schedule 13G reports an aggregate of 8,630,200 Shares, representing approximately 8.55% of the outstanding Shares.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19"/>
        <w:gridCol w:w="8931"/>
        <w:gridCol w:w="155"/>
      </w:tblGrid>
      <w:tr>
        <w:trPr/>
        <w:tc>
          <w:tcPr>
            <w:tcW w:w="1119" w:type="dxa"/>
            <w:tcBorders/>
            <w:vAlign w:val="center"/>
          </w:tcPr>
          <w:p>
            <w:pPr>
              <w:pStyle w:val="TableContents"/>
              <w:bidi w:val="0"/>
              <w:spacing w:before="0" w:after="283"/>
              <w:jc w:val="left"/>
              <w:rPr/>
            </w:pPr>
            <w:r>
              <w:rPr/>
              <w:t>Item 1.</w:t>
            </w:r>
          </w:p>
        </w:tc>
        <w:tc>
          <w:tcPr>
            <w:tcW w:w="893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Name of issuer: </w:t>
            </w:r>
          </w:p>
          <w:p>
            <w:pPr>
              <w:pStyle w:val="TableContents"/>
              <w:bidi w:val="0"/>
              <w:spacing w:before="0" w:after="0"/>
              <w:jc w:val="left"/>
              <w:rPr/>
            </w:pPr>
            <w:r>
              <w:rPr/>
              <w:t>ROPER TECHNOLGIES, INC.</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6496 University Parkway, Sarasota, FL, 34240</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2.</w:t>
            </w:r>
          </w:p>
        </w:tc>
        <w:tc>
          <w:tcPr>
            <w:tcW w:w="893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jointly filed by: - The WindAcre Partnership LLC, a Delaware limited liability company, ("WindAcre") - The WindAcre Partnership Master Fund LP, an exempted limited partnership established in the Cayman Islands ("Master Fund") - Snehal Rajnikant Amin, as the principal beneficial owner of The WindAcre Partnership LLC and the only beneficial owner holding more than 5% ("Mr. Amin"). Each of the foregoing is referred to as a "Reporting Person" and collectively as the "Reporting Persons." WindAcre serves as the investment manager of the Master Fund. Mr. Amin is the managing member of WindAcre. By virtue of these relationships, each of WindAcre and Mr. Amin may be deemed to beneficially own the Issuer's Common Shares directly owned by the Master Fund.</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WindAcre is 2200 Post Oak Blvd., Suite 1580, Houston, Texas 77056. The principal business address of the Master Fund is Ogier Global (Cayman) Limited, 89 Nexus Way, Camana Bay, Grand Cayman KY1-9009, Cayman Islands.</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jc w:val="left"/>
              <w:rPr/>
            </w:pPr>
            <w:r>
              <w:rPr/>
              <w:t xml:space="preserve">Citizenship: </w:t>
            </w:r>
          </w:p>
          <w:p>
            <w:pPr>
              <w:pStyle w:val="TableContents"/>
              <w:bidi w:val="0"/>
              <w:spacing w:before="0" w:after="0"/>
              <w:jc w:val="left"/>
              <w:rPr/>
            </w:pPr>
            <w:r>
              <w:rPr/>
              <w:t>Mr. Amin is a citizen of the United States of America. WindAcre is a limited liability company formed under the laws of the State of Delaware. The Master Fund is an exempted company formed under the laws of the Cayman Islands</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(d)</w:t>
            </w:r>
          </w:p>
        </w:tc>
        <w:tc>
          <w:tcPr>
            <w:tcW w:w="893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(e)</w:t>
            </w:r>
          </w:p>
        </w:tc>
        <w:tc>
          <w:tcPr>
            <w:tcW w:w="893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3.</w:t>
            </w:r>
          </w:p>
        </w:tc>
        <w:tc>
          <w:tcPr>
            <w:tcW w:w="893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(d)</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(e)</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(f)</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(g)</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(h)</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(j)</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(k)</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9086" w:type="dxa"/>
            <w:gridSpan w:val="2"/>
            <w:tcBorders/>
            <w:vAlign w:val="center"/>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4.</w:t>
            </w:r>
          </w:p>
        </w:tc>
        <w:tc>
          <w:tcPr>
            <w:tcW w:w="893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8,630,200</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8.55  %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8,630,200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8,630,200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5.</w:t>
            </w:r>
          </w:p>
        </w:tc>
        <w:tc>
          <w:tcPr>
            <w:tcW w:w="893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6.</w:t>
            </w:r>
          </w:p>
        </w:tc>
        <w:tc>
          <w:tcPr>
            <w:tcW w:w="893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7.</w:t>
            </w:r>
          </w:p>
        </w:tc>
        <w:tc>
          <w:tcPr>
            <w:tcW w:w="893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8.</w:t>
            </w:r>
          </w:p>
        </w:tc>
        <w:tc>
          <w:tcPr>
            <w:tcW w:w="893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9.</w:t>
            </w:r>
          </w:p>
        </w:tc>
        <w:tc>
          <w:tcPr>
            <w:tcW w:w="893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722" w:type="dxa"/>
        <w:jc w:val="left"/>
        <w:tblInd w:w="0" w:type="dxa"/>
        <w:tblLayout w:type="fixed"/>
        <w:tblCellMar>
          <w:top w:w="28" w:type="dxa"/>
          <w:left w:w="28" w:type="dxa"/>
          <w:bottom w:w="28" w:type="dxa"/>
          <w:right w:w="28" w:type="dxa"/>
        </w:tblCellMar>
      </w:tblPr>
      <w:tblGrid>
        <w:gridCol w:w="3361"/>
        <w:gridCol w:w="3361"/>
      </w:tblGrid>
      <w:tr>
        <w:trPr/>
        <w:tc>
          <w:tcPr>
            <w:tcW w:w="3361" w:type="dxa"/>
            <w:tcBorders/>
            <w:vAlign w:val="center"/>
          </w:tcPr>
          <w:p>
            <w:pPr>
              <w:pStyle w:val="TableContents"/>
              <w:bidi w:val="0"/>
              <w:spacing w:before="0" w:after="0"/>
              <w:jc w:val="left"/>
              <w:rPr/>
            </w:pPr>
            <w:r>
              <w:rPr/>
              <w:t> </w:t>
            </w:r>
          </w:p>
          <w:tbl>
            <w:tblPr>
              <w:tblW w:w="3241" w:type="dxa"/>
              <w:jc w:val="left"/>
              <w:tblInd w:w="0" w:type="dxa"/>
              <w:tblLayout w:type="fixed"/>
              <w:tblCellMar>
                <w:top w:w="28" w:type="dxa"/>
                <w:left w:w="28" w:type="dxa"/>
                <w:bottom w:w="28" w:type="dxa"/>
                <w:right w:w="28" w:type="dxa"/>
              </w:tblCellMar>
            </w:tblPr>
            <w:tblGrid>
              <w:gridCol w:w="3241"/>
            </w:tblGrid>
            <w:tr>
              <w:trPr/>
              <w:tc>
                <w:tcPr>
                  <w:tcW w:w="3241" w:type="dxa"/>
                  <w:tcBorders/>
                  <w:vAlign w:val="center"/>
                </w:tcPr>
                <w:p>
                  <w:pPr>
                    <w:pStyle w:val="TableContents"/>
                    <w:bidi w:val="0"/>
                    <w:spacing w:before="0" w:after="0"/>
                    <w:jc w:val="left"/>
                    <w:rPr/>
                  </w:pPr>
                  <w:r>
                    <w:rPr/>
                    <w:t>The WindAcre Partnership LLC</w:t>
                  </w:r>
                </w:p>
              </w:tc>
            </w:tr>
          </w:tbl>
          <w:p>
            <w:pPr>
              <w:pStyle w:val="TableContents"/>
              <w:bidi w:val="0"/>
              <w:spacing w:before="0" w:after="283"/>
              <w:jc w:val="left"/>
              <w:rPr/>
            </w:pPr>
            <w:r>
              <w:rPr/>
            </w:r>
          </w:p>
        </w:tc>
        <w:tc>
          <w:tcPr>
            <w:tcW w:w="336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6"/>
        <w:gridCol w:w="4309"/>
      </w:tblGrid>
      <w:tr>
        <w:trPr/>
        <w:tc>
          <w:tcPr>
            <w:tcW w:w="58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Snehal Rajnikant Amin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Managing Member of the Investment 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9" w:type="dxa"/>
            <w:tcBorders/>
            <w:vAlign w:val="center"/>
          </w:tcPr>
          <w:p>
            <w:pPr>
              <w:pStyle w:val="TableContents"/>
              <w:bidi w:val="0"/>
              <w:spacing w:before="0" w:after="283"/>
              <w:jc w:val="left"/>
              <w:rPr>
                <w:sz w:val="4"/>
                <w:szCs w:val="4"/>
              </w:rPr>
            </w:pPr>
            <w:r>
              <w:rPr>
                <w:sz w:val="4"/>
                <w:szCs w:val="4"/>
              </w:rPr>
            </w:r>
          </w:p>
        </w:tc>
      </w:tr>
    </w:tbl>
    <w:tbl>
      <w:tblPr>
        <w:tblW w:w="9090" w:type="dxa"/>
        <w:jc w:val="left"/>
        <w:tblInd w:w="0" w:type="dxa"/>
        <w:tblLayout w:type="fixed"/>
        <w:tblCellMar>
          <w:top w:w="28" w:type="dxa"/>
          <w:left w:w="28" w:type="dxa"/>
          <w:bottom w:w="28" w:type="dxa"/>
          <w:right w:w="28" w:type="dxa"/>
        </w:tblCellMar>
      </w:tblPr>
      <w:tblGrid>
        <w:gridCol w:w="4545"/>
        <w:gridCol w:w="4545"/>
      </w:tblGrid>
      <w:tr>
        <w:trPr/>
        <w:tc>
          <w:tcPr>
            <w:tcW w:w="4545" w:type="dxa"/>
            <w:tcBorders/>
            <w:vAlign w:val="center"/>
          </w:tcPr>
          <w:p>
            <w:pPr>
              <w:pStyle w:val="TableContents"/>
              <w:bidi w:val="0"/>
              <w:spacing w:before="0" w:after="0"/>
              <w:jc w:val="left"/>
              <w:rPr/>
            </w:pPr>
            <w:r>
              <w:rPr/>
              <w:t> </w:t>
            </w:r>
          </w:p>
          <w:tbl>
            <w:tblPr>
              <w:tblW w:w="4381" w:type="dxa"/>
              <w:jc w:val="left"/>
              <w:tblInd w:w="0" w:type="dxa"/>
              <w:tblLayout w:type="fixed"/>
              <w:tblCellMar>
                <w:top w:w="28" w:type="dxa"/>
                <w:left w:w="28" w:type="dxa"/>
                <w:bottom w:w="28" w:type="dxa"/>
                <w:right w:w="28" w:type="dxa"/>
              </w:tblCellMar>
            </w:tblPr>
            <w:tblGrid>
              <w:gridCol w:w="4381"/>
            </w:tblGrid>
            <w:tr>
              <w:trPr/>
              <w:tc>
                <w:tcPr>
                  <w:tcW w:w="4381" w:type="dxa"/>
                  <w:tcBorders/>
                  <w:vAlign w:val="center"/>
                </w:tcPr>
                <w:p>
                  <w:pPr>
                    <w:pStyle w:val="TableContents"/>
                    <w:bidi w:val="0"/>
                    <w:spacing w:before="0" w:after="0"/>
                    <w:jc w:val="left"/>
                    <w:rPr/>
                  </w:pPr>
                  <w:r>
                    <w:rPr/>
                    <w:t>The WindAcre Partnership Master Fund, LP</w:t>
                  </w:r>
                </w:p>
              </w:tc>
            </w:tr>
          </w:tbl>
          <w:p>
            <w:pPr>
              <w:pStyle w:val="TableContents"/>
              <w:bidi w:val="0"/>
              <w:spacing w:before="0" w:after="283"/>
              <w:jc w:val="left"/>
              <w:rPr/>
            </w:pPr>
            <w:r>
              <w:rPr/>
            </w:r>
          </w:p>
        </w:tc>
        <w:tc>
          <w:tcPr>
            <w:tcW w:w="45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8"/>
        <w:gridCol w:w="4327"/>
      </w:tblGrid>
      <w:tr>
        <w:trPr/>
        <w:tc>
          <w:tcPr>
            <w:tcW w:w="587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The WindAcre General Partner LP</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Managing General Partner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0"/>
        <w:gridCol w:w="4375"/>
      </w:tblGrid>
      <w:tr>
        <w:trPr/>
        <w:tc>
          <w:tcPr>
            <w:tcW w:w="58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WAPGP LLC</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General Partner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7"/>
        <w:gridCol w:w="4348"/>
      </w:tblGrid>
      <w:tr>
        <w:trPr/>
        <w:tc>
          <w:tcPr>
            <w:tcW w:w="58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Snehal Rajnikant Amin</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Sole Owner</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8" w:type="dxa"/>
            <w:tcBorders/>
            <w:vAlign w:val="center"/>
          </w:tcPr>
          <w:p>
            <w:pPr>
              <w:pStyle w:val="TableContents"/>
              <w:bidi w:val="0"/>
              <w:spacing w:before="0" w:after="283"/>
              <w:jc w:val="left"/>
              <w:rPr>
                <w:sz w:val="4"/>
                <w:szCs w:val="4"/>
              </w:rPr>
            </w:pPr>
            <w:r>
              <w:rPr>
                <w:sz w:val="4"/>
                <w:szCs w:val="4"/>
              </w:rPr>
            </w:r>
          </w:p>
        </w:tc>
      </w:tr>
    </w:tbl>
    <w:tbl>
      <w:tblPr>
        <w:tblW w:w="4982" w:type="dxa"/>
        <w:jc w:val="left"/>
        <w:tblInd w:w="0" w:type="dxa"/>
        <w:tblLayout w:type="fixed"/>
        <w:tblCellMar>
          <w:top w:w="28" w:type="dxa"/>
          <w:left w:w="28" w:type="dxa"/>
          <w:bottom w:w="28" w:type="dxa"/>
          <w:right w:w="28" w:type="dxa"/>
        </w:tblCellMar>
      </w:tblPr>
      <w:tblGrid>
        <w:gridCol w:w="2491"/>
        <w:gridCol w:w="2491"/>
      </w:tblGrid>
      <w:tr>
        <w:trPr/>
        <w:tc>
          <w:tcPr>
            <w:tcW w:w="2491" w:type="dxa"/>
            <w:tcBorders/>
            <w:vAlign w:val="center"/>
          </w:tcPr>
          <w:p>
            <w:pPr>
              <w:pStyle w:val="TableContents"/>
              <w:bidi w:val="0"/>
              <w:spacing w:before="0" w:after="0"/>
              <w:jc w:val="left"/>
              <w:rPr/>
            </w:pPr>
            <w:r>
              <w:rPr/>
              <w:t> </w:t>
            </w:r>
          </w:p>
          <w:tbl>
            <w:tblPr>
              <w:tblW w:w="2386" w:type="dxa"/>
              <w:jc w:val="left"/>
              <w:tblInd w:w="0" w:type="dxa"/>
              <w:tblLayout w:type="fixed"/>
              <w:tblCellMar>
                <w:top w:w="28" w:type="dxa"/>
                <w:left w:w="28" w:type="dxa"/>
                <w:bottom w:w="28" w:type="dxa"/>
                <w:right w:w="28" w:type="dxa"/>
              </w:tblCellMar>
            </w:tblPr>
            <w:tblGrid>
              <w:gridCol w:w="2386"/>
            </w:tblGrid>
            <w:tr>
              <w:trPr/>
              <w:tc>
                <w:tcPr>
                  <w:tcW w:w="2386" w:type="dxa"/>
                  <w:tcBorders/>
                  <w:vAlign w:val="center"/>
                </w:tcPr>
                <w:p>
                  <w:pPr>
                    <w:pStyle w:val="TableContents"/>
                    <w:bidi w:val="0"/>
                    <w:spacing w:before="0" w:after="0"/>
                    <w:jc w:val="left"/>
                    <w:rPr/>
                  </w:pPr>
                  <w:r>
                    <w:rPr/>
                    <w:t>Snehal Rajnikant Amin</w:t>
                  </w:r>
                </w:p>
              </w:tc>
            </w:tr>
          </w:tbl>
          <w:p>
            <w:pPr>
              <w:pStyle w:val="TableContents"/>
              <w:bidi w:val="0"/>
              <w:spacing w:before="0" w:after="283"/>
              <w:jc w:val="left"/>
              <w:rPr/>
            </w:pPr>
            <w:r>
              <w:rPr/>
            </w:r>
          </w:p>
        </w:tc>
        <w:tc>
          <w:tcPr>
            <w:tcW w:w="2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7"/>
        <w:gridCol w:w="4348"/>
      </w:tblGrid>
      <w:tr>
        <w:trPr/>
        <w:tc>
          <w:tcPr>
            <w:tcW w:w="58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Snehal Rajnikant Amin</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Snehal Rajnikant Amin</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1987</Words>
  <Characters>10533</Characters>
  <CharactersWithSpaces>12461</CharactersWithSpaces>
  <Paragraphs>270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