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19,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ROPER TECHNOLOGIES,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80" w:type="dxa"/>
        <w:tblCellMar>
          <w:top w:w="0" w:type="dxa"/>
          <w:left w:w="0" w:type="dxa"/>
          <w:bottom w:w="0" w:type="dxa"/>
          <w:right w:w="0" w:type="dxa"/>
        </w:tblCellMar>
      </w:tblPr>
      <w:tr>
        <w:trPr>
          <w:trHeight w:val="211"/>
        </w:trPr>
        <w:tc>
          <w:tcPr>
            <w:tcW w:w="6340" w:type="dxa"/>
            <w:vAlign w:val="bottom"/>
          </w:tcPr>
          <w:p>
            <w:pPr>
              <w:jc w:val="center"/>
              <w:ind w:right="29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147"/>
        </w:trPr>
        <w:tc>
          <w:tcPr>
            <w:tcW w:w="6340" w:type="dxa"/>
            <w:vAlign w:val="bottom"/>
          </w:tcPr>
          <w:p>
            <w:pPr>
              <w:jc w:val="center"/>
              <w:ind w:right="2921"/>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80" w:type="dxa"/>
            <w:vAlign w:val="bottom"/>
          </w:tcPr>
          <w:p>
            <w:pPr>
              <w:jc w:val="center"/>
              <w:ind w:left="20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634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6340" w:type="dxa"/>
            <w:vAlign w:val="bottom"/>
          </w:tcPr>
          <w:p>
            <w:pPr>
              <w:jc w:val="center"/>
              <w:ind w:right="2941"/>
              <w:spacing w:after="0"/>
              <w:rPr>
                <w:sz w:val="20"/>
                <w:szCs w:val="20"/>
                <w:color w:val="auto"/>
              </w:rPr>
            </w:pPr>
            <w:r>
              <w:rPr>
                <w:rFonts w:ascii="Times New Roman" w:cs="Times New Roman" w:eastAsia="Times New Roman" w:hAnsi="Times New Roman"/>
                <w:sz w:val="18"/>
                <w:szCs w:val="18"/>
                <w:b w:val="1"/>
                <w:bCs w:val="1"/>
                <w:color w:val="auto"/>
                <w:w w:val="98"/>
              </w:rPr>
              <w:t>6496 University Parkway, Sarasota, Florida</w:t>
            </w:r>
          </w:p>
        </w:tc>
        <w:tc>
          <w:tcPr>
            <w:tcW w:w="138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187"/>
        </w:trPr>
        <w:tc>
          <w:tcPr>
            <w:tcW w:w="6340" w:type="dxa"/>
            <w:vAlign w:val="bottom"/>
          </w:tcPr>
          <w:p>
            <w:pPr>
              <w:jc w:val="center"/>
              <w:ind w:right="29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340" w:type="dxa"/>
            <w:vAlign w:val="bottom"/>
          </w:tcPr>
          <w:p>
            <w:pPr>
              <w:jc w:val="center"/>
              <w:ind w:left="2301"/>
              <w:spacing w:after="0"/>
              <w:rPr>
                <w:sz w:val="20"/>
                <w:szCs w:val="20"/>
                <w:color w:val="auto"/>
              </w:rPr>
            </w:pPr>
            <w:r>
              <w:rPr>
                <w:rFonts w:ascii="Times New Roman" w:cs="Times New Roman" w:eastAsia="Times New Roman" w:hAnsi="Times New Roman"/>
                <w:sz w:val="18"/>
                <w:szCs w:val="18"/>
                <w:b w:val="1"/>
                <w:bCs w:val="1"/>
                <w:color w:val="auto"/>
                <w:w w:val="98"/>
              </w:rPr>
              <w:t>Roper Technologies, Inc. 2021 Incentive Plan</w:t>
            </w:r>
          </w:p>
        </w:tc>
        <w:tc>
          <w:tcPr>
            <w:tcW w:w="1380" w:type="dxa"/>
            <w:vAlign w:val="bottom"/>
          </w:tcPr>
          <w:p>
            <w:pPr>
              <w:spacing w:after="0"/>
              <w:rPr>
                <w:sz w:val="24"/>
                <w:szCs w:val="24"/>
                <w:color w:val="auto"/>
              </w:rPr>
            </w:pPr>
          </w:p>
        </w:tc>
      </w:tr>
      <w:tr>
        <w:trPr>
          <w:trHeight w:val="187"/>
        </w:trPr>
        <w:tc>
          <w:tcPr>
            <w:tcW w:w="6340" w:type="dxa"/>
            <w:vAlign w:val="bottom"/>
          </w:tcPr>
          <w:p>
            <w:pPr>
              <w:jc w:val="center"/>
              <w:ind w:left="2321"/>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219075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K. Stipancich</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6496 University Parkway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Sarasota, Florida 34240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(941) 556-2601</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215900</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160" w:firstLine="436"/>
        <w:spacing w:after="0" w:line="257"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Roper Technologies, Inc., a Delaware corporation (the “Company”), to register under the Securities Act of 1933, as amended (the “Securities Act”), an additional 14,150,000 shares (the “Additional 2026 Shares”) of the Company’s common stock, par value $0.01 per share (the “Common Stock”), that may be issued or transferred pursuant to the Roper Technologies, Inc. 2021 Incentive Plan, as amended through May 19, 2026.</w:t>
      </w:r>
    </w:p>
    <w:p>
      <w:pPr>
        <w:spacing w:after="0" w:line="182" w:lineRule="exact"/>
        <w:rPr>
          <w:sz w:val="20"/>
          <w:szCs w:val="20"/>
          <w:color w:val="auto"/>
        </w:rPr>
      </w:pPr>
    </w:p>
    <w:p>
      <w:pPr>
        <w:ind w:firstLine="436"/>
        <w:spacing w:after="0" w:line="271" w:lineRule="auto"/>
        <w:rPr>
          <w:sz w:val="20"/>
          <w:szCs w:val="20"/>
          <w:color w:val="auto"/>
        </w:rPr>
      </w:pPr>
      <w:r>
        <w:rPr>
          <w:rFonts w:ascii="Times New Roman" w:cs="Times New Roman" w:eastAsia="Times New Roman" w:hAnsi="Times New Roman"/>
          <w:sz w:val="17"/>
          <w:szCs w:val="17"/>
          <w:color w:val="auto"/>
        </w:rPr>
        <w:t>The Additional 2026 Shares are an incremental increase to the shares of Common Stock previously registered for issuance or transfer under the Roper Technologies, Inc. 2021 Incentive Plan pursuant to the Company’s Registration Statement on Form S-8 (SEC File No. 333-257062), filed with the United States Securities and Exchange Commission (the “SEC”) on June 14, 2021 (the “Prior Registration Statement”). This Registration Statement relates to securities of the same class as that to which the Prior Registration Statement relates, and is submitted in accordance with General Instruction E to Form S-8 regarding registration of additional securities. Pursuant to such instruction, the contents of the Prior Registration Statement are incorporated by reference and made part of this Registration Statement, except to the extent modified, superseded, or amended by the information set forth herein.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The following documents previously filed by the Company (SEC File No. 001-12273) with the SEC pursuant to the Securities Exchange Act of 1934, as amended (the “Exchange Act”), are incorporated herein by reference:</w:t>
      </w:r>
    </w:p>
    <w:p>
      <w:pPr>
        <w:spacing w:after="0" w:line="70" w:lineRule="exact"/>
        <w:rPr>
          <w:sz w:val="20"/>
          <w:szCs w:val="20"/>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24, 2026;</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 2026;</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SEC on </w:t>
      </w:r>
      <w:hyperlink r:id="rId20">
        <w:r>
          <w:rPr>
            <w:rFonts w:ascii="Times New Roman" w:cs="Times New Roman" w:eastAsia="Times New Roman" w:hAnsi="Times New Roman"/>
            <w:sz w:val="18"/>
            <w:szCs w:val="18"/>
            <w:u w:val="single" w:color="auto"/>
            <w:color w:val="0000EE"/>
          </w:rPr>
          <w:t>April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May 19, 2026</w:t>
        </w:r>
      </w:hyperlink>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ind w:left="960" w:right="120" w:hanging="539"/>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w:t>
      </w:r>
      <w:hyperlink r:id="rId22">
        <w:r>
          <w:rPr>
            <w:rFonts w:ascii="Times New Roman" w:cs="Times New Roman" w:eastAsia="Times New Roman" w:hAnsi="Times New Roman"/>
            <w:sz w:val="18"/>
            <w:szCs w:val="18"/>
            <w:u w:val="single" w:color="auto"/>
            <w:color w:val="0000EE"/>
          </w:rPr>
          <w:t>Exhibit 4.15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year ended December 31, 2024 filed with the SEC on February 24, 2025, as amended by any subsequent amendments or reports filed for the purpose of updating such description.</w:t>
      </w:r>
    </w:p>
    <w:p>
      <w:pPr>
        <w:spacing w:after="0" w:line="177" w:lineRule="exact"/>
        <w:rPr>
          <w:rFonts w:ascii="Times New Roman" w:cs="Times New Roman" w:eastAsia="Times New Roman" w:hAnsi="Times New Roman"/>
          <w:sz w:val="18"/>
          <w:szCs w:val="18"/>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Exchange Act subsequent to the filing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 The Company will not, however, incorporate by reference any documents or portions thereof that are not deemed “filed” with the SEC, including any information furnished pursuant to Item 2.02 or Item 7.01 of the Company’s Current Reports on Form 8-K (including the related exhibits under Item 9.01) unless, and except to the extent, specified in such report.</w:t>
      </w:r>
    </w:p>
    <w:p>
      <w:pPr>
        <w:spacing w:after="0" w:line="187" w:lineRule="exact"/>
        <w:rPr>
          <w:rFonts w:ascii="Times New Roman" w:cs="Times New Roman" w:eastAsia="Times New Roman" w:hAnsi="Times New Roman"/>
          <w:sz w:val="18"/>
          <w:szCs w:val="18"/>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rFonts w:ascii="Times New Roman" w:cs="Times New Roman" w:eastAsia="Times New Roman" w:hAnsi="Times New Roman"/>
          <w:sz w:val="18"/>
          <w:szCs w:val="18"/>
          <w:color w:val="auto"/>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As permitted by Section 102(b)(7) of the Delaware General Corporation Law (the “DGCL”), the Company’s amended and restated certificate of incorporation (the “Certificate of Incorporation”) includes a provision that eliminates the personal liability of each of the Company’s directors and officers (as such term is defined in Section 102(b)(7) of the DGCL as the same exists or hereafter may be amended) for monetary damages for breach of such director’s or officer’s fiduciary duty as a director or an officer, except for liability:</w:t>
      </w:r>
    </w:p>
    <w:p>
      <w:pPr>
        <w:spacing w:after="0" w:line="11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4" w:right="519" w:bottom="1440" w:gutter="0" w:footer="0" w:header="0"/>
        </w:sectPr>
      </w:pPr>
    </w:p>
    <w:bookmarkStart w:id="2" w:name="page3"/>
    <w:bookmarkEnd w:id="2"/>
    <w:p>
      <w:pPr>
        <w:ind w:left="6" w:right="20" w:hanging="6"/>
        <w:spacing w:after="0" w:line="255"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any breach of the director’s or officer’s duty of loyalty to the Company or its stockholders; (ii) for acts or omissions not in good faith or which involve intentional misconduct or a knowing violation of the law; (iii) with respect to directors, under Section 174 of the DGCL; (iv) for any transaction from which the director or officer derived an improper personal benefit; or (v) with respect to officers, in any action by or in the right of the Company. The directors’ and officers’ liability will be further limited to the extent permitted by any future amendments to the DGCL authorizing the further limitation or elimination of the liability of directors or officers.</w:t>
      </w:r>
    </w:p>
    <w:p>
      <w:pPr>
        <w:spacing w:after="0" w:line="183" w:lineRule="exact"/>
        <w:rPr>
          <w:sz w:val="20"/>
          <w:szCs w:val="20"/>
          <w:color w:val="auto"/>
        </w:rPr>
      </w:pPr>
    </w:p>
    <w:p>
      <w:pPr>
        <w:ind w:left="6" w:right="80" w:firstLine="436"/>
        <w:spacing w:after="0" w:line="252" w:lineRule="auto"/>
        <w:rPr>
          <w:sz w:val="20"/>
          <w:szCs w:val="20"/>
          <w:color w:val="auto"/>
        </w:rPr>
      </w:pPr>
      <w:r>
        <w:rPr>
          <w:rFonts w:ascii="Times New Roman" w:cs="Times New Roman" w:eastAsia="Times New Roman" w:hAnsi="Times New Roman"/>
          <w:sz w:val="18"/>
          <w:szCs w:val="18"/>
          <w:color w:val="auto"/>
        </w:rPr>
        <w:t>In addition, as permitted by Section 145 of the DGCL, the Company’s amended and restated by-laws (the “By-laws”) provide that: (i) the Company is required to indemnify its directors and officers to the fullest extent permitted by Delaware law, including those circumstances in which indemnification would otherwise be discretionary; (ii) the Company is required to advance expenses, as incurred, to such directors and officers in connection with defending a proceeding (except that it is not required to advance expenses to a person against whom we bring a claim for breach of the duty of loyalty, failure to act in good faith, intentional misconduct, knowing violation of the law or deriving an improper personal benefit); and (iii) the rights conferred in the Company’s By-laws are not exclusive and the Company is authorized to enter into indemnification agreements with such directors, officers and employees.</w:t>
      </w:r>
    </w:p>
    <w:p>
      <w:pPr>
        <w:spacing w:after="0" w:line="189" w:lineRule="exact"/>
        <w:rPr>
          <w:sz w:val="20"/>
          <w:szCs w:val="20"/>
          <w:color w:val="auto"/>
        </w:rPr>
      </w:pPr>
    </w:p>
    <w:p>
      <w:pPr>
        <w:ind w:left="6" w:right="80" w:firstLine="436"/>
        <w:spacing w:after="0" w:line="277"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a number of its officers containing provisions which provide for the indemnification of such director or officer, as applicable, to the fullest extent permitted by Delaware law.</w:t>
      </w:r>
    </w:p>
    <w:p>
      <w:pPr>
        <w:spacing w:after="0" w:line="163" w:lineRule="exact"/>
        <w:rPr>
          <w:sz w:val="20"/>
          <w:szCs w:val="20"/>
          <w:color w:val="auto"/>
        </w:rPr>
      </w:pPr>
    </w:p>
    <w:p>
      <w:pPr>
        <w:ind w:left="6" w:right="540" w:firstLine="436"/>
        <w:spacing w:after="0" w:line="277" w:lineRule="auto"/>
        <w:rPr>
          <w:sz w:val="20"/>
          <w:szCs w:val="20"/>
          <w:color w:val="auto"/>
        </w:rPr>
      </w:pPr>
      <w:r>
        <w:rPr>
          <w:rFonts w:ascii="Times New Roman" w:cs="Times New Roman" w:eastAsia="Times New Roman" w:hAnsi="Times New Roman"/>
          <w:sz w:val="18"/>
          <w:szCs w:val="18"/>
          <w:color w:val="auto"/>
        </w:rPr>
        <w:t>The indemnification provisions in the By-laws, and any indemnification agreements entered into between the Company and its directors or officers, may be sufficiently broad to permit indemnification of our directors and officers for liabilities arising under the Securities Act.</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2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00" w:type="dxa"/>
            <w:vAlign w:val="bottom"/>
          </w:tcPr>
          <w:p>
            <w:pPr>
              <w:spacing w:after="0"/>
              <w:rPr>
                <w:sz w:val="23"/>
                <w:szCs w:val="23"/>
                <w:color w:val="auto"/>
              </w:rPr>
            </w:pPr>
          </w:p>
        </w:tc>
        <w:tc>
          <w:tcPr>
            <w:tcW w:w="9860" w:type="dxa"/>
            <w:vAlign w:val="bottom"/>
            <w:gridSpan w:val="9"/>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Certificate of Incorporation effective as of June 13, 2023 (incorporated herein by reference to Exhibit 3.1 to the</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80" w:type="dxa"/>
            <w:vAlign w:val="bottom"/>
            <w:tcBorders>
              <w:top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Company’s Current Report on Form 8-K filed June 14, 2023 (file no. 1-12273)).</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00" w:type="dxa"/>
            <w:vAlign w:val="bottom"/>
          </w:tcPr>
          <w:p>
            <w:pPr>
              <w:spacing w:after="0"/>
              <w:rPr>
                <w:sz w:val="24"/>
                <w:szCs w:val="24"/>
                <w:color w:val="auto"/>
              </w:rPr>
            </w:pPr>
          </w:p>
        </w:tc>
        <w:tc>
          <w:tcPr>
            <w:tcW w:w="9860" w:type="dxa"/>
            <w:vAlign w:val="bottom"/>
            <w:gridSpan w:val="9"/>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By-Laws (incorporated herein by reference to Exhibit 3.1 to the Company’s Current Report on Form 8-K filed</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November 7, 2024 (file no. 1-12273)).</w:t>
              </w:r>
            </w:hyperlink>
          </w:p>
        </w:tc>
        <w:tc>
          <w:tcPr>
            <w:tcW w:w="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00" w:type="dxa"/>
            <w:vAlign w:val="bottom"/>
          </w:tcPr>
          <w:p>
            <w:pPr>
              <w:spacing w:after="0"/>
              <w:rPr>
                <w:sz w:val="24"/>
                <w:szCs w:val="24"/>
                <w:color w:val="auto"/>
              </w:rPr>
            </w:pPr>
          </w:p>
        </w:tc>
        <w:tc>
          <w:tcPr>
            <w:tcW w:w="9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Description of Registrant’s Securities Registered Pursuant to Section 12 of the Exchange Act (incorporated herein by reference to Exhibit</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8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15</w:t>
              </w:r>
              <w:r>
                <w:rPr>
                  <w:rFonts w:ascii="Times New Roman" w:cs="Times New Roman" w:eastAsia="Times New Roman" w:hAnsi="Times New Roman"/>
                  <w:sz w:val="18"/>
                  <w:szCs w:val="18"/>
                  <w:color w:val="0000EE"/>
                  <w:w w:val="99"/>
                </w:rPr>
                <w:t xml:space="preserve"> of the Company’s Annual Report on Form 10-K for the fiscal year ended December 31, 2024 filed February 24, 2025 (file no.</w:t>
              </w:r>
            </w:hyperlink>
          </w:p>
        </w:tc>
        <w:tc>
          <w:tcPr>
            <w:tcW w:w="4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r:id="rId22">
              <w:r>
                <w:rPr>
                  <w:rFonts w:ascii="Times New Roman" w:cs="Times New Roman" w:eastAsia="Times New Roman" w:hAnsi="Times New Roman"/>
                  <w:sz w:val="18"/>
                  <w:szCs w:val="18"/>
                  <w:color w:val="0000EE"/>
                  <w:w w:val="96"/>
                </w:rPr>
                <w:t>1-12273)).</w:t>
              </w:r>
            </w:hyperlink>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006" w:right="20" w:hanging="1006"/>
        <w:spacing w:after="0" w:line="277" w:lineRule="auto"/>
        <w:tabs>
          <w:tab w:leader="none" w:pos="80"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26">
        <w:r>
          <w:rPr>
            <w:rFonts w:ascii="Times New Roman" w:cs="Times New Roman" w:eastAsia="Times New Roman" w:hAnsi="Times New Roman"/>
            <w:sz w:val="18"/>
            <w:szCs w:val="18"/>
            <w:u w:val="single" w:color="auto"/>
            <w:color w:val="0000EE"/>
          </w:rPr>
          <w:t>Roper Technologies, Inc. 2021 Incentive Plan, as amended through May 19, 2026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Company’s Current Report on Form 8-K filed May 19, 2026 (file no. 1-12273)).</w:t>
        </w:r>
      </w:hyperlink>
    </w:p>
    <w:p>
      <w:pPr>
        <w:spacing w:after="0" w:line="42" w:lineRule="exact"/>
        <w:rPr>
          <w:rFonts w:ascii="Times New Roman" w:cs="Times New Roman" w:eastAsia="Times New Roman" w:hAnsi="Times New Roman"/>
          <w:sz w:val="18"/>
          <w:szCs w:val="18"/>
          <w:color w:val="auto"/>
        </w:rPr>
      </w:pPr>
    </w:p>
    <w:tbl>
      <w:tblPr>
        <w:tblLayout w:type="fixed"/>
        <w:tblInd w:w="6"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John K. Stipancich.</w:t>
            </w: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John K. Stipancich, which is included as part of Exhibit 5.1.</w:t>
            </w:r>
          </w:p>
        </w:tc>
        <w:tc>
          <w:tcPr>
            <w:tcW w:w="1700" w:type="dxa"/>
            <w:vAlign w:val="bottom"/>
            <w:gridSpan w:val="2"/>
          </w:tcPr>
          <w:p>
            <w:pPr>
              <w:spacing w:after="0"/>
              <w:rPr>
                <w:sz w:val="24"/>
                <w:szCs w:val="24"/>
                <w:color w:val="auto"/>
              </w:rPr>
            </w:pPr>
          </w:p>
        </w:tc>
      </w:tr>
      <w:tr>
        <w:trPr>
          <w:trHeight w:val="30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6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signatures page of this Registration Statement on Form S-8</w:t>
            </w:r>
            <w:r>
              <w:rPr>
                <w:rFonts w:ascii="Times New Roman" w:cs="Times New Roman" w:eastAsia="Times New Roman" w:hAnsi="Times New Roman"/>
                <w:sz w:val="18"/>
                <w:szCs w:val="18"/>
                <w:color w:val="000000"/>
                <w:w w:val="98"/>
              </w:rPr>
              <w:t>.</w:t>
            </w:r>
          </w:p>
        </w:tc>
      </w:tr>
      <w:tr>
        <w:trPr>
          <w:trHeight w:val="30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5580" w:type="dxa"/>
            <w:vAlign w:val="bottom"/>
            <w:tcBorders>
              <w:top w:val="single" w:sz="8" w:color="0000EE"/>
            </w:tcBorders>
            <w:gridSpan w:val="4"/>
          </w:tcPr>
          <w:p>
            <w:pPr>
              <w:spacing w:after="0"/>
              <w:rPr>
                <w:sz w:val="24"/>
                <w:szCs w:val="24"/>
                <w:color w:val="auto"/>
              </w:rPr>
            </w:pPr>
          </w:p>
        </w:tc>
        <w:tc>
          <w:tcPr>
            <w:tcW w:w="60" w:type="dxa"/>
            <w:vAlign w:val="bottom"/>
          </w:tcPr>
          <w:p>
            <w:pPr>
              <w:spacing w:after="0"/>
              <w:rPr>
                <w:sz w:val="24"/>
                <w:szCs w:val="24"/>
                <w:color w:val="auto"/>
              </w:rPr>
            </w:pPr>
          </w:p>
        </w:tc>
      </w:tr>
    </w:tbl>
    <w:p>
      <w:pPr>
        <w:spacing w:after="0" w:line="249"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4" w:lineRule="exact"/>
        <w:rPr>
          <w:rFonts w:ascii="Times New Roman" w:cs="Times New Roman" w:eastAsia="Times New Roman" w:hAnsi="Times New Roman"/>
          <w:sz w:val="18"/>
          <w:szCs w:val="18"/>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6"/>
          </w:cols>
          <w:pgMar w:left="494" w:top="268"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31" w:lineRule="exact"/>
        <w:rPr>
          <w:sz w:val="20"/>
          <w:szCs w:val="20"/>
          <w:color w:val="auto"/>
        </w:rPr>
      </w:pPr>
    </w:p>
    <w:p>
      <w:pPr>
        <w:ind w:left="960" w:hanging="539"/>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126"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8"/>
          <w:szCs w:val="18"/>
          <w:color w:val="auto"/>
        </w:rPr>
      </w:pPr>
    </w:p>
    <w:p>
      <w:pPr>
        <w:ind w:left="1940" w:hanging="530"/>
        <w:spacing w:after="0"/>
        <w:tabs>
          <w:tab w:leader="none" w:pos="1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ind w:left="1940" w:hanging="530"/>
        <w:spacing w:after="0" w:line="252" w:lineRule="auto"/>
        <w:tabs>
          <w:tab w:leader="none" w:pos="1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91" w:lineRule="exact"/>
        <w:rPr>
          <w:rFonts w:ascii="Times New Roman" w:cs="Times New Roman" w:eastAsia="Times New Roman" w:hAnsi="Times New Roman"/>
          <w:sz w:val="18"/>
          <w:szCs w:val="18"/>
          <w:color w:val="auto"/>
        </w:rPr>
      </w:pPr>
    </w:p>
    <w:p>
      <w:pPr>
        <w:ind w:left="1940" w:right="480" w:hanging="530"/>
        <w:spacing w:after="0" w:line="277" w:lineRule="auto"/>
        <w:tabs>
          <w:tab w:leader="none" w:pos="1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1420" w:right="28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 by those paragraphs is contained in reports filed with or furnished to the SEC by the Company pursuant to Section 13 or Section 15(d) of the Exchange Act that are incorporated by reference in the Registration Statement.</w:t>
      </w:r>
    </w:p>
    <w:p>
      <w:pPr>
        <w:spacing w:after="0" w:line="83" w:lineRule="exact"/>
        <w:rPr>
          <w:sz w:val="20"/>
          <w:szCs w:val="20"/>
          <w:color w:val="auto"/>
        </w:rPr>
      </w:pPr>
    </w:p>
    <w:p>
      <w:pPr>
        <w:ind w:left="1400" w:right="200" w:hanging="431"/>
        <w:spacing w:after="0" w:line="26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8"/>
          <w:szCs w:val="18"/>
          <w:color w:val="auto"/>
        </w:rPr>
      </w:pPr>
    </w:p>
    <w:p>
      <w:pPr>
        <w:ind w:left="1400" w:right="180" w:hanging="431"/>
        <w:spacing w:after="0" w:line="277"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960" w:right="80" w:hanging="539"/>
        <w:spacing w:after="0" w:line="255"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8"/>
          <w:szCs w:val="18"/>
          <w:color w:val="auto"/>
        </w:rPr>
      </w:pPr>
    </w:p>
    <w:p>
      <w:pPr>
        <w:ind w:left="960" w:right="140" w:hanging="539"/>
        <w:spacing w:after="0" w:line="25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4"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56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Sarasota, State of Florida, on this 19th day of May, 2026.</w:t>
      </w:r>
    </w:p>
    <w:p>
      <w:pPr>
        <w:spacing w:after="0" w:line="20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(Registrant)</w:t>
      </w:r>
    </w:p>
    <w:p>
      <w:pPr>
        <w:spacing w:after="0" w:line="202"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15875</wp:posOffset>
            </wp:positionV>
            <wp:extent cx="2400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K. Stipancich</w:t>
      </w:r>
    </w:p>
    <w:p>
      <w:pPr>
        <w:spacing w:after="0" w:line="26"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100" w:firstLine="436"/>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 Neil Hunn, Jason P. Conley and John K. Stipancich, and each of them, his or her true and lawful attorneys-in-fact and agents, with full power of substitution and resubstitution, for him or her and in his or her name, place and stead, in any and all capacities, to sign any and all amendments (including post-effective amendments, supplements and exhibits) to this Registration Statement and to file the same, with all exhibits thereto, and all other documents in connection therewith, with the SEC,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 Neil Hunn</w:t>
            </w:r>
          </w:p>
        </w:tc>
        <w:tc>
          <w:tcPr>
            <w:tcW w:w="120" w:type="dxa"/>
            <w:vAlign w:val="bottom"/>
          </w:tcPr>
          <w:p>
            <w:pPr>
              <w:spacing w:after="0"/>
              <w:rPr>
                <w:sz w:val="24"/>
                <w:szCs w:val="24"/>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President and Chief Executive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Neil Hunn</w:t>
            </w:r>
          </w:p>
        </w:tc>
        <w:tc>
          <w:tcPr>
            <w:tcW w:w="120" w:type="dxa"/>
            <w:vAlign w:val="bottom"/>
          </w:tcPr>
          <w:p>
            <w:pPr>
              <w:spacing w:after="0"/>
              <w:rPr>
                <w:sz w:val="19"/>
                <w:szCs w:val="19"/>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206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Jason P. Conley</w:t>
            </w:r>
          </w:p>
        </w:tc>
        <w:tc>
          <w:tcPr>
            <w:tcW w:w="120" w:type="dxa"/>
            <w:vAlign w:val="bottom"/>
          </w:tcPr>
          <w:p>
            <w:pPr>
              <w:spacing w:after="0"/>
              <w:rPr>
                <w:sz w:val="24"/>
                <w:szCs w:val="24"/>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Jason P. Conley</w:t>
            </w:r>
          </w:p>
        </w:tc>
        <w:tc>
          <w:tcPr>
            <w:tcW w:w="120" w:type="dxa"/>
            <w:vAlign w:val="bottom"/>
          </w:tcPr>
          <w:p>
            <w:pPr>
              <w:spacing w:after="0"/>
              <w:rPr>
                <w:sz w:val="19"/>
                <w:szCs w:val="19"/>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206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Brandon Cross</w:t>
            </w:r>
          </w:p>
        </w:tc>
        <w:tc>
          <w:tcPr>
            <w:tcW w:w="120" w:type="dxa"/>
            <w:vAlign w:val="bottom"/>
          </w:tcPr>
          <w:p>
            <w:pPr>
              <w:spacing w:after="0"/>
              <w:rPr>
                <w:sz w:val="24"/>
                <w:szCs w:val="24"/>
                <w:color w:val="auto"/>
              </w:rPr>
            </w:pPr>
          </w:p>
        </w:tc>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President and Chief Accounting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Brandon Cross</w:t>
            </w:r>
          </w:p>
        </w:tc>
        <w:tc>
          <w:tcPr>
            <w:tcW w:w="120" w:type="dxa"/>
            <w:vAlign w:val="bottom"/>
          </w:tcPr>
          <w:p>
            <w:pPr>
              <w:spacing w:after="0"/>
              <w:rPr>
                <w:sz w:val="19"/>
                <w:szCs w:val="19"/>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206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Amy Woods Brinkley</w:t>
            </w:r>
          </w:p>
        </w:tc>
        <w:tc>
          <w:tcPr>
            <w:tcW w:w="120" w:type="dxa"/>
            <w:vAlign w:val="bottom"/>
          </w:tcPr>
          <w:p>
            <w:pPr>
              <w:spacing w:after="0"/>
              <w:rPr>
                <w:sz w:val="24"/>
                <w:szCs w:val="24"/>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Chair of the Board of Directors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Amy Woods Brinkley</w:t>
            </w:r>
          </w:p>
        </w:tc>
        <w:tc>
          <w:tcPr>
            <w:tcW w:w="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Shellye L. Archambeau</w:t>
            </w:r>
          </w:p>
        </w:tc>
        <w:tc>
          <w:tcPr>
            <w:tcW w:w="120" w:type="dxa"/>
            <w:vAlign w:val="bottom"/>
          </w:tcPr>
          <w:p>
            <w:pPr>
              <w:spacing w:after="0"/>
              <w:rPr>
                <w:sz w:val="24"/>
                <w:szCs w:val="24"/>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Shellye L. Archambeau</w:t>
            </w:r>
          </w:p>
        </w:tc>
        <w:tc>
          <w:tcPr>
            <w:tcW w:w="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Irene M. Esteves</w:t>
            </w:r>
          </w:p>
        </w:tc>
        <w:tc>
          <w:tcPr>
            <w:tcW w:w="120" w:type="dxa"/>
            <w:vAlign w:val="bottom"/>
          </w:tcPr>
          <w:p>
            <w:pPr>
              <w:spacing w:after="0"/>
              <w:rPr>
                <w:sz w:val="24"/>
                <w:szCs w:val="24"/>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Irene M. Esteves</w:t>
            </w:r>
          </w:p>
        </w:tc>
        <w:tc>
          <w:tcPr>
            <w:tcW w:w="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D. Johnson</w:t>
            </w:r>
          </w:p>
        </w:tc>
        <w:tc>
          <w:tcPr>
            <w:tcW w:w="120" w:type="dxa"/>
            <w:vAlign w:val="bottom"/>
          </w:tcPr>
          <w:p>
            <w:pPr>
              <w:spacing w:after="0"/>
              <w:rPr>
                <w:sz w:val="24"/>
                <w:szCs w:val="24"/>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D. Johnson</w:t>
            </w:r>
          </w:p>
        </w:tc>
        <w:tc>
          <w:tcPr>
            <w:tcW w:w="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Thomas P. Joyce, Jr.</w:t>
            </w:r>
          </w:p>
        </w:tc>
        <w:tc>
          <w:tcPr>
            <w:tcW w:w="120" w:type="dxa"/>
            <w:vAlign w:val="bottom"/>
          </w:tcPr>
          <w:p>
            <w:pPr>
              <w:spacing w:after="0"/>
              <w:rPr>
                <w:sz w:val="24"/>
                <w:szCs w:val="24"/>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Thomas P. Joyce, Jr.</w:t>
            </w:r>
          </w:p>
        </w:tc>
        <w:tc>
          <w:tcPr>
            <w:tcW w:w="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56"/>
        </w:trPr>
        <w:tc>
          <w:tcPr>
            <w:tcW w:w="4360" w:type="dxa"/>
            <w:vAlign w:val="bottom"/>
          </w:tcPr>
          <w:p>
            <w:pPr>
              <w:spacing w:after="0"/>
              <w:rPr>
                <w:sz w:val="24"/>
                <w:szCs w:val="24"/>
                <w:color w:val="auto"/>
              </w:rPr>
            </w:pPr>
          </w:p>
        </w:tc>
        <w:tc>
          <w:tcPr>
            <w:tcW w:w="4360" w:type="dxa"/>
            <w:vAlign w:val="bottom"/>
            <w:gridSpan w:val="2"/>
          </w:tcPr>
          <w:p>
            <w:pPr>
              <w:jc w:val="right"/>
              <w:ind w:right="315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900"/>
          </w:cols>
          <w:pgMar w:left="500" w:top="264" w:right="4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F. Murphy</w:t>
            </w:r>
          </w:p>
        </w:tc>
        <w:tc>
          <w:tcPr>
            <w:tcW w:w="3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7"/>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John F. Murphy</w:t>
            </w:r>
          </w:p>
        </w:tc>
        <w:tc>
          <w:tcPr>
            <w:tcW w:w="37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Laura G. Thatcher</w:t>
            </w:r>
          </w:p>
        </w:tc>
        <w:tc>
          <w:tcPr>
            <w:tcW w:w="3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7"/>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Laura G. Thatcher</w:t>
            </w:r>
          </w:p>
        </w:tc>
        <w:tc>
          <w:tcPr>
            <w:tcW w:w="37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Richard F. Wallman</w:t>
            </w:r>
          </w:p>
        </w:tc>
        <w:tc>
          <w:tcPr>
            <w:tcW w:w="3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7"/>
              </w:rPr>
              <w:t>May 19, 2026</w:t>
            </w:r>
          </w:p>
        </w:tc>
      </w:tr>
      <w:tr>
        <w:trPr>
          <w:trHeight w:val="22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Richard F. Wallman</w:t>
            </w:r>
          </w:p>
        </w:tc>
        <w:tc>
          <w:tcPr>
            <w:tcW w:w="37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56"/>
        </w:trPr>
        <w:tc>
          <w:tcPr>
            <w:tcW w:w="4360" w:type="dxa"/>
            <w:vAlign w:val="bottom"/>
          </w:tcPr>
          <w:p>
            <w:pPr>
              <w:spacing w:after="0"/>
              <w:rPr>
                <w:sz w:val="24"/>
                <w:szCs w:val="24"/>
                <w:color w:val="auto"/>
              </w:rPr>
            </w:pPr>
          </w:p>
        </w:tc>
        <w:tc>
          <w:tcPr>
            <w:tcW w:w="3760" w:type="dxa"/>
            <w:vAlign w:val="bottom"/>
          </w:tcPr>
          <w:p>
            <w:pPr>
              <w:jc w:val="right"/>
              <w:ind w:right="2551"/>
              <w:spacing w:after="0"/>
              <w:rPr>
                <w:sz w:val="20"/>
                <w:szCs w:val="20"/>
                <w:color w:val="auto"/>
              </w:rPr>
            </w:pPr>
            <w:r>
              <w:rPr>
                <w:rFonts w:ascii="Times New Roman" w:cs="Times New Roman" w:eastAsia="Times New Roman" w:hAnsi="Times New Roman"/>
                <w:sz w:val="18"/>
                <w:szCs w:val="18"/>
                <w:color w:val="auto"/>
              </w:rPr>
              <w:t>6</w:t>
            </w:r>
          </w:p>
        </w:tc>
        <w:tc>
          <w:tcPr>
            <w:tcW w:w="2240" w:type="dxa"/>
            <w:vAlign w:val="bottom"/>
          </w:tcPr>
          <w:p>
            <w:pPr>
              <w:spacing w:after="0"/>
              <w:rPr>
                <w:sz w:val="24"/>
                <w:szCs w:val="24"/>
                <w:color w:val="auto"/>
              </w:rPr>
            </w:pPr>
          </w:p>
        </w:tc>
      </w:tr>
    </w:tbl>
    <w:p>
      <w:pPr>
        <w:sectPr>
          <w:pgSz w:w="11900" w:h="16838" w:orient="portrait"/>
          <w:cols w:equalWidth="0" w:num="1">
            <w:col w:w="10360"/>
          </w:cols>
          <w:pgMar w:left="500" w:top="268" w:right="10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May 19, 2026</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6496 University Parkway</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Sarasota, Florida 34240</w:t>
      </w:r>
    </w:p>
    <w:p>
      <w:pPr>
        <w:spacing w:after="0" w:line="224"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w:t>
      </w:r>
    </w:p>
    <w:p>
      <w:pPr>
        <w:spacing w:after="0" w:line="3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Roper Technologies, Inc. 2021 Incentive Plan</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left="6" w:right="100" w:firstLine="436"/>
        <w:spacing w:after="0" w:line="257" w:lineRule="auto"/>
        <w:rPr>
          <w:sz w:val="20"/>
          <w:szCs w:val="20"/>
          <w:color w:val="auto"/>
        </w:rPr>
      </w:pPr>
      <w:r>
        <w:rPr>
          <w:rFonts w:ascii="Times New Roman" w:cs="Times New Roman" w:eastAsia="Times New Roman" w:hAnsi="Times New Roman"/>
          <w:sz w:val="18"/>
          <w:szCs w:val="18"/>
          <w:color w:val="auto"/>
        </w:rPr>
        <w:t>I am acting as your counsel in connection with the Registration Statement on Form S-8 (the “Registration Statement”) under the Securities Act of 1933, as amended (the “Securities Act”), registering an additional 14,150,000 shares of common stock, $0.01 par value (the “Shares”), of Roper Technologies, Inc., a Delaware corporation (the “Company”), which may be issued pursuant to the terms of the Company’s 2021 Incentive Plan, as amended through May 19, 2026 (the “Plan”).</w:t>
      </w:r>
    </w:p>
    <w:p>
      <w:pPr>
        <w:spacing w:after="0" w:line="182" w:lineRule="exact"/>
        <w:rPr>
          <w:sz w:val="20"/>
          <w:szCs w:val="20"/>
          <w:color w:val="auto"/>
        </w:rPr>
      </w:pPr>
    </w:p>
    <w:p>
      <w:pPr>
        <w:ind w:left="6" w:right="20" w:firstLine="436"/>
        <w:spacing w:after="0" w:line="253" w:lineRule="auto"/>
        <w:rPr>
          <w:sz w:val="20"/>
          <w:szCs w:val="20"/>
          <w:color w:val="auto"/>
        </w:rPr>
      </w:pPr>
      <w:r>
        <w:rPr>
          <w:rFonts w:ascii="Times New Roman" w:cs="Times New Roman" w:eastAsia="Times New Roman" w:hAnsi="Times New Roman"/>
          <w:sz w:val="18"/>
          <w:szCs w:val="18"/>
          <w:color w:val="auto"/>
        </w:rPr>
        <w:t>I am Executive Vice President, General Counsel and Corporate Secretary of the Company and have acted in connection with the preparation of the Registration Statement. I have been requested to furnish an opinion to be included as Exhibit 5.1 to the Registration Statement. In conjunction with the furnishing of this opinion, I or other professionals on my staff who report to me have examined and are familiar with originals or copies, certified or otherwise identified to my satisfaction, of such documents or corporate records, and have made such investigation of matters of fact and law, as I have deemed necessary or advisable to render this opinion. This opinion is subject to the following qualifications, which are in addition to any other qualifications contained herein:</w:t>
      </w:r>
    </w:p>
    <w:p>
      <w:pPr>
        <w:spacing w:after="0" w:line="93" w:lineRule="exact"/>
        <w:rPr>
          <w:sz w:val="20"/>
          <w:szCs w:val="20"/>
          <w:color w:val="auto"/>
        </w:rPr>
      </w:pPr>
    </w:p>
    <w:p>
      <w:pPr>
        <w:ind w:left="526" w:right="360" w:hanging="526"/>
        <w:spacing w:after="0" w:line="262" w:lineRule="auto"/>
        <w:tabs>
          <w:tab w:leader="none" w:pos="5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assumed without verification the genuineness of all signatures on all documents, the authority of the parties (other than the Company) executing such documents, the authenticity of all documents submitted to me as originals, and the conformity to original documents of all documents submitted to me as copies.</w:t>
      </w:r>
    </w:p>
    <w:p>
      <w:pPr>
        <w:spacing w:after="0" w:line="83" w:lineRule="exact"/>
        <w:rPr>
          <w:rFonts w:ascii="Times New Roman" w:cs="Times New Roman" w:eastAsia="Times New Roman" w:hAnsi="Times New Roman"/>
          <w:sz w:val="18"/>
          <w:szCs w:val="18"/>
          <w:color w:val="auto"/>
        </w:rPr>
      </w:pPr>
    </w:p>
    <w:p>
      <w:pPr>
        <w:ind w:left="526" w:right="240" w:hanging="526"/>
        <w:spacing w:after="0" w:line="277" w:lineRule="auto"/>
        <w:tabs>
          <w:tab w:leader="none" w:pos="5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express no opinion as to the effect or application of any laws or regulations other than the Delaware General Corporation Law as in effect on this date and current federal law.</w:t>
      </w:r>
    </w:p>
    <w:p>
      <w:pPr>
        <w:spacing w:after="0" w:line="69" w:lineRule="exact"/>
        <w:rPr>
          <w:rFonts w:ascii="Times New Roman" w:cs="Times New Roman" w:eastAsia="Times New Roman" w:hAnsi="Times New Roman"/>
          <w:sz w:val="18"/>
          <w:szCs w:val="18"/>
          <w:color w:val="auto"/>
        </w:rPr>
      </w:pPr>
    </w:p>
    <w:p>
      <w:pPr>
        <w:ind w:left="526" w:right="480" w:hanging="526"/>
        <w:spacing w:after="0" w:line="262" w:lineRule="auto"/>
        <w:tabs>
          <w:tab w:leader="none" w:pos="5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set forth herein are based on existing laws, ordinances, rules, regulations, and judicial and administrative decisions as they presently have been interpreted, and I assume no obligation to revise or supplement the opinion rendered in this letter if present laws or the interpretation thereof are changed in respect of any circumstances or events subsequent to the date hereof.</w:t>
      </w:r>
    </w:p>
    <w:p>
      <w:pPr>
        <w:sectPr>
          <w:pgSz w:w="11900" w:h="16838" w:orient="portrait"/>
          <w:cols w:equalWidth="0" w:num="1">
            <w:col w:w="10906"/>
          </w:cols>
          <w:pgMar w:left="494" w:top="117" w:right="499" w:bottom="1440" w:gutter="0" w:footer="0" w:header="0"/>
        </w:sectPr>
      </w:pPr>
    </w:p>
    <w:bookmarkStart w:id="7" w:name="page8"/>
    <w:bookmarkEnd w:id="7"/>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Based on and subject to the foregoing, I am of the opinion that the Plan has been duly authorized by appropriate corporate action and the Shares, when issued pursuant to further action by the Board of Directors of the Company or an appropriate committee thereof and in accordance with the provisions of the Plan, will be validly issued, fully paid and nonassessable, assuming that the exercise price of stock options is not less than par value and that prior to awarding shares of restricted stock there is a determination by the Company’s Board of Directors or an appropriate committee thereof that the Company has received consideration having a value not less than the par value of the shares awarded.</w:t>
      </w:r>
    </w:p>
    <w:p>
      <w:pPr>
        <w:spacing w:after="0" w:line="183"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This letter is given for the sole benefit of the Company and does not address any matters other than those expressly addressed herein. No one else is entitled to rely hereupon. This letter speaks only as of the date hereof. I undertake no responsibility to update or supplement it after such date.</w:t>
      </w:r>
    </w:p>
    <w:p>
      <w:pPr>
        <w:spacing w:after="0" w:line="163"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I hereby consent to the filing of this opinion as Exhibit 5.1 to the Company’s Registration Statement on Form S-8. In giving such consent, I do not thereby admit that I am included in the category of persons whose consent is required under Section 7 of the Securities Act or the rules and regulations of the Securities and Exchange Commission promulgated thereunder.</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John K. Stipancich</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General Counsel and Corporate</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Secretary</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00" w:top="268" w:right="5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ind w:right="68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Roper Technologies, Inc. of our report dated February 24, 2026 relating to the financial statements and the effectiveness of internal control over financial reporting, which appears in Roper Technologies, Inc.’s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ectPr>
          <w:pgSz w:w="11900" w:h="16838" w:orient="portrait"/>
          <w:cols w:equalWidth="0" w:num="1">
            <w:col w:w="10900"/>
          </w:cols>
          <w:pgMar w:left="500" w:top="117" w:right="49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ROPER TECHNOLOGIES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920" w:type="dxa"/>
            <w:vAlign w:val="bottom"/>
            <w:shd w:val="clear" w:color="auto" w:fill="9ADAF6"/>
          </w:tcPr>
          <w:p>
            <w:pPr>
              <w:ind w:left="20"/>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9ADAF6"/>
          </w:tcPr>
          <w:p>
            <w:pPr>
              <w:ind w:left="160"/>
              <w:spacing w:after="0" w:line="216" w:lineRule="exact"/>
              <w:rPr>
                <w:sz w:val="20"/>
                <w:szCs w:val="20"/>
                <w:color w:val="auto"/>
              </w:rPr>
            </w:pPr>
            <w:r>
              <w:rPr>
                <w:rFonts w:ascii="Arial" w:cs="Arial" w:eastAsia="Arial" w:hAnsi="Arial"/>
                <w:sz w:val="21"/>
                <w:szCs w:val="21"/>
                <w:b w:val="1"/>
                <w:bCs w:val="1"/>
                <w:color w:val="auto"/>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7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920" w:type="dxa"/>
            <w:vAlign w:val="bottom"/>
            <w:shd w:val="clear" w:color="auto" w:fill="9ADAF6"/>
          </w:tcPr>
          <w:p>
            <w:pPr>
              <w:ind w:left="240"/>
              <w:spacing w:after="0"/>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$0.01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14,150,000</w:t>
            </w:r>
          </w:p>
        </w:tc>
        <w:tc>
          <w:tcPr>
            <w:tcW w:w="20" w:type="dxa"/>
            <w:vAlign w:val="bottom"/>
          </w:tcPr>
          <w:p>
            <w:pPr>
              <w:spacing w:after="0"/>
              <w:rPr>
                <w:sz w:val="10"/>
                <w:szCs w:val="1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$ 313.42</w:t>
            </w:r>
          </w:p>
        </w:tc>
        <w:tc>
          <w:tcPr>
            <w:tcW w:w="20" w:type="dxa"/>
            <w:vAlign w:val="bottom"/>
          </w:tcPr>
          <w:p>
            <w:pPr>
              <w:spacing w:after="0"/>
              <w:rPr>
                <w:sz w:val="10"/>
                <w:szCs w:val="10"/>
                <w:color w:val="auto"/>
              </w:rPr>
            </w:pPr>
          </w:p>
        </w:tc>
        <w:tc>
          <w:tcPr>
            <w:tcW w:w="17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$ 612,458.73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4,434,893,000.00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$ 612,458.73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4,434,893,000.00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$ 612,458.73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880" w:hanging="225"/>
        <w:spacing w:after="0" w:line="236" w:lineRule="auto"/>
        <w:tabs>
          <w:tab w:leader="none" w:pos="800" w:val="left"/>
        </w:tabs>
        <w:numPr>
          <w:ilvl w:val="0"/>
          <w:numId w:val="8"/>
        </w:numPr>
        <w:rPr>
          <w:rFonts w:ascii="Arial" w:cs="Arial" w:eastAsia="Arial" w:hAnsi="Arial"/>
          <w:sz w:val="27"/>
          <w:szCs w:val="27"/>
          <w:color w:val="auto"/>
          <w:vertAlign w:val="superscript"/>
        </w:rPr>
      </w:pPr>
      <w:r>
        <w:rPr>
          <w:rFonts w:ascii="Arial" w:cs="Arial" w:eastAsia="Arial" w:hAnsi="Arial"/>
          <w:sz w:val="21"/>
          <w:szCs w:val="21"/>
          <w:color w:val="auto"/>
        </w:rPr>
        <w:t>(1) Amount registered represents additional common stock, par value $0.01 per share ("Common Stock"), of Roper Technologies, Inc. (the "Company"), issuable or transferrable pursuant to the Roper Technologies, Inc. 2021 Incentive Plan, as amended through May 19, 2026 (the "2021 Plan"), being registered on the Registration Statement on Form S-8 (the "Registration Statement") to which this exhibit relates. Pursuant to Rule 416 under the Securities Act of 1933, as amended (the "Securities Act"), this Registration Statement also covers such additional shares of Common Stock as may become issuable pursuant to the anti-dilution provisions of the 2021 Plan. (2) Maximum aggregate offering prices are estimated solely for the purpose of calculating the amount of the registration fee pursuant to Rule 457(c) and Rule 457(h) under the Securities Act, based on the average of the high and low sale prices of the Common Stock as reported on The Nasdaq Stock Market LLC on May 13, 2026, which date is within five business days prior to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83820</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 "/>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18" Type="http://schemas.openxmlformats.org/officeDocument/2006/relationships/hyperlink" Target="http://www.sec.gov/ix?doc=/Archives/edgar/data/0000882835/000088283526000009/rop-20251231.htm" TargetMode="External"/><Relationship Id="rId19" Type="http://schemas.openxmlformats.org/officeDocument/2006/relationships/hyperlink" Target="http://www.sec.gov/ix?doc=/Archives/edgar/data/0000882835/000088283526000019/rop-20260331.htm" TargetMode="External"/><Relationship Id="rId20" Type="http://schemas.openxmlformats.org/officeDocument/2006/relationships/hyperlink" Target="http://www.sec.gov/ix?doc=/Archives/edgar/data/0000882835/000119312526138072/d124209d8k.htm" TargetMode="External"/><Relationship Id="rId21" Type="http://schemas.openxmlformats.org/officeDocument/2006/relationships/hyperlink" Target="http://www.sec.gov/ix?doc=/Archives/edgar/data/0000882835/000119312526230480/d156759d8k.htm" TargetMode="External"/><Relationship Id="rId22" Type="http://schemas.openxmlformats.org/officeDocument/2006/relationships/hyperlink" Target="http://www.sec.gov/Archives/edgar/data/882835/000088283525000008/descriptionoftheregistrant.htm" TargetMode="External"/><Relationship Id="rId24" Type="http://schemas.openxmlformats.org/officeDocument/2006/relationships/hyperlink" Target="http://www.sec.gov/Archives/edgar/data/882835/000119312523166923/d489050dex31.htm" TargetMode="External"/><Relationship Id="rId25" Type="http://schemas.openxmlformats.org/officeDocument/2006/relationships/hyperlink" Target="http://www.sec.gov/Archives/edgar/data/882835/000119312524253130/d876994dex31.htm" TargetMode="External"/><Relationship Id="rId26" Type="http://schemas.openxmlformats.org/officeDocument/2006/relationships/hyperlink" Target="http://www.sec.gov/Archives/edgar/data/882835/000119312526230480/d15675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2026-05-19T15:06:04Z</dcterms:created>
  <dcterms:modified xsi:type="dcterms:W3CDTF">2026-05-19T15:06:04Z</dcterms:modified>
</cp:coreProperties>
</file>