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comments.xml" ContentType="application/vnd.openxmlformats-officedocument.wordprocessingml.comment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b/>
          <w:sz w:val="24"/>
        </w:rPr>
      </w:pPr>
      <w:bookmarkStart w:id="0" w:name="cover8k.htm"/>
      <w:bookmarkStart w:id="1" w:name="kscover8k"/>
      <w:bookmarkEnd w:id="0"/>
      <w:bookmarkEnd w:id="1"/>
      <w:r>
        <w:rPr>
          <w:b/>
          <w:sz w:val="24"/>
        </w:rPr>
        <w:t>UNITED STATES</w:t>
        <w:br/>
        <w:t>SECURITIES AND EXCHANGE COMMISSION</w:t>
        <w:br/>
        <w:t>WASHINGTON, DC 20549</w:t>
      </w:r>
    </w:p>
    <w:p>
      <w:pPr>
        <w:pStyle w:val="TextBody"/>
        <w:spacing w:before="0" w:after="0"/>
        <w:rPr/>
      </w:pPr>
      <w:r>
        <w:rPr/>
        <w:t> </w:t>
      </w:r>
    </w:p>
    <w:p>
      <w:pPr>
        <w:pStyle w:val="TextBody"/>
        <w:spacing w:before="0" w:after="0"/>
        <w:jc w:val="center"/>
        <w:rPr>
          <w:b/>
          <w:sz w:val="36"/>
        </w:rPr>
      </w:pPr>
      <w:r>
        <w:rPr>
          <w:b/>
          <w:sz w:val="36"/>
        </w:rPr>
        <w:t>FORM 8-K</w:t>
      </w:r>
    </w:p>
    <w:p>
      <w:pPr>
        <w:pStyle w:val="TextBody"/>
        <w:spacing w:before="0" w:after="0"/>
        <w:rPr/>
      </w:pPr>
      <w:r>
        <w:rPr/>
        <w:t> </w:t>
      </w:r>
    </w:p>
    <w:p>
      <w:pPr>
        <w:pStyle w:val="TextBody"/>
        <w:spacing w:before="0" w:after="0"/>
        <w:jc w:val="center"/>
        <w:rPr>
          <w:b/>
          <w:sz w:val="20"/>
        </w:rPr>
      </w:pPr>
      <w:r>
        <w:rPr>
          <w:b/>
          <w:sz w:val="20"/>
        </w:rPr>
        <w:t>CURRENT REPORT PURSUANT</w:t>
        <w:br/>
        <w:t>TO SECTION 13 OR 15(D) OF THE</w:t>
        <w:br/>
        <w:t>SECURITIES EXCHANGE ACT OF 1934</w:t>
      </w:r>
    </w:p>
    <w:p>
      <w:pPr>
        <w:pStyle w:val="TextBody"/>
        <w:spacing w:before="0" w:after="0"/>
        <w:rPr/>
      </w:pPr>
      <w:r>
        <w:rPr/>
        <w:t> </w:t>
      </w:r>
    </w:p>
    <w:p>
      <w:pPr>
        <w:pStyle w:val="TextBody"/>
        <w:spacing w:before="0" w:after="0"/>
        <w:rPr/>
      </w:pPr>
      <w:r>
        <w:rPr/>
        <w:t> </w:t>
      </w:r>
    </w:p>
    <w:p>
      <w:pPr>
        <w:pStyle w:val="TextBody"/>
        <w:spacing w:before="0" w:after="0"/>
        <w:jc w:val="center"/>
        <w:rPr>
          <w:b/>
          <w:sz w:val="20"/>
        </w:rPr>
      </w:pPr>
      <w:r>
        <w:rPr>
          <w:b/>
          <w:sz w:val="20"/>
        </w:rPr>
        <w:t>August 22, 2012</w:t>
      </w:r>
    </w:p>
    <w:p>
      <w:pPr>
        <w:pStyle w:val="HorizontalLine"/>
        <w:pBdr>
          <w:bottom w:val="single" w:sz="6" w:space="0" w:color="808080"/>
        </w:pBdr>
        <w:ind w:left="2041" w:right="2041" w:hanging="0"/>
        <w:rPr/>
      </w:pPr>
      <w:r>
        <w:rPr/>
      </w:r>
    </w:p>
    <w:p>
      <w:pPr>
        <w:pStyle w:val="TextBody"/>
        <w:spacing w:before="0" w:after="0"/>
        <w:jc w:val="center"/>
        <w:rPr/>
      </w:pPr>
      <w:r>
        <w:rPr>
          <w:sz w:val="20"/>
        </w:rPr>
        <w:t>DATE OF REPORT (DATE OF EARLIEST EVENT REPORTED)</w:t>
      </w:r>
      <w:r>
        <w:rPr/>
        <w:t xml:space="preserve"> </w:t>
      </w:r>
    </w:p>
    <w:p>
      <w:pPr>
        <w:pStyle w:val="TextBody"/>
        <w:spacing w:before="0" w:after="0"/>
        <w:jc w:val="center"/>
        <w:rPr/>
      </w:pPr>
      <w:r>
        <w:rPr/>
        <w:t> </w:t>
      </w:r>
    </w:p>
    <w:p>
      <w:pPr>
        <w:pStyle w:val="TextBody"/>
        <w:spacing w:before="0" w:after="0"/>
        <w:jc w:val="center"/>
        <w:rPr>
          <w:b/>
          <w:sz w:val="48"/>
        </w:rPr>
      </w:pPr>
      <w:r>
        <w:rPr>
          <w:b/>
          <w:sz w:val="48"/>
        </w:rPr>
        <w:t>ROPER INDUSTRIES, INC.</w:t>
      </w:r>
    </w:p>
    <w:p>
      <w:pPr>
        <w:pStyle w:val="HorizontalLine"/>
        <w:pBdr>
          <w:bottom w:val="single" w:sz="6" w:space="0" w:color="808080"/>
        </w:pBdr>
        <w:ind w:left="2041" w:right="2041" w:hanging="0"/>
        <w:rPr/>
      </w:pPr>
      <w:r>
        <w:rPr/>
      </w:r>
    </w:p>
    <w:p>
      <w:pPr>
        <w:pStyle w:val="TextBody"/>
        <w:spacing w:before="0" w:after="0"/>
        <w:jc w:val="center"/>
        <w:rPr/>
      </w:pPr>
      <w:r>
        <w:rPr>
          <w:sz w:val="20"/>
        </w:rPr>
        <w:t>(EXACT NAME OF REGISTRANT AS SPECIFIED IN ITS CHARTER)</w:t>
      </w:r>
      <w:r>
        <w:rPr/>
        <w:t xml:space="preserve"> </w:t>
      </w:r>
    </w:p>
    <w:p>
      <w:pPr>
        <w:pStyle w:val="TextBody"/>
        <w:spacing w:before="0" w:after="0"/>
        <w:jc w:val="center"/>
        <w:rPr/>
      </w:pPr>
      <w:r>
        <w:rPr/>
        <w:t> </w:t>
      </w:r>
    </w:p>
    <w:p>
      <w:pPr>
        <w:pStyle w:val="TextBody"/>
        <w:spacing w:before="0" w:after="0"/>
        <w:jc w:val="center"/>
        <w:rPr>
          <w:b/>
          <w:sz w:val="20"/>
        </w:rPr>
      </w:pPr>
      <w:r>
        <w:rPr>
          <w:b/>
          <w:sz w:val="20"/>
        </w:rPr>
        <w:t>DELAWARE</w:t>
      </w:r>
    </w:p>
    <w:p>
      <w:pPr>
        <w:pStyle w:val="HorizontalLine"/>
        <w:pBdr>
          <w:bottom w:val="single" w:sz="6" w:space="0" w:color="808080"/>
        </w:pBdr>
        <w:ind w:left="2041" w:right="2041" w:hanging="0"/>
        <w:rPr/>
      </w:pPr>
      <w:r>
        <w:rPr/>
      </w:r>
    </w:p>
    <w:p>
      <w:pPr>
        <w:pStyle w:val="TextBody"/>
        <w:spacing w:before="0" w:after="0"/>
        <w:jc w:val="center"/>
        <w:rPr/>
      </w:pPr>
      <w:r>
        <w:rPr>
          <w:sz w:val="20"/>
        </w:rPr>
        <w:t>(STATE OR OTHER JURISDICTION OF INCORPORATION)</w:t>
      </w:r>
      <w:r>
        <w:rPr/>
        <w:t xml:space="preserve">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0"/>
              <w:jc w:val="center"/>
              <w:rPr/>
            </w:pPr>
            <w:r>
              <w:rPr/>
              <w:t> </w:t>
            </w:r>
            <w:r>
              <w:rPr>
                <w:rFonts w:ascii="times new roman" w:hAnsi="times new roman"/>
                <w:b/>
                <w:sz w:val="20"/>
              </w:rPr>
              <w:t>1-12273</w:t>
            </w:r>
          </w:p>
        </w:tc>
        <w:tc>
          <w:tcPr>
            <w:tcW w:w="5103" w:type="dxa"/>
            <w:tcBorders/>
            <w:shd w:fill="FFFFFF" w:val="clear"/>
            <w:vAlign w:val="center"/>
          </w:tcPr>
          <w:p>
            <w:pPr>
              <w:pStyle w:val="TableContents"/>
              <w:spacing w:before="0" w:after="0"/>
              <w:jc w:val="center"/>
              <w:rPr/>
            </w:pPr>
            <w:r>
              <w:rPr/>
              <w:t> </w:t>
            </w:r>
            <w:r>
              <w:rPr>
                <w:rFonts w:ascii="times new roman" w:hAnsi="times new roman"/>
                <w:b/>
                <w:sz w:val="20"/>
              </w:rPr>
              <w:t>51-0263969</w:t>
            </w:r>
          </w:p>
        </w:tc>
      </w:tr>
      <w:tr>
        <w:trPr/>
        <w:tc>
          <w:tcPr>
            <w:tcW w:w="5102" w:type="dxa"/>
            <w:tcBorders>
              <w:bottom w:val="single" w:sz="1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12" w:space="0" w:color="000000"/>
            </w:tcBorders>
            <w:shd w:fill="FFFFFF" w:val="clear"/>
            <w:tcMar>
              <w:bottom w:w="28" w:type="dxa"/>
            </w:tcM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0"/>
              <w:jc w:val="center"/>
              <w:rPr/>
            </w:pPr>
            <w:r>
              <w:rPr/>
              <w:t> </w:t>
            </w:r>
            <w:r>
              <w:rPr>
                <w:rFonts w:ascii="times new roman" w:hAnsi="times new roman"/>
                <w:sz w:val="20"/>
              </w:rPr>
              <w:t>(COMMISSION FILE NUMBER)</w:t>
            </w:r>
          </w:p>
        </w:tc>
        <w:tc>
          <w:tcPr>
            <w:tcW w:w="5103" w:type="dxa"/>
            <w:tcBorders/>
            <w:shd w:fill="FFFFFF" w:val="clear"/>
            <w:vAlign w:val="center"/>
          </w:tcPr>
          <w:p>
            <w:pPr>
              <w:pStyle w:val="TableContents"/>
              <w:spacing w:before="0" w:after="0"/>
              <w:jc w:val="center"/>
              <w:rPr/>
            </w:pPr>
            <w:r>
              <w:rPr/>
              <w:t> </w:t>
            </w:r>
            <w:r>
              <w:rPr>
                <w:rFonts w:ascii="times new roman" w:hAnsi="times new roman"/>
                <w:sz w:val="20"/>
              </w:rPr>
              <w:t>(IRS EMPLOYER IDENTIFICATION NO.)</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0"/>
              <w:jc w:val="center"/>
              <w:rPr/>
            </w:pPr>
            <w:r>
              <w:rPr/>
              <w:t> </w:t>
            </w:r>
            <w:r>
              <w:rPr>
                <w:rFonts w:ascii="times new roman" w:hAnsi="times new roman"/>
                <w:b/>
                <w:sz w:val="20"/>
              </w:rPr>
              <w:t>6901 PROFESSIONAL PKWY. EAST, SUITE 200, SARASOTA, FLORIDA</w:t>
            </w:r>
          </w:p>
        </w:tc>
        <w:tc>
          <w:tcPr>
            <w:tcW w:w="5103" w:type="dxa"/>
            <w:tcBorders/>
            <w:shd w:fill="FFFFFF" w:val="clear"/>
            <w:vAlign w:val="center"/>
          </w:tcPr>
          <w:p>
            <w:pPr>
              <w:pStyle w:val="TableContents"/>
              <w:spacing w:before="0" w:after="0"/>
              <w:jc w:val="center"/>
              <w:rPr/>
            </w:pPr>
            <w:r>
              <w:rPr/>
              <w:t> </w:t>
            </w:r>
            <w:r>
              <w:rPr>
                <w:rFonts w:ascii="times new roman" w:hAnsi="times new roman"/>
                <w:b/>
                <w:sz w:val="20"/>
              </w:rPr>
              <w:t>34240</w:t>
            </w:r>
          </w:p>
        </w:tc>
      </w:tr>
      <w:tr>
        <w:trPr/>
        <w:tc>
          <w:tcPr>
            <w:tcW w:w="5102" w:type="dxa"/>
            <w:tcBorders>
              <w:bottom w:val="single" w:sz="1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12" w:space="0" w:color="000000"/>
            </w:tcBorders>
            <w:shd w:fill="FFFFFF" w:val="clear"/>
            <w:tcMar>
              <w:bottom w:w="28" w:type="dxa"/>
            </w:tcM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0"/>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0"/>
              <w:jc w:val="center"/>
              <w:rPr/>
            </w:pPr>
            <w:r>
              <w:rPr/>
              <w:t> </w:t>
            </w:r>
            <w:r>
              <w:rPr>
                <w:rFonts w:ascii="times new roman" w:hAnsi="times new roman"/>
                <w:sz w:val="20"/>
              </w:rPr>
              <w:t>(ADDRESS OF PRINCIPAL EXECUTIVE OFFICES)</w:t>
            </w:r>
          </w:p>
        </w:tc>
        <w:tc>
          <w:tcPr>
            <w:tcW w:w="5103" w:type="dxa"/>
            <w:tcBorders/>
            <w:shd w:fill="FFFFFF" w:val="clear"/>
            <w:vAlign w:val="center"/>
          </w:tcPr>
          <w:p>
            <w:pPr>
              <w:pStyle w:val="TableContents"/>
              <w:spacing w:before="0" w:after="0"/>
              <w:jc w:val="center"/>
              <w:rPr/>
            </w:pPr>
            <w:r>
              <w:rPr/>
              <w:t> </w:t>
            </w:r>
            <w:r>
              <w:rPr>
                <w:rFonts w:ascii="times new roman" w:hAnsi="times new roman"/>
                <w:sz w:val="20"/>
              </w:rPr>
              <w:t>(ZIP CODE)</w:t>
            </w:r>
          </w:p>
        </w:tc>
      </w:tr>
    </w:tbl>
    <w:p>
      <w:pPr>
        <w:pStyle w:val="TextBody"/>
        <w:spacing w:before="0" w:after="0"/>
        <w:rPr/>
      </w:pPr>
      <w:r>
        <w:rPr/>
        <w:t> </w:t>
      </w:r>
    </w:p>
    <w:p>
      <w:pPr>
        <w:pStyle w:val="TextBody"/>
        <w:spacing w:before="0" w:after="0"/>
        <w:jc w:val="center"/>
        <w:rPr/>
      </w:pPr>
      <w:r>
        <w:rPr/>
        <w:t> </w:t>
      </w:r>
    </w:p>
    <w:p>
      <w:pPr>
        <w:pStyle w:val="TextBody"/>
        <w:spacing w:before="0" w:after="0"/>
        <w:jc w:val="center"/>
        <w:rPr>
          <w:b/>
          <w:sz w:val="20"/>
        </w:rPr>
      </w:pPr>
      <w:r>
        <w:rPr>
          <w:b/>
          <w:sz w:val="20"/>
        </w:rPr>
        <w:t>(941) 556-2601</w:t>
      </w:r>
    </w:p>
    <w:p>
      <w:pPr>
        <w:pStyle w:val="HorizontalLine"/>
        <w:pBdr>
          <w:bottom w:val="single" w:sz="6" w:space="0" w:color="808080"/>
        </w:pBdr>
        <w:ind w:left="2041" w:right="2041" w:hanging="0"/>
        <w:rPr/>
      </w:pPr>
      <w:r>
        <w:rPr/>
      </w:r>
    </w:p>
    <w:p>
      <w:pPr>
        <w:pStyle w:val="TextBody"/>
        <w:spacing w:before="0" w:after="0"/>
        <w:jc w:val="center"/>
        <w:rPr/>
      </w:pPr>
      <w:r>
        <w:rPr>
          <w:sz w:val="20"/>
        </w:rPr>
        <w:t>(REGISTRANT’S TELEPHONE NUMBER, INCLUDING AREA CODE)</w:t>
      </w:r>
      <w:r>
        <w:rPr/>
        <w:t xml:space="preserve"> </w:t>
      </w:r>
    </w:p>
    <w:p>
      <w:pPr>
        <w:pStyle w:val="TextBody"/>
        <w:spacing w:before="0" w:after="0"/>
        <w:jc w:val="center"/>
        <w:rPr/>
      </w:pPr>
      <w:r>
        <w:rPr/>
        <w:t> </w:t>
      </w:r>
    </w:p>
    <w:p>
      <w:pPr>
        <w:pStyle w:val="TextBody"/>
        <w:spacing w:before="0" w:after="0"/>
        <w:rPr/>
      </w:pPr>
      <w:r>
        <w:rPr/>
        <w:t> </w:t>
      </w:r>
    </w:p>
    <w:p>
      <w:pPr>
        <w:pStyle w:val="HorizontalLine"/>
        <w:pBdr>
          <w:bottom w:val="single" w:sz="6" w:space="0" w:color="808080"/>
        </w:pBdr>
        <w:ind w:left="2041" w:right="2041" w:hanging="0"/>
        <w:rPr/>
      </w:pPr>
      <w:r>
        <w:rPr/>
      </w:r>
    </w:p>
    <w:p>
      <w:pPr>
        <w:pStyle w:val="TextBody"/>
        <w:spacing w:before="0" w:after="0"/>
        <w:jc w:val="center"/>
        <w:rPr/>
      </w:pPr>
      <w:r>
        <w:rPr>
          <w:sz w:val="20"/>
        </w:rPr>
        <w:t>(FORMER NAME OR ADDRESS, IF CHANGED SINCE LAST REPORT)</w:t>
      </w:r>
      <w:r>
        <w:rPr/>
        <w:t xml:space="preserve"> </w:t>
      </w:r>
    </w:p>
    <w:p>
      <w:pPr>
        <w:pStyle w:val="TextBody"/>
        <w:spacing w:before="0" w:after="0"/>
        <w:jc w:val="center"/>
        <w:rPr/>
      </w:pPr>
      <w:r>
        <w:rPr/>
        <w:t> </w:t>
      </w:r>
    </w:p>
    <w:p>
      <w:pPr>
        <w:pStyle w:val="TextBody"/>
        <w:spacing w:before="0" w:after="0"/>
        <w:jc w:val="center"/>
        <w:rPr/>
      </w:pPr>
      <w:r>
        <w:rPr/>
        <w:t> </w:t>
      </w:r>
    </w:p>
    <w:p>
      <w:pPr>
        <w:pStyle w:val="TextBody"/>
        <w:spacing w:before="0" w:after="0"/>
        <w:ind w:left="540" w:right="0" w:hanging="0"/>
        <w:jc w:val="left"/>
        <w:rPr/>
      </w:pPr>
      <w:r>
        <w:rPr>
          <w:sz w:val="20"/>
        </w:rPr>
        <w:t>Check the appropriate box below if the Form 8-K filing is intended to simultaneously satisfy the filing obligation of the registrant</w:t>
        <w:br/>
        <w:t>under any of the following provisions:</w:t>
      </w:r>
      <w:r>
        <w:rPr>
          <w:sz w:val="20"/>
        </w:rPr>
        <w:commentReference w:id="0"/>
      </w:r>
      <w:r>
        <w:rPr/>
        <w:t xml:space="preserve"> </w:t>
      </w:r>
    </w:p>
    <w:p>
      <w:pPr>
        <w:pStyle w:val="TextBody"/>
        <w:spacing w:before="0" w:after="0"/>
        <w:rPr/>
      </w:pPr>
      <w:r>
        <w:rPr/>
        <w:t> </w:t>
      </w:r>
    </w:p>
    <w:p>
      <w:pPr>
        <w:pStyle w:val="TextBody"/>
        <w:spacing w:before="0" w:after="0"/>
        <w:jc w:val="center"/>
        <w:rPr>
          <w:rFonts w:ascii="Times New Roman;Times;Serif" w:hAnsi="Times New Roman;Times;Serif"/>
          <w:sz w:val="20"/>
        </w:rPr>
      </w:pPr>
      <w:r>
        <w:rPr>
          <w:rFonts w:ascii="Times New Roman;Times;Serif" w:hAnsi="Times New Roman;Times;Serif"/>
          <w:sz w:val="20"/>
        </w:rPr>
        <w:t>[    ] Written communication pursuant to Rule 425 under the Securities Act (17 CFR 230.425)                                         </w:t>
        <w:br/>
        <w:t> [    ]  Soliciting material pursuant to Rule 14a-12 under the Exchange Act (17 CFR 240.14a-12)                                         </w:t>
        <w:br/>
        <w:t>[    ]  Pre-commencement communications pursuant to Rule 14d-2(b) under the Exchange Act (17 CFR 240.14d-2(b))</w:t>
        <w:br/>
        <w:t> [    ]  Pre-commencement communications pursuant to Rule 13e-4(c) under the Exchange Act (17 CFR 240.13e-4(c))  </w:t>
      </w:r>
    </w:p>
    <w:p>
      <w:pPr>
        <w:pStyle w:val="TextBody"/>
        <w:spacing w:before="0" w:after="0"/>
        <w:jc w:val="center"/>
        <w:rPr/>
      </w:pPr>
      <w:r>
        <w:rPr/>
        <w:t> </w:t>
      </w:r>
    </w:p>
    <w:p>
      <w:pPr>
        <w:pStyle w:val="TextBody"/>
        <w:spacing w:before="0" w:after="0"/>
        <w:jc w:val="center"/>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b w:val="false"/>
          <w:sz w:val="20"/>
        </w:rPr>
      </w:pPr>
      <w:r>
        <w:rPr>
          <w:rFonts w:ascii="times new roman" w:hAnsi="times new roman"/>
          <w:b w:val="false"/>
          <w:sz w:val="20"/>
        </w:rPr>
        <w:commentReference w:id="1"/>
      </w:r>
      <w:r>
        <w:rPr>
          <w:rFonts w:ascii="times new roman" w:hAnsi="times new roman"/>
          <w:b w:val="false"/>
          <w:sz w:val="20"/>
        </w:rPr>
        <w:t>Item 2.01 – Completion of Acquisition or Disposition of Assets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August 22, 2012, Roper Industries, Inc., a Delaware corporation (the “</w:t>
      </w:r>
      <w:r>
        <w:rPr>
          <w:rFonts w:ascii="Times New Roman" w:hAnsi="Times New Roman"/>
          <w:b/>
          <w:sz w:val="20"/>
        </w:rPr>
        <w:t>Company</w:t>
      </w:r>
      <w:r>
        <w:rPr>
          <w:rFonts w:ascii="Times New Roman" w:hAnsi="Times New Roman"/>
          <w:sz w:val="20"/>
        </w:rPr>
        <w:t>”), completed the acquisition of Sunquest Holdings, Inc., a Delaware corporation (“</w:t>
      </w:r>
      <w:r>
        <w:rPr>
          <w:rFonts w:ascii="Times New Roman" w:hAnsi="Times New Roman"/>
          <w:b/>
          <w:sz w:val="20"/>
        </w:rPr>
        <w:t>Sunquest</w:t>
      </w:r>
      <w:r>
        <w:rPr>
          <w:rFonts w:ascii="Times New Roman" w:hAnsi="Times New Roman"/>
          <w:sz w:val="20"/>
        </w:rPr>
        <w:t>”), pursuant to a Stock Purchase Agreement (the “</w:t>
      </w:r>
      <w:r>
        <w:rPr>
          <w:rFonts w:ascii="Times New Roman" w:hAnsi="Times New Roman"/>
          <w:b/>
          <w:sz w:val="20"/>
        </w:rPr>
        <w:t>Stock Purchase Agreement</w:t>
      </w:r>
      <w:r>
        <w:rPr>
          <w:rFonts w:ascii="Times New Roman" w:hAnsi="Times New Roman"/>
          <w:sz w:val="20"/>
        </w:rPr>
        <w:t>”) by and among the Company, Sunquest, Sunquest Sponsor Holdings, LLC, affiliated funds of Vista Equity Partners and individual holders of Sunquest common shares.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aggregate purchase price paid by the Company was $1.415 billion in cash, subject to adjustment reflecting that the acquisition of Sunquest was on a debt-free, cash-free basis with Sunquest’s transaction expenses borne by the Sellers.  The aggregate purchase price paid was also subject to adjustment to reflect the difference between estimated working capital at closing and a target working capital range.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summary of the material terms of the Stock Purchase Agreement is included in the Company's Form 8-K filed with the Securities and Exchange Commission on August 2, 2012.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copy of the press release issued by the Company on August 23, 2012 relating to the completion of the acquisition is attached hereto as Exhibit 99.1 and incorporated herein by reference.</w:t>
      </w:r>
    </w:p>
    <w:p>
      <w:pPr>
        <w:pStyle w:val="TextBody"/>
        <w:spacing w:before="0" w:after="0"/>
        <w:rPr/>
      </w:pPr>
      <w:r>
        <w:rPr/>
        <w:t> </w:t>
      </w:r>
    </w:p>
    <w:p>
      <w:pPr>
        <w:pStyle w:val="TextBody"/>
        <w:spacing w:before="0" w:after="0"/>
        <w:rPr/>
      </w:pPr>
      <w:r>
        <w:rPr/>
        <w:t> </w:t>
      </w:r>
    </w:p>
    <w:p>
      <w:pPr>
        <w:pStyle w:val="TextBody"/>
        <w:spacing w:before="0" w:after="0"/>
        <w:rPr>
          <w:rFonts w:ascii="Times New Roman;Times;Serif" w:hAnsi="Times New Roman;Times;Serif"/>
          <w:sz w:val="20"/>
        </w:rPr>
      </w:pPr>
      <w:r>
        <w:rPr>
          <w:rFonts w:ascii="Times New Roman;Times;Serif" w:hAnsi="Times New Roman;Times;Serif"/>
          <w:sz w:val="20"/>
        </w:rPr>
        <w:t>Item 9.01. Financial Statements and Exhibits.</w:t>
      </w:r>
    </w:p>
    <w:p>
      <w:pPr>
        <w:pStyle w:val="TextBody"/>
        <w:spacing w:before="0" w:after="0"/>
        <w:rPr/>
      </w:pPr>
      <w:r>
        <w:rPr/>
        <w:t> </w:t>
      </w:r>
    </w:p>
    <w:p>
      <w:pPr>
        <w:pStyle w:val="TextBody"/>
        <w:spacing w:before="0" w:after="0"/>
        <w:rPr>
          <w:rFonts w:ascii="Times New Roman;Times;Serif" w:hAnsi="Times New Roman;Times;Serif"/>
          <w:sz w:val="20"/>
        </w:rPr>
      </w:pPr>
      <w:r>
        <w:rPr>
          <w:rFonts w:ascii="Times New Roman;Times;Serif" w:hAnsi="Times New Roman;Times;Serif"/>
          <w:sz w:val="20"/>
        </w:rPr>
        <w:commentReference w:id="2"/>
      </w:r>
      <w:r>
        <w:rPr>
          <w:rFonts w:ascii="Times New Roman;Times;Serif" w:hAnsi="Times New Roman;Times;Serif"/>
          <w:sz w:val="20"/>
        </w:rPr>
        <w:t xml:space="preserve">(a)     </w:t>
      </w:r>
      <w:r>
        <w:rPr>
          <w:rFonts w:ascii="Times New Roman;Times;Serif" w:hAnsi="Times New Roman;Times;Serif"/>
          <w:i/>
          <w:sz w:val="20"/>
        </w:rPr>
        <w:t>Financial Statements of Businesses Acquired</w:t>
      </w:r>
      <w:r>
        <w:rPr>
          <w:rFonts w:ascii="Times New Roman;Times;Serif" w:hAnsi="Times New Roman;Times;Serif"/>
          <w:sz w:val="20"/>
        </w:rPr>
        <w:t>.</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rPr/>
            </w:pPr>
            <w:r>
              <w:rPr/>
              <w:commentReference w:id="3"/>
            </w:r>
            <w:r>
              <w:rPr/>
              <w:t> </w:t>
            </w:r>
          </w:p>
        </w:tc>
        <w:tc>
          <w:tcPr>
            <w:tcW w:w="96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statements of the business acquired will be filed by amendment to this Current Report on Form 8-K (the “</w:t>
            </w:r>
            <w:r>
              <w:rPr>
                <w:rFonts w:ascii="times new roman" w:hAnsi="times new roman"/>
                <w:b/>
                <w:sz w:val="20"/>
              </w:rPr>
              <w:t>Report</w:t>
            </w:r>
            <w:r>
              <w:rPr>
                <w:rFonts w:ascii="times new roman" w:hAnsi="times new roman"/>
                <w:sz w:val="20"/>
              </w:rPr>
              <w:t>”) no later than November 7, 2012.</w:t>
            </w:r>
          </w:p>
        </w:tc>
      </w:tr>
    </w:tbl>
    <w:p>
      <w:pPr>
        <w:pStyle w:val="TextBody"/>
        <w:spacing w:before="0" w:after="0"/>
        <w:rPr/>
      </w:pPr>
      <w:r>
        <w:rPr/>
        <w:commentReference w:id="4"/>
      </w:r>
    </w:p>
    <w:p>
      <w:pPr>
        <w:pStyle w:val="TextBody"/>
        <w:spacing w:before="0" w:after="0"/>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i/>
          <w:sz w:val="20"/>
        </w:rPr>
        <w:t>Pro Forma Financial Information</w:t>
      </w:r>
      <w:r>
        <w:rPr>
          <w:rFonts w:ascii="Times New Roman;Times;Serif" w:hAnsi="Times New Roman;Times;Serif"/>
          <w:sz w:val="20"/>
        </w:rPr>
        <w:t>.</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rPr/>
            </w:pPr>
            <w:r>
              <w:rPr/>
              <w:commentReference w:id="5"/>
            </w:r>
            <w:r>
              <w:rPr/>
              <w:t> </w:t>
            </w:r>
          </w:p>
        </w:tc>
        <w:tc>
          <w:tcPr>
            <w:tcW w:w="969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 forma financial information will be filed by amendment to this Report no later than November 7, 2012.</w:t>
            </w:r>
          </w:p>
        </w:tc>
      </w:tr>
    </w:tbl>
    <w:p>
      <w:pPr>
        <w:pStyle w:val="TextBody"/>
        <w:spacing w:before="0" w:after="0"/>
        <w:rPr/>
      </w:pPr>
      <w:r>
        <w:rPr/>
        <w:commentReference w:id="6"/>
      </w:r>
    </w:p>
    <w:p>
      <w:pPr>
        <w:pStyle w:val="TextBody"/>
        <w:spacing w:before="0" w:after="0"/>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i/>
          <w:sz w:val="20"/>
        </w:rPr>
        <w:t>Shell Company Transactions.</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4"/>
        <w:gridCol w:w="9701"/>
      </w:tblGrid>
      <w:tr>
        <w:trPr/>
        <w:tc>
          <w:tcPr>
            <w:tcW w:w="504" w:type="dxa"/>
            <w:tcBorders/>
            <w:shd w:fill="auto" w:val="clear"/>
          </w:tcPr>
          <w:p>
            <w:pPr>
              <w:pStyle w:val="TableContents"/>
              <w:spacing w:before="0" w:after="283"/>
              <w:rPr/>
            </w:pPr>
            <w:r>
              <w:rPr/>
              <w:t> </w:t>
            </w:r>
          </w:p>
        </w:tc>
        <w:tc>
          <w:tcPr>
            <w:tcW w:w="9701" w:type="dxa"/>
            <w:tcBorders/>
            <w:shd w:fill="auto" w:val="clear"/>
          </w:tcPr>
          <w:p>
            <w:pPr>
              <w:pStyle w:val="TableContents"/>
              <w:spacing w:before="0" w:after="283"/>
              <w:rPr>
                <w:rFonts w:ascii="times new roman;times;serif" w:hAnsi="times new roman;times;serif"/>
                <w:sz w:val="20"/>
              </w:rPr>
            </w:pPr>
            <w:r>
              <w:rPr>
                <w:rFonts w:ascii="times new roman;times;serif" w:hAnsi="times new roman;times;serif"/>
                <w:sz w:val="20"/>
              </w:rPr>
              <w:t>Not applicable</w:t>
            </w:r>
          </w:p>
        </w:tc>
      </w:tr>
    </w:tbl>
    <w:p>
      <w:pPr>
        <w:pStyle w:val="TextBody"/>
        <w:spacing w:before="0" w:after="0"/>
        <w:rPr/>
      </w:pPr>
      <w:r>
        <w:rPr/>
        <w:t> </w:t>
      </w:r>
    </w:p>
    <w:p>
      <w:pPr>
        <w:pStyle w:val="TextBody"/>
        <w:spacing w:before="0" w:after="0"/>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i/>
          <w:sz w:val="20"/>
        </w:rPr>
        <w:t>Exhibits</w:t>
      </w:r>
      <w:r>
        <w:rPr>
          <w:rFonts w:ascii="Times New Roman;Times;Serif" w:hAnsi="Times New Roman;Times;Serif"/>
          <w:sz w:val="20"/>
        </w:rPr>
        <w:t>.</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283"/>
              <w:rPr/>
            </w:pPr>
            <w:r>
              <w:rPr/>
              <w:t> </w:t>
            </w:r>
          </w:p>
        </w:tc>
        <w:tc>
          <w:tcPr>
            <w:tcW w:w="9700" w:type="dxa"/>
            <w:tcBorders/>
            <w:shd w:fill="auto" w:val="clea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99.1 Press Release of the Company </w:t>
            </w:r>
            <w:r>
              <w:rPr>
                <w:rFonts w:ascii="times new roman" w:hAnsi="times new roman"/>
                <w:sz w:val="20"/>
              </w:rPr>
              <w:t>dated August 23, 2012 announcing the completion of the acquisition of Sunquest Holdings, Inc.</w:t>
            </w:r>
          </w:p>
        </w:tc>
      </w:tr>
    </w:tbl>
    <w:p>
      <w:pPr>
        <w:pStyle w:val="TextBody"/>
        <w:spacing w:before="0" w:after="0"/>
        <w:rPr/>
      </w:pPr>
      <w:r>
        <w:rPr/>
      </w:r>
    </w:p>
    <w:p>
      <w:pPr>
        <w:pStyle w:val="HorizontalLine"/>
        <w:pBdr>
          <w:bottom w:val="single" w:sz="18" w:space="0" w:color="808080"/>
        </w:pBdr>
        <w:rPr/>
      </w:pPr>
      <w:r>
        <w:rPr/>
      </w:r>
    </w:p>
    <w:p>
      <w:pPr>
        <w:pStyle w:val="TextBody"/>
        <w:rPr/>
      </w:pPr>
      <w:r>
        <w:rPr/>
        <w:commentReference w:id="7"/>
      </w:r>
    </w:p>
    <w:p>
      <w:pPr>
        <w:pStyle w:val="TextBody"/>
        <w:spacing w:before="0" w:after="0"/>
        <w:jc w:val="center"/>
        <w:rPr>
          <w:rFonts w:ascii="Times New Roman;Times;Serif" w:hAnsi="Times New Roman;Times;Serif"/>
          <w:sz w:val="20"/>
          <w:u w:val="single"/>
        </w:rPr>
      </w:pPr>
      <w:r>
        <w:rPr>
          <w:rFonts w:ascii="Times New Roman;Times;Serif" w:hAnsi="Times New Roman;Times;Serif"/>
          <w:sz w:val="20"/>
          <w:u w:val="single"/>
        </w:rPr>
        <w:t>Signatures</w:t>
      </w:r>
    </w:p>
    <w:p>
      <w:pPr>
        <w:pStyle w:val="TextBody"/>
        <w:spacing w:before="0" w:after="0"/>
        <w:rPr/>
      </w:pPr>
      <w:r>
        <w:rPr/>
        <w:t> </w:t>
      </w:r>
    </w:p>
    <w:p>
      <w:pPr>
        <w:pStyle w:val="TextBody"/>
        <w:spacing w:before="0" w:after="0"/>
        <w:rPr/>
      </w:pPr>
      <w:r>
        <w:rPr/>
        <w:commentReference w:id="8"/>
      </w:r>
      <w:r>
        <w:rPr/>
        <w:t>        </w:t>
      </w: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spacing w:before="0" w:after="0"/>
        <w:rPr/>
      </w:pPr>
      <w:r>
        <w:rPr/>
        <w:t> </w:t>
      </w:r>
    </w:p>
    <w:tbl>
      <w:tblPr>
        <w:tblW w:w="9000" w:type="dxa"/>
        <w:jc w:val="center"/>
        <w:tblInd w:w="0" w:type="dxa"/>
        <w:tblCellMar>
          <w:top w:w="0" w:type="dxa"/>
          <w:left w:w="0" w:type="dxa"/>
          <w:bottom w:w="0" w:type="dxa"/>
          <w:right w:w="0" w:type="dxa"/>
        </w:tblCellMar>
      </w:tblPr>
      <w:tblGrid>
        <w:gridCol w:w="60"/>
        <w:gridCol w:w="60"/>
        <w:gridCol w:w="436"/>
        <w:gridCol w:w="4980"/>
        <w:gridCol w:w="60"/>
        <w:gridCol w:w="3284"/>
        <w:gridCol w:w="60"/>
        <w:gridCol w:w="60"/>
      </w:tblGrid>
      <w:tr>
        <w:trPr/>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4980" w:type="dxa"/>
            <w:tcBorders/>
            <w:shd w:fill="auto" w:val="clear"/>
            <w:vAlign w:val="bottom"/>
          </w:tcPr>
          <w:p>
            <w:pPr>
              <w:pStyle w:val="TableContents"/>
              <w:spacing w:before="0" w:after="283"/>
              <w:rPr/>
            </w:pPr>
            <w:r>
              <w:rPr/>
              <w:t> </w:t>
            </w:r>
            <w:r>
              <w:rPr>
                <w:b/>
                <w:sz w:val="20"/>
              </w:rPr>
              <w:t>Roper Industries, Inc.</w:t>
            </w:r>
          </w:p>
        </w:tc>
        <w:tc>
          <w:tcPr>
            <w:tcW w:w="60" w:type="dxa"/>
            <w:tcBorders/>
            <w:shd w:fill="auto" w:val="clear"/>
            <w:vAlign w:val="bottom"/>
          </w:tcPr>
          <w:p>
            <w:pPr>
              <w:pStyle w:val="TableContents"/>
              <w:spacing w:before="0" w:after="283"/>
              <w:rPr/>
            </w:pPr>
            <w:r>
              <w:rPr/>
              <w:t> </w:t>
            </w:r>
          </w:p>
        </w:tc>
        <w:tc>
          <w:tcPr>
            <w:tcW w:w="3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4980" w:type="dxa"/>
            <w:tcBorders/>
            <w:shd w:fill="auto" w:val="clear"/>
            <w:vAlign w:val="bottom"/>
          </w:tcPr>
          <w:p>
            <w:pPr>
              <w:pStyle w:val="TableContents"/>
              <w:spacing w:before="0" w:after="283"/>
              <w:rPr/>
            </w:pPr>
            <w:r>
              <w:rPr/>
              <w:t> </w:t>
            </w:r>
            <w:r>
              <w:rPr>
                <w:sz w:val="20"/>
              </w:rPr>
              <w:t>(Registrant)</w:t>
            </w:r>
          </w:p>
        </w:tc>
        <w:tc>
          <w:tcPr>
            <w:tcW w:w="60" w:type="dxa"/>
            <w:tcBorders/>
            <w:shd w:fill="auto" w:val="clear"/>
          </w:tcPr>
          <w:p>
            <w:pPr>
              <w:pStyle w:val="TableContents"/>
              <w:spacing w:before="0" w:after="283"/>
              <w:jc w:val="left"/>
              <w:rPr/>
            </w:pPr>
            <w:r>
              <w:rPr/>
              <w:t> </w:t>
            </w:r>
          </w:p>
        </w:tc>
        <w:tc>
          <w:tcPr>
            <w:tcW w:w="3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60" w:type="dxa"/>
            <w:tcBorders/>
            <w:shd w:fill="auto" w:val="clea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4980" w:type="dxa"/>
            <w:tcBorders/>
            <w:shd w:fill="auto" w:val="clea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r>
          </w:p>
        </w:tc>
        <w:tc>
          <w:tcPr>
            <w:tcW w:w="328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r>
              <w:rPr>
                <w:sz w:val="20"/>
              </w:rPr>
              <w:t>BY: </w:t>
            </w:r>
          </w:p>
        </w:tc>
        <w:tc>
          <w:tcPr>
            <w:tcW w:w="4980" w:type="dxa"/>
            <w:tcBorders>
              <w:bottom w:val="single" w:sz="2" w:space="0" w:color="000000"/>
            </w:tcBorders>
            <w:shd w:fill="auto" w:val="clear"/>
            <w:tcMar>
              <w:bottom w:w="28" w:type="dxa"/>
            </w:tcMar>
          </w:tcPr>
          <w:p>
            <w:pPr>
              <w:pStyle w:val="TableContents"/>
              <w:spacing w:before="0" w:after="283"/>
              <w:jc w:val="left"/>
              <w:rPr/>
            </w:pPr>
            <w:r>
              <w:rPr/>
              <w:t> </w:t>
            </w:r>
            <w:r>
              <w:rPr>
                <w:rFonts w:ascii="times new roman" w:hAnsi="times new roman"/>
                <w:sz w:val="20"/>
              </w:rPr>
              <w:t>/s/ John Humphrey</w:t>
            </w:r>
          </w:p>
        </w:tc>
        <w:tc>
          <w:tcPr>
            <w:tcW w:w="60" w:type="dxa"/>
            <w:tcBorders/>
            <w:shd w:fill="auto" w:val="clear"/>
            <w:vAlign w:val="bottom"/>
          </w:tcPr>
          <w:p>
            <w:pPr>
              <w:pStyle w:val="TableContents"/>
              <w:spacing w:before="0" w:after="283"/>
              <w:rPr/>
            </w:pPr>
            <w:r>
              <w:rPr/>
              <w:t> </w:t>
            </w:r>
          </w:p>
        </w:tc>
        <w:tc>
          <w:tcPr>
            <w:tcW w:w="3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4980" w:type="dxa"/>
            <w:tcBorders/>
            <w:shd w:fill="auto" w:val="clear"/>
          </w:tcPr>
          <w:p>
            <w:pPr>
              <w:pStyle w:val="TableContents"/>
              <w:spacing w:before="0" w:after="283"/>
              <w:jc w:val="left"/>
              <w:rPr/>
            </w:pPr>
            <w:r>
              <w:rPr>
                <w:sz w:val="20"/>
              </w:rPr>
              <w:t>John Humphrey,</w:t>
              <w:br/>
              <w:t>Vice President and Chief Financial Officer</w:t>
            </w:r>
            <w:r>
              <w:rPr/>
              <w:t xml:space="preserve"> </w:t>
            </w:r>
          </w:p>
        </w:tc>
        <w:tc>
          <w:tcPr>
            <w:tcW w:w="60" w:type="dxa"/>
            <w:tcBorders/>
            <w:shd w:fill="auto" w:val="clear"/>
            <w:vAlign w:val="bottom"/>
          </w:tcPr>
          <w:p>
            <w:pPr>
              <w:pStyle w:val="TableContents"/>
              <w:spacing w:before="0" w:after="283"/>
              <w:rPr/>
            </w:pPr>
            <w:r>
              <w:rPr/>
              <w:t> </w:t>
            </w:r>
          </w:p>
        </w:tc>
        <w:tc>
          <w:tcPr>
            <w:tcW w:w="3284" w:type="dxa"/>
            <w:tcBorders/>
            <w:shd w:fill="auto" w:val="clear"/>
            <w:vAlign w:val="bottom"/>
          </w:tcPr>
          <w:p>
            <w:pPr>
              <w:pStyle w:val="TableContents"/>
              <w:spacing w:before="0" w:after="283"/>
              <w:jc w:val="left"/>
              <w:rPr>
                <w:sz w:val="20"/>
              </w:rPr>
            </w:pPr>
            <w:r>
              <w:rPr>
                <w:sz w:val="20"/>
              </w:rPr>
              <w:t>Date: August 24, 2012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HorizontalLine"/>
        <w:pBdr>
          <w:bottom w:val="single" w:sz="20" w:space="0" w:color="808080"/>
        </w:pBdr>
        <w:rPr/>
      </w:pPr>
      <w:r>
        <w:rPr/>
      </w:r>
    </w:p>
    <w:p>
      <w:pPr>
        <w:pStyle w:val="TextBody"/>
        <w:spacing w:before="0" w:after="0"/>
        <w:rPr/>
      </w:pPr>
      <w:r>
        <w:rPr/>
        <w:t> </w:t>
      </w:r>
    </w:p>
    <w:p>
      <w:pPr>
        <w:pStyle w:val="TextBody"/>
        <w:spacing w:before="0" w:after="0"/>
        <w:rPr/>
      </w:pPr>
      <w:r>
        <w:rPr/>
        <w:t> </w:t>
      </w:r>
    </w:p>
    <w:p>
      <w:pPr>
        <w:pStyle w:val="TextBody"/>
        <w:spacing w:before="0" w:after="0"/>
        <w:jc w:val="center"/>
        <w:rPr>
          <w:b/>
          <w:sz w:val="20"/>
        </w:rPr>
      </w:pPr>
      <w:r>
        <w:rPr>
          <w:b/>
          <w:sz w:val="20"/>
        </w:rPr>
        <w:t>EXHIBIT INDEX</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17"/>
        <w:gridCol w:w="1531"/>
        <w:gridCol w:w="7757"/>
      </w:tblGrid>
      <w:tr>
        <w:trPr/>
        <w:tc>
          <w:tcPr>
            <w:tcW w:w="917"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 </w:t>
            </w:r>
          </w:p>
        </w:tc>
      </w:tr>
      <w:tr>
        <w:trPr/>
        <w:tc>
          <w:tcPr>
            <w:tcW w:w="917" w:type="dxa"/>
            <w:tcBorders/>
            <w:shd w:fill="auto" w:val="clear"/>
            <w:vAlign w:val="bottom"/>
          </w:tcPr>
          <w:p>
            <w:pPr>
              <w:pStyle w:val="TableContents"/>
              <w:spacing w:before="0" w:after="283"/>
              <w:rPr>
                <w:b/>
                <w:sz w:val="14"/>
              </w:rPr>
            </w:pPr>
            <w:r>
              <w:rPr>
                <w:b/>
                <w:sz w:val="14"/>
              </w:rPr>
              <w:t>Exhibit No.</w:t>
            </w:r>
          </w:p>
        </w:tc>
        <w:tc>
          <w:tcPr>
            <w:tcW w:w="1531"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jc w:val="left"/>
              <w:rPr>
                <w:b/>
                <w:sz w:val="14"/>
              </w:rPr>
            </w:pPr>
            <w:r>
              <w:rPr>
                <w:b/>
                <w:sz w:val="14"/>
              </w:rPr>
              <w:t>Description</w:t>
            </w:r>
          </w:p>
        </w:tc>
      </w:tr>
      <w:tr>
        <w:trPr/>
        <w:tc>
          <w:tcPr>
            <w:tcW w:w="917" w:type="dxa"/>
            <w:tcBorders/>
            <w:shd w:fill="auto" w:val="clear"/>
            <w:vAlign w:val="bottom"/>
          </w:tcPr>
          <w:p>
            <w:pPr>
              <w:pStyle w:val="HorizontalLine"/>
              <w:pBdr>
                <w:bottom w:val="single" w:sz="6" w:space="0" w:color="808080"/>
              </w:pBdr>
              <w:spacing w:before="0" w:after="283"/>
              <w:rPr/>
            </w:pPr>
            <w:r>
              <w:rPr/>
            </w:r>
          </w:p>
        </w:tc>
        <w:tc>
          <w:tcPr>
            <w:tcW w:w="1531" w:type="dxa"/>
            <w:tcBorders/>
            <w:shd w:fill="auto" w:val="clear"/>
            <w:vAlign w:val="bottom"/>
          </w:tcPr>
          <w:p>
            <w:pPr>
              <w:pStyle w:val="TableContents"/>
              <w:spacing w:before="0" w:after="283"/>
              <w:rPr/>
            </w:pPr>
            <w:r>
              <w:rPr/>
              <w:t> </w:t>
            </w:r>
          </w:p>
        </w:tc>
        <w:tc>
          <w:tcPr>
            <w:tcW w:w="7757" w:type="dxa"/>
            <w:tcBorders/>
            <w:shd w:fill="auto" w:val="clear"/>
            <w:vAlign w:val="bottom"/>
          </w:tcPr>
          <w:p>
            <w:pPr>
              <w:pStyle w:val="HorizontalLine"/>
              <w:pBdr>
                <w:bottom w:val="single" w:sz="6" w:space="0" w:color="808080"/>
              </w:pBdr>
              <w:spacing w:before="0" w:after="283"/>
              <w:rPr/>
            </w:pPr>
            <w:r>
              <w:rPr/>
            </w:r>
          </w:p>
        </w:tc>
      </w:tr>
      <w:tr>
        <w:trPr/>
        <w:tc>
          <w:tcPr>
            <w:tcW w:w="917"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 </w:t>
            </w:r>
          </w:p>
        </w:tc>
      </w:tr>
      <w:tr>
        <w:trPr/>
        <w:tc>
          <w:tcPr>
            <w:tcW w:w="917" w:type="dxa"/>
            <w:tcBorders/>
            <w:shd w:fill="auto" w:val="clear"/>
          </w:tcPr>
          <w:p>
            <w:pPr>
              <w:pStyle w:val="TableContents"/>
              <w:spacing w:before="0" w:after="283"/>
              <w:rPr>
                <w:sz w:val="20"/>
              </w:rPr>
            </w:pPr>
            <w:r>
              <w:rPr>
                <w:sz w:val="20"/>
              </w:rPr>
              <w:t>99.1</w:t>
            </w:r>
          </w:p>
        </w:tc>
        <w:tc>
          <w:tcPr>
            <w:tcW w:w="1531" w:type="dxa"/>
            <w:tcBorders/>
            <w:shd w:fill="auto" w:val="clear"/>
            <w:vAlign w:val="bottom"/>
          </w:tcPr>
          <w:p>
            <w:pPr>
              <w:pStyle w:val="TableContents"/>
              <w:spacing w:before="0" w:after="283"/>
              <w:rPr/>
            </w:pPr>
            <w:r>
              <w:rPr/>
              <w:t> </w:t>
            </w:r>
          </w:p>
        </w:tc>
        <w:tc>
          <w:tcPr>
            <w:tcW w:w="7757" w:type="dxa"/>
            <w:tcBorders/>
            <w:shd w:fill="auto" w:val="clear"/>
          </w:tcPr>
          <w:p>
            <w:pPr>
              <w:pStyle w:val="TableContents"/>
              <w:spacing w:before="0" w:after="283"/>
              <w:jc w:val="left"/>
              <w:rPr>
                <w:sz w:val="20"/>
              </w:rPr>
            </w:pPr>
            <w:r>
              <w:rPr>
                <w:sz w:val="20"/>
              </w:rPr>
              <w:t>Press Release of the Company dated August 22, 2012</w:t>
            </w:r>
          </w:p>
        </w:tc>
      </w:tr>
    </w:tbl>
    <w:p>
      <w:pPr>
        <w:pStyle w:val="TextBody"/>
        <w:spacing w:before="0" w:after="0"/>
        <w:jc w:val="right"/>
        <w:rPr/>
      </w:pPr>
      <w:r>
        <w:br w:type="page"/>
      </w:r>
      <w:bookmarkStart w:id="2" w:name="sunquestacq.htm"/>
      <w:bookmarkStart w:id="3" w:name="kssunquestacq"/>
      <w:bookmarkEnd w:id="2"/>
      <w:bookmarkEnd w:id="3"/>
      <w:r>
        <w:rPr/>
        <w:t>Exhibit 99.1</w:t>
      </w:r>
    </w:p>
    <w:p>
      <w:pPr>
        <w:pStyle w:val="TextBody"/>
        <w:spacing w:before="0" w:after="0"/>
        <w:jc w:val="right"/>
        <w:rPr/>
      </w:pPr>
      <w:r>
        <w:rPr/>
        <w:t> </w:t>
      </w:r>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Contact Information:</w:t>
            </w:r>
          </w:p>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p>
            <w:pPr>
              <w:pStyle w:val="TableContents"/>
              <w:spacing w:before="0" w:after="0"/>
              <w:ind w:left="0" w:right="0" w:hanging="0"/>
              <w:jc w:val="left"/>
              <w:rPr>
                <w:rFonts w:ascii="Times New Roman" w:hAnsi="Times New Roman"/>
                <w:sz w:val="20"/>
              </w:rPr>
            </w:pPr>
            <w:r>
              <w:rPr>
                <w:rFonts w:ascii="Times New Roman" w:hAnsi="Times New Roman"/>
                <w:sz w:val="20"/>
              </w:rPr>
              <w:t>941-556-2601</w:t>
            </w:r>
          </w:p>
          <w:p>
            <w:pPr>
              <w:pStyle w:val="TableContents"/>
              <w:spacing w:before="0" w:after="0"/>
              <w:ind w:left="0" w:right="0" w:hanging="0"/>
              <w:jc w:val="left"/>
              <w:rPr>
                <w:rFonts w:ascii="Times New Roman" w:hAnsi="Times New Roman"/>
                <w:sz w:val="20"/>
              </w:rPr>
            </w:pPr>
            <w:r>
              <w:rPr>
                <w:rFonts w:ascii="Times New Roman" w:hAnsi="Times New Roman"/>
                <w:sz w:val="20"/>
              </w:rPr>
              <w:t>investor-relations@roperind.com</w:t>
            </w:r>
          </w:p>
        </w:tc>
        <w:tc>
          <w:tcPr>
            <w:tcW w:w="5103" w:type="dxa"/>
            <w:tcBorders/>
            <w:shd w:fill="auto" w:val="clear"/>
          </w:tcPr>
          <w:p>
            <w:pPr>
              <w:pStyle w:val="TableContents"/>
              <w:spacing w:before="0" w:after="0"/>
              <w:ind w:left="0" w:right="0" w:hanging="0"/>
              <w:jc w:val="right"/>
              <w:rPr/>
            </w:pPr>
            <w:r>
              <w:rPr/>
              <w:drawing>
                <wp:inline distT="0" distB="0" distL="0" distR="0">
                  <wp:extent cx="16954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819150"/>
                          </a:xfrm>
                          <a:prstGeom prst="rect">
                            <a:avLst/>
                          </a:prstGeom>
                        </pic:spPr>
                      </pic:pic>
                    </a:graphicData>
                  </a:graphic>
                </wp:inline>
              </w:drawing>
            </w:r>
          </w:p>
          <w:p>
            <w:pPr>
              <w:pStyle w:val="TableContents"/>
              <w:spacing w:before="0" w:after="0"/>
              <w:ind w:left="0" w:right="0" w:hanging="0"/>
              <w:jc w:val="right"/>
              <w:rPr>
                <w:rFonts w:ascii="Times New Roman" w:hAnsi="Times New Roman"/>
                <w:b/>
                <w:sz w:val="20"/>
              </w:rPr>
            </w:pPr>
            <w:r>
              <w:rPr>
                <w:rFonts w:ascii="Times New Roman" w:hAnsi="Times New Roman"/>
                <w:b/>
                <w:sz w:val="20"/>
              </w:rPr>
              <w:t>Roper Industries, Inc.</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ROPER INDUSTRIES COMPLETES ACQUISITION OF SUNQUEST</w:t>
      </w:r>
    </w:p>
    <w:p>
      <w:pPr>
        <w:pStyle w:val="TextBody"/>
        <w:spacing w:before="0" w:after="0"/>
        <w:ind w:left="0" w:right="0" w:hanging="0"/>
        <w:jc w:val="center"/>
        <w:rPr>
          <w:rFonts w:ascii="Times New Roman" w:hAnsi="Times New Roman"/>
          <w:b/>
          <w:sz w:val="24"/>
        </w:rPr>
      </w:pPr>
      <w:r>
        <w:rPr>
          <w:rFonts w:ascii="Times New Roman" w:hAnsi="Times New Roman"/>
          <w:b/>
          <w:sz w:val="24"/>
        </w:rPr>
        <w:t>INFORMATION SYSTEMS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 xml:space="preserve">Sarasota, Florida, August 23, 2012 ... Roper Industries, Inc. (NYSE: ROP) </w:t>
      </w:r>
      <w:r>
        <w:rPr>
          <w:rFonts w:ascii="Times New Roman" w:hAnsi="Times New Roman"/>
          <w:sz w:val="20"/>
        </w:rPr>
        <w:t>today announced that it has completed its previously announced acquisition of Sunquest Information Systems for approximately $1.415 billion, including $25 million in cash tax benefits.  The company funded the acquisition from available cash and borrowings under its credit facility.  Sunquest provides a comprehensive suite of laboratory software solutions used by more than 1,700 hospitals worldwide.</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About Roper Industries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Roper Industries is a diversified growth company and is a constituent of the S&amp;P 500, Fortune 1000, and the Russell 1000 indices. Roper provides engineered products and solutions for global niche markets, including water, energy, transportation, medical, education, and SaaS-based information networks. Additional information about Roper is available on the company’s website at </w:t>
      </w:r>
      <w:r>
        <w:rPr>
          <w:rFonts w:ascii="Times New Roman" w:hAnsi="Times New Roman"/>
          <w:sz w:val="20"/>
          <w:u w:val="single"/>
        </w:rPr>
        <w:t>www.roperind.com</w:t>
      </w:r>
      <w:r>
        <w:rPr>
          <w:rFonts w:ascii="Times New Roman" w:hAnsi="Times New Roman"/>
          <w:sz w:val="20"/>
        </w:rPr>
        <w:t>.</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About Sunquest Information Systems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Sunquest Information Systems, Inc. provides diagnostic and laboratory information systems to health care providers worldwide. For over thirty years, Sunquest has delivered interoperable solutions that optimize business resources and improve the quality of patient care. The company's pathology focused mission, outreach awareness and point of care products establish Sunquest as a leader in the health care technology industry. Headquartered in Tucson, AZ, Sunquest also has offices in Norwich, United Kingdom and Bangalore, India.</w:t>
      </w:r>
    </w:p>
    <w:p>
      <w:pPr>
        <w:pStyle w:val="TextBody"/>
        <w:spacing w:before="0" w:after="283"/>
        <w:ind w:left="0" w:right="0" w:hanging="0"/>
        <w:jc w:val="center"/>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0T03:17:45Z" w:initials="">
    <w:p>
      <w:r>
        <w:rPr>
          <w:lang w:val="en-US" w:eastAsia="en-US" w:bidi="en-US"/>
        </w:rPr>
        <w:t>MARKER FORMAT-SHEET="Head Minor</w:t>
      </w:r>
    </w:p>
    <w:p>
      <w:r>
        <w:rPr>
          <w:lang w:val="en-US" w:eastAsia="en-US" w:bidi="en-US"/>
        </w:rPr>
        <w:t xml:space="preserve">      Center-TNR" FSL="Workstation"</w:t>
      </w:r>
    </w:p>
  </w:comment>
  <w:comment w:id="1" w:author="" w:date="2020-02-20T03:17:45Z" w:initials="">
    <w:p>
      <w:r>
        <w:rPr>
          <w:lang w:val="en-US" w:eastAsia="en-US" w:bidi="en-US"/>
        </w:rPr>
        <w:t>PAGEBREAK</w:t>
      </w:r>
    </w:p>
  </w:comment>
  <w:comment w:id="2" w:author="" w:date="2020-02-20T03:17:45Z" w:initials="">
    <w:p>
      <w:r>
        <w:rPr>
          <w:lang w:val="en-US" w:eastAsia="en-US" w:bidi="en-US"/>
        </w:rPr>
        <w:t>MARKER</w:t>
      </w:r>
    </w:p>
    <w:p>
      <w:r>
        <w:rPr>
          <w:lang w:val="en-US" w:eastAsia="en-US" w:bidi="en-US"/>
        </w:rPr>
        <w:t xml:space="preserve">    FORMAT-SHEET="Para (List) Flush Lv 0- TNR" FSL="Workstation"</w:t>
      </w:r>
    </w:p>
  </w:comment>
  <w:comment w:id="3" w:author="" w:date="2020-02-20T03:17:45Z" w:initials="">
    <w:p>
      <w:r>
        <w:rPr>
          <w:lang w:val="en-US" w:eastAsia="en-US" w:bidi="en-US"/>
        </w:rPr>
        <w:t>MARKER FORMAT-SHEET="Para Flush Lv 1-TNR" FSL="Workstation"</w:t>
      </w:r>
    </w:p>
  </w:comment>
  <w:comment w:id="4" w:author="" w:date="2020-02-20T03:17:45Z" w:initials="">
    <w:p>
      <w:r>
        <w:rPr>
          <w:lang w:val="en-US" w:eastAsia="en-US" w:bidi="en-US"/>
        </w:rPr>
        <w:t>&lt;!-- MARKER FORMAT-SHEET="Para (List) Flush Lv 0- TNR"</w:t>
      </w:r>
    </w:p>
    <w:p>
      <w:r>
        <w:rPr>
          <w:lang w:val="en-US" w:eastAsia="en-US" w:bidi="en-US"/>
        </w:rPr>
        <w:t xml:space="preserve">    FSL="Workstation"</w:t>
      </w:r>
    </w:p>
    <w:p>
      <w:r>
        <w:rPr>
          <w:lang w:val="en-US" w:eastAsia="en-US" w:bidi="en-US"/>
        </w:rPr>
        <w:t>--&gt;</w:t>
      </w:r>
    </w:p>
  </w:comment>
  <w:comment w:id="5" w:author="" w:date="2020-02-20T03:17:45Z" w:initials="">
    <w:p>
      <w:r>
        <w:rPr>
          <w:lang w:val="en-US" w:eastAsia="en-US" w:bidi="en-US"/>
        </w:rPr>
        <w:t>MARKER FORMAT-SHEET="Para Flush Lv 1-TNR" FSL="Workstation"</w:t>
      </w:r>
    </w:p>
  </w:comment>
  <w:comment w:id="6" w:author="" w:date="2020-02-20T03:17:45Z" w:initials="">
    <w:p>
      <w:r>
        <w:rPr>
          <w:lang w:val="en-US" w:eastAsia="en-US" w:bidi="en-US"/>
        </w:rPr>
        <w:t>&lt;!-- MARKER FORMAT-SHEET="Para (List) Flush Lv 0- TNR"</w:t>
      </w:r>
    </w:p>
    <w:p>
      <w:r>
        <w:rPr>
          <w:lang w:val="en-US" w:eastAsia="en-US" w:bidi="en-US"/>
        </w:rPr>
        <w:t xml:space="preserve">    FSL="Default"</w:t>
      </w:r>
    </w:p>
    <w:p>
      <w:r>
        <w:rPr>
          <w:lang w:val="en-US" w:eastAsia="en-US" w:bidi="en-US"/>
        </w:rPr>
        <w:t>--&gt;</w:t>
      </w:r>
    </w:p>
  </w:comment>
  <w:comment w:id="7" w:author="" w:date="2020-02-20T03:17:45Z" w:initials="">
    <w:p>
      <w:r>
        <w:rPr>
          <w:lang w:val="en-US" w:eastAsia="en-US" w:bidi="en-US"/>
        </w:rPr>
        <w:t>MARKER FORMAT-SHEET="Head</w:t>
      </w:r>
    </w:p>
    <w:p>
      <w:r>
        <w:rPr>
          <w:lang w:val="en-US" w:eastAsia="en-US" w:bidi="en-US"/>
        </w:rPr>
        <w:t xml:space="preserve">    Center Underline-TNR" FSL="Workstation"</w:t>
      </w:r>
    </w:p>
  </w:comment>
  <w:comment w:id="8" w:author="" w:date="2020-02-20T03:17:45Z" w:initials="">
    <w:p>
      <w:r>
        <w:rPr>
          <w:lang w:val="en-US" w:eastAsia="en-US" w:bidi="en-US"/>
        </w:rPr>
        <w:t>MARKER FORMAT-SHEET="Para Indent Lv 0-TNR" FSL="Workstation"</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comments" Target="comments.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749</Words>
  <CharactersWithSpaces>5350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