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33.jpeg" ContentType="image/jpeg"/>
  <Override PartName="/word/media/image132.jpeg" ContentType="image/jpeg"/>
  <Override PartName="/word/media/image131.jpeg" ContentType="image/jpeg"/>
  <Override PartName="/word/media/image130.jpeg" ContentType="image/jpeg"/>
  <Override PartName="/word/media/image129.jpeg" ContentType="image/jpeg"/>
  <Override PartName="/word/media/image128.jpeg" ContentType="image/jpeg"/>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20.jpeg" ContentType="image/jpeg"/>
  <Override PartName="/word/media/image113.jpeg" ContentType="image/jpeg"/>
  <Override PartName="/word/media/image112.jpeg" ContentType="image/jpeg"/>
  <Override PartName="/word/media/image111.jpeg" ContentType="image/jpeg"/>
  <Override PartName="/word/media/image110.jpeg" ContentType="image/jpeg"/>
  <Override PartName="/word/media/image109.jpeg" ContentType="image/jpeg"/>
  <Override PartName="/word/media/image108.jpeg" ContentType="image/jpeg"/>
  <Override PartName="/word/media/image107.jpeg" ContentType="image/jpeg"/>
  <Override PartName="/word/media/image106.jpeg" ContentType="image/jpeg"/>
  <Override PartName="/word/media/image105.jpeg" ContentType="image/jpeg"/>
  <Override PartName="/word/media/image104.jpeg" ContentType="image/jpeg"/>
  <Override PartName="/word/media/image103.jpeg" ContentType="image/jpeg"/>
  <Override PartName="/word/media/image102.jpeg" ContentType="image/jpeg"/>
  <Override PartName="/word/media/image101.jpeg" ContentType="image/jpeg"/>
  <Override PartName="/word/media/image100.jpeg" ContentType="image/jpeg"/>
  <Override PartName="/word/media/image97.jpeg" ContentType="image/jpeg"/>
  <Override PartName="/word/media/image52.jpeg" ContentType="image/jpeg"/>
  <Override PartName="/word/media/image51.jpeg" ContentType="image/jpeg"/>
  <Override PartName="/word/media/image34.jpeg" ContentType="image/jpeg"/>
  <Override PartName="/word/media/image77.jpeg" ContentType="image/jpeg"/>
  <Override PartName="/word/media/image33.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75.jpeg" ContentType="image/jpeg"/>
  <Override PartName="/word/media/image31.jpeg" ContentType="image/jpeg"/>
  <Override PartName="/word/media/image1.jpeg" ContentType="image/jpeg"/>
  <Override PartName="/word/media/image18.jpeg" ContentType="image/jpeg"/>
  <Override PartName="/word/media/image74.jpeg" ContentType="image/jpeg"/>
  <Override PartName="/word/media/image30.jpeg" ContentType="image/jpeg"/>
  <Override PartName="/word/media/image17.jpeg" ContentType="image/jpeg"/>
  <Override PartName="/word/media/image73.jpeg" ContentType="image/jpeg"/>
  <Override PartName="/word/media/image29.jpeg" ContentType="image/jpeg"/>
  <Override PartName="/word/media/image28.jpeg" ContentType="image/jpeg"/>
  <Override PartName="/word/media/image88.jpeg" ContentType="image/jpeg"/>
  <Override PartName="/word/media/image27.jpeg" ContentType="image/jpeg"/>
  <Override PartName="/word/media/image87.jpeg" ContentType="image/jpeg"/>
  <Override PartName="/word/media/image26.jpeg" ContentType="image/jpeg"/>
  <Override PartName="/word/media/image9.jpeg" ContentType="image/jpeg"/>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54.jpeg" ContentType="image/jpeg"/>
  <Override PartName="/word/media/image42.jpeg" ContentType="image/jpeg"/>
  <Override PartName="/word/media/image12.jpeg" ContentType="image/jpeg"/>
  <Override PartName="/word/media/image55.jpeg" ContentType="image/jpeg"/>
  <Override PartName="/word/media/image43.jpeg" ContentType="image/jpeg"/>
  <Override PartName="/word/media/image13.jpeg" ContentType="image/jpeg"/>
  <Override PartName="/word/media/image56.jpeg" ContentType="image/jpeg"/>
  <Override PartName="/word/media/image44.jpeg" ContentType="image/jpeg"/>
  <Override PartName="/word/media/image14.jpeg" ContentType="image/jpeg"/>
  <Override PartName="/word/media/image90.jpeg" ContentType="image/jpeg"/>
  <Override PartName="/word/media/image57.jpeg" ContentType="image/jpeg"/>
  <Override PartName="/word/media/image98.jpeg" ContentType="image/jpeg"/>
  <Override PartName="/word/media/image70.jpeg" ContentType="image/jpeg"/>
  <Override PartName="/word/media/image45.jpeg" ContentType="image/jpeg"/>
  <Override PartName="/word/media/image15.jpeg" ContentType="image/jpeg"/>
  <Override PartName="/word/media/image91.jpeg" ContentType="image/jpeg"/>
  <Override PartName="/word/media/image58.jpeg" ContentType="image/jpeg"/>
  <Override PartName="/word/media/image99.jpeg" ContentType="image/jpeg"/>
  <Override PartName="/word/media/image38.jpeg" ContentType="image/jpeg"/>
  <Override PartName="/word/media/image71.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39.jpeg" ContentType="image/jpeg"/>
  <Override PartName="/word/media/image72.jpeg" ContentType="image/jpeg"/>
  <Override PartName="/word/media/image114.jpeg" ContentType="image/jpeg"/>
  <Override PartName="/word/media/image60.jpeg" ContentType="image/jpeg"/>
  <Override PartName="/word/media/image115.jpeg" ContentType="image/jpeg"/>
  <Override PartName="/word/media/image61.jpeg" ContentType="image/jpeg"/>
  <Override PartName="/word/media/image116.jpeg" ContentType="image/jpeg"/>
  <Override PartName="/word/media/image62.jpeg" ContentType="image/jpeg"/>
  <Override PartName="/word/media/image50.jpeg" ContentType="image/jpeg"/>
  <Override PartName="/word/media/image25.jpeg" ContentType="image/jpeg"/>
  <Override PartName="/word/media/image86.jpeg" ContentType="image/jpeg"/>
  <Override PartName="/word/media/image117.jpeg" ContentType="image/jpeg"/>
  <Override PartName="/word/media/image63.jpeg" ContentType="image/jpeg"/>
  <Override PartName="/word/media/image118.jpeg" ContentType="image/jpeg"/>
  <Override PartName="/word/media/image64.jpeg" ContentType="image/jpeg"/>
  <Override PartName="/word/media/image119.jpeg" ContentType="image/jpeg"/>
  <Override PartName="/word/media/image65.jpeg" ContentType="image/jpeg"/>
  <Override PartName="/word/media/image66.jpeg" ContentType="image/jpeg"/>
  <Override PartName="/word/media/image67.jpeg" ContentType="image/jpeg"/>
  <Override PartName="/word/media/image47.jpeg" ContentType="image/jpeg"/>
  <Override PartName="/word/media/image80.jpeg" ContentType="image/jpeg"/>
  <Override PartName="/word/media/image40.jpeg" ContentType="image/jpeg"/>
  <Override PartName="/word/media/image68.jpeg" ContentType="image/jpeg"/>
  <Override PartName="/word/media/image20.jpeg" ContentType="image/jpeg"/>
  <Override PartName="/word/media/image48.jpeg" ContentType="image/jpeg"/>
  <Override PartName="/word/media/image81.jpeg" ContentType="image/jpeg"/>
  <Override PartName="/word/media/image41.jpeg" ContentType="image/jpeg"/>
  <Override PartName="/word/media/image69.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41" w:before="0" w:after="0"/>
        <w:jc w:val="left"/>
        <w:rPr>
          <w:bdr w:val="single" w:sz="2" w:space="1" w:color="000000"/>
        </w:rPr>
      </w:pPr>
      <w:bookmarkStart w:id="0" w:name="d356364dpre14a.htm"/>
      <w:bookmarkStart w:id="1" w:name="ksd356364dpre14a"/>
      <w:bookmarkEnd w:id="0"/>
      <w:bookmarkEnd w:id="1"/>
      <w:r>
        <w:rPr>
          <w:bdr w:val="single" w:sz="2" w:space="1" w:color="000000"/>
        </w:rPr>
        <w:t> </w:t>
      </w:r>
    </w:p>
    <w:p>
      <w:pPr>
        <w:pStyle w:val="TextBody"/>
        <w:spacing w:lineRule="atLeast" w:line="141" w:before="0" w:after="40"/>
        <w:jc w:val="left"/>
        <w:rPr>
          <w:bdr w:val="single" w:sz="2" w:space="1" w:color="000000"/>
        </w:rPr>
      </w:pPr>
      <w:r>
        <w:rPr>
          <w:bdr w:val="single" w:sz="2" w:space="1" w:color="000000"/>
        </w:rPr>
        <w:t> </w:t>
      </w:r>
    </w:p>
    <w:p>
      <w:pPr>
        <w:pStyle w:val="TextBody"/>
        <w:spacing w:before="240" w:after="0"/>
        <w:jc w:val="center"/>
        <w:rPr>
          <w:rFonts w:ascii="ARIAL" w:hAnsi="ARIAL"/>
          <w:b/>
          <w:sz w:val="36"/>
        </w:rPr>
      </w:pPr>
      <w:r>
        <w:rPr>
          <w:rFonts w:ascii="ARIAL" w:hAnsi="ARIAL"/>
          <w:b/>
          <w:sz w:val="36"/>
        </w:rPr>
        <w:t xml:space="preserve">UNITED STATES </w:t>
      </w:r>
    </w:p>
    <w:p>
      <w:pPr>
        <w:pStyle w:val="TextBody"/>
        <w:spacing w:before="0" w:after="0"/>
        <w:jc w:val="center"/>
        <w:rPr>
          <w:rFonts w:ascii="ARIAL" w:hAnsi="ARIAL"/>
          <w:b/>
          <w:sz w:val="36"/>
        </w:rPr>
      </w:pPr>
      <w:r>
        <w:rPr>
          <w:rFonts w:ascii="ARIAL" w:hAnsi="ARIAL"/>
          <w:b/>
          <w:sz w:val="36"/>
        </w:rPr>
        <w:t xml:space="preserve">SECURITIES AND EXCHANGE COMMISSION </w:t>
      </w:r>
    </w:p>
    <w:p>
      <w:pPr>
        <w:pStyle w:val="TextBody"/>
        <w:spacing w:before="0" w:after="0"/>
        <w:jc w:val="center"/>
        <w:rPr>
          <w:rFonts w:ascii="ARIAL" w:hAnsi="ARIAL"/>
          <w:b/>
          <w:sz w:val="20"/>
        </w:rPr>
      </w:pPr>
      <w:r>
        <w:rPr>
          <w:rFonts w:ascii="ARIAL" w:hAnsi="ARIAL"/>
          <w:b/>
          <w:sz w:val="20"/>
        </w:rPr>
        <w:t xml:space="preserve">Washington, D.C. 20549 </w:t>
      </w:r>
    </w:p>
    <w:p>
      <w:pPr>
        <w:pStyle w:val="TextBody"/>
        <w:spacing w:before="0" w:after="0"/>
        <w:jc w:val="left"/>
        <w:rPr/>
      </w:pPr>
      <w:r>
        <w:rPr/>
        <w:t> </w:t>
      </w:r>
    </w:p>
    <w:p>
      <w:pPr>
        <w:pStyle w:val="TextBody"/>
        <w:spacing w:lineRule="atLeast" w:line="141" w:before="0" w:after="40"/>
        <w:jc w:val="center"/>
        <w:rPr>
          <w:bdr w:val="single" w:sz="8" w:space="1" w:color="000000"/>
        </w:rPr>
      </w:pPr>
      <w:r>
        <w:rPr>
          <w:bdr w:val="single" w:sz="8" w:space="1" w:color="000000"/>
        </w:rPr>
        <w:t> </w:t>
      </w:r>
    </w:p>
    <w:p>
      <w:pPr>
        <w:pStyle w:val="TextBody"/>
        <w:spacing w:before="120" w:after="0"/>
        <w:jc w:val="center"/>
        <w:rPr>
          <w:rFonts w:ascii="ARIAL" w:hAnsi="ARIAL"/>
          <w:b/>
          <w:sz w:val="36"/>
        </w:rPr>
      </w:pPr>
      <w:r>
        <w:rPr>
          <w:rFonts w:ascii="ARIAL" w:hAnsi="ARIAL"/>
          <w:b/>
          <w:sz w:val="36"/>
        </w:rPr>
        <w:t xml:space="preserve">SCHEDULE 14A </w:t>
      </w:r>
    </w:p>
    <w:p>
      <w:pPr>
        <w:pStyle w:val="TextBody"/>
        <w:spacing w:before="120" w:after="0"/>
        <w:jc w:val="center"/>
        <w:rPr>
          <w:rFonts w:ascii="ARIAL" w:hAnsi="ARIAL"/>
          <w:b/>
          <w:sz w:val="20"/>
        </w:rPr>
      </w:pPr>
      <w:r>
        <w:rPr>
          <w:rFonts w:ascii="ARIAL" w:hAnsi="ARIAL"/>
          <w:b/>
          <w:sz w:val="20"/>
        </w:rPr>
        <w:t xml:space="preserve">Proxy Statement Pursuant To Section 14(a) of the </w:t>
      </w:r>
    </w:p>
    <w:p>
      <w:pPr>
        <w:pStyle w:val="TextBody"/>
        <w:spacing w:before="0" w:after="0"/>
        <w:jc w:val="center"/>
        <w:rPr>
          <w:rFonts w:ascii="ARIAL" w:hAnsi="ARIAL"/>
          <w:b/>
          <w:sz w:val="20"/>
        </w:rPr>
      </w:pPr>
      <w:r>
        <w:rPr>
          <w:rFonts w:ascii="ARIAL" w:hAnsi="ARIAL"/>
          <w:b/>
          <w:sz w:val="20"/>
        </w:rPr>
        <w:t xml:space="preserve">Securities Exchange Act of 1934 </w:t>
      </w:r>
    </w:p>
    <w:p>
      <w:pPr>
        <w:pStyle w:val="TextBody"/>
        <w:spacing w:before="0" w:after="0"/>
        <w:jc w:val="center"/>
        <w:rPr>
          <w:rFonts w:ascii="ARIAL" w:hAnsi="ARIAL"/>
          <w:b/>
          <w:sz w:val="20"/>
        </w:rPr>
      </w:pPr>
      <w:r>
        <w:rPr>
          <w:rFonts w:ascii="ARIAL" w:hAnsi="ARIAL"/>
          <w:b/>
          <w:sz w:val="20"/>
        </w:rPr>
        <w:t xml:space="preserve">(Amendment No.     ) </w:t>
      </w:r>
    </w:p>
    <w:p>
      <w:pPr>
        <w:pStyle w:val="TextBody"/>
        <w:spacing w:before="0" w:after="0"/>
        <w:jc w:val="left"/>
        <w:rPr/>
      </w:pPr>
      <w:r>
        <w:rPr/>
        <w:t> </w:t>
      </w:r>
    </w:p>
    <w:p>
      <w:pPr>
        <w:pStyle w:val="TextBody"/>
        <w:spacing w:lineRule="atLeast" w:line="141" w:before="0" w:after="40"/>
        <w:jc w:val="center"/>
        <w:rPr>
          <w:bdr w:val="single" w:sz="8" w:space="1" w:color="000000"/>
        </w:rPr>
      </w:pPr>
      <w:r>
        <w:rPr>
          <w:bdr w:val="single" w:sz="8" w:space="1" w:color="000000"/>
        </w:rPr>
        <w:t> </w:t>
      </w:r>
    </w:p>
    <w:p>
      <w:pPr>
        <w:pStyle w:val="TextBody"/>
        <w:spacing w:before="120" w:after="0"/>
        <w:jc w:val="left"/>
        <w:rPr>
          <w:rFonts w:ascii="ARIAL" w:hAnsi="ARIAL"/>
          <w:sz w:val="19"/>
        </w:rPr>
      </w:pPr>
      <w:r>
        <w:rPr>
          <w:rFonts w:ascii="ARIAL" w:hAnsi="ARIAL"/>
          <w:sz w:val="19"/>
        </w:rPr>
        <w:t>Filed by the Registrant </w:t>
      </w:r>
    </w:p>
    <w:p>
      <w:pPr>
        <w:pStyle w:val="TextBody"/>
        <w:spacing w:before="120" w:after="0"/>
        <w:jc w:val="left"/>
        <w:rPr>
          <w:spacing w:val="0"/>
        </w:rPr>
      </w:pPr>
      <w:r>
        <w:rPr>
          <w:spacing w:val="0"/>
        </w:rPr>
        <w:t>☒</w:t>
      </w:r>
    </w:p>
    <w:p>
      <w:pPr>
        <w:pStyle w:val="TextBody"/>
        <w:spacing w:before="120" w:after="0"/>
        <w:jc w:val="left"/>
        <w:rPr/>
      </w:pPr>
      <w:r>
        <w:rPr/>
        <w:t>                </w:t>
      </w:r>
      <w:r>
        <w:rPr>
          <w:rFonts w:ascii="ARIAL" w:hAnsi="ARIAL"/>
          <w:sz w:val="19"/>
        </w:rPr>
        <w:t>Filed by a Party other than the Registrant </w:t>
      </w:r>
    </w:p>
    <w:p>
      <w:pPr>
        <w:pStyle w:val="TextBody"/>
        <w:spacing w:before="120" w:after="0"/>
        <w:jc w:val="left"/>
        <w:rPr>
          <w:spacing w:val="0"/>
        </w:rPr>
      </w:pPr>
      <w:r>
        <w:rPr>
          <w:spacing w:val="0"/>
        </w:rPr>
        <w:t>☐</w:t>
      </w:r>
    </w:p>
    <w:p>
      <w:pPr>
        <w:pStyle w:val="TextBody"/>
        <w:spacing w:before="240" w:after="0"/>
        <w:jc w:val="left"/>
        <w:rPr>
          <w:rFonts w:ascii="ARIAL" w:hAnsi="ARIAL"/>
          <w:sz w:val="19"/>
        </w:rPr>
      </w:pPr>
      <w:r>
        <w:rPr>
          <w:rFonts w:ascii="ARIAL" w:hAnsi="ARIAL"/>
          <w:sz w:val="19"/>
        </w:rPr>
        <w:t xml:space="preserve">Check the appropriate box: </w:t>
      </w:r>
    </w:p>
    <w:p>
      <w:pPr>
        <w:pStyle w:val="TextBody"/>
        <w:spacing w:before="0" w:after="0"/>
        <w:jc w:val="left"/>
        <w:rPr/>
      </w:pPr>
      <w:r>
        <w:rPr/>
        <w:t> </w:t>
      </w:r>
    </w:p>
    <w:tbl>
      <w:tblPr>
        <w:tblW w:w="6730" w:type="dxa"/>
        <w:jc w:val="left"/>
        <w:tblInd w:w="0" w:type="dxa"/>
        <w:tblCellMar>
          <w:top w:w="0" w:type="dxa"/>
          <w:left w:w="0" w:type="dxa"/>
          <w:bottom w:w="0" w:type="dxa"/>
          <w:right w:w="0" w:type="dxa"/>
        </w:tblCellMar>
      </w:tblPr>
      <w:tblGrid>
        <w:gridCol w:w="245"/>
        <w:gridCol w:w="120"/>
        <w:gridCol w:w="6365"/>
      </w:tblGrid>
      <w:tr>
        <w:trPr/>
        <w:tc>
          <w:tcPr>
            <w:tcW w:w="2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6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rPr>
                <w:rFonts w:ascii="ARIAL" w:hAnsi="ARIAL"/>
                <w:sz w:val="19"/>
              </w:rPr>
            </w:pPr>
            <w:r>
              <w:rPr>
                <w:rFonts w:ascii="ARIAL" w:hAnsi="ARIAL"/>
                <w:sz w:val="19"/>
              </w:rPr>
              <w:t>Preliminary Proxy Statement</w:t>
            </w:r>
          </w:p>
        </w:tc>
      </w:tr>
      <w:tr>
        <w:trPr/>
        <w:tc>
          <w:tcPr>
            <w:tcW w:w="24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rPr>
                <w:rFonts w:ascii="ARIAL" w:hAnsi="ARIAL"/>
                <w:b/>
                <w:sz w:val="19"/>
              </w:rPr>
            </w:pPr>
            <w:r>
              <w:rPr>
                <w:rFonts w:ascii="ARIAL" w:hAnsi="ARIAL"/>
                <w:b/>
                <w:sz w:val="19"/>
              </w:rPr>
              <w:t xml:space="preserve">Confidential, for Use of the Commission Only (as permitted by Rule </w:t>
            </w:r>
          </w:p>
          <w:p>
            <w:pPr>
              <w:pStyle w:val="TableContents"/>
              <w:spacing w:before="0" w:after="0"/>
              <w:rPr>
                <w:rFonts w:ascii="ARIAL" w:hAnsi="ARIAL"/>
                <w:b/>
                <w:spacing w:val="0"/>
                <w:sz w:val="19"/>
              </w:rPr>
            </w:pPr>
            <w:r>
              <w:rPr>
                <w:rFonts w:ascii="ARIAL" w:hAnsi="ARIAL"/>
                <w:b/>
                <w:spacing w:val="0"/>
                <w:sz w:val="19"/>
              </w:rPr>
              <w:t>14a-6(e)(2))</w:t>
            </w:r>
          </w:p>
        </w:tc>
      </w:tr>
      <w:tr>
        <w:trPr/>
        <w:tc>
          <w:tcPr>
            <w:tcW w:w="24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rPr>
                <w:rFonts w:ascii="ARIAL" w:hAnsi="ARIAL"/>
                <w:sz w:val="19"/>
              </w:rPr>
            </w:pPr>
            <w:r>
              <w:rPr>
                <w:rFonts w:ascii="ARIAL" w:hAnsi="ARIAL"/>
                <w:sz w:val="19"/>
              </w:rPr>
              <w:t>Definitive Proxy Statement</w:t>
            </w:r>
          </w:p>
        </w:tc>
      </w:tr>
      <w:tr>
        <w:trPr/>
        <w:tc>
          <w:tcPr>
            <w:tcW w:w="24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rPr>
                <w:rFonts w:ascii="ARIAL" w:hAnsi="ARIAL"/>
                <w:sz w:val="19"/>
              </w:rPr>
            </w:pPr>
            <w:r>
              <w:rPr>
                <w:rFonts w:ascii="ARIAL" w:hAnsi="ARIAL"/>
                <w:sz w:val="19"/>
              </w:rPr>
              <w:t>Definitive Additional Materials</w:t>
            </w:r>
          </w:p>
        </w:tc>
      </w:tr>
      <w:tr>
        <w:trPr/>
        <w:tc>
          <w:tcPr>
            <w:tcW w:w="24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rPr>
                <w:rFonts w:ascii="ARIAL" w:hAnsi="ARIAL"/>
                <w:sz w:val="19"/>
              </w:rPr>
            </w:pPr>
            <w:r>
              <w:rPr>
                <w:rFonts w:ascii="ARIAL" w:hAnsi="ARIAL"/>
                <w:sz w:val="19"/>
              </w:rPr>
              <w:t xml:space="preserve">Soliciting Material </w:t>
            </w:r>
          </w:p>
          <w:p>
            <w:pPr>
              <w:pStyle w:val="TableContents"/>
              <w:spacing w:before="0" w:after="0"/>
              <w:rPr>
                <w:rFonts w:ascii="ARIAL" w:hAnsi="ARIAL"/>
                <w:sz w:val="19"/>
              </w:rPr>
            </w:pPr>
            <w:r>
              <w:rPr>
                <w:rFonts w:ascii="ARIAL" w:hAnsi="ARIAL"/>
                <w:sz w:val="19"/>
              </w:rPr>
              <w:t>Pursuant</w:t>
            </w:r>
          </w:p>
          <w:p>
            <w:pPr>
              <w:pStyle w:val="TableContents"/>
              <w:spacing w:before="0" w:after="0"/>
              <w:rPr>
                <w:rFonts w:ascii="ARIAL" w:hAnsi="ARIAL"/>
                <w:sz w:val="19"/>
              </w:rPr>
            </w:pPr>
            <w:r>
              <w:rPr>
                <w:rFonts w:ascii="ARIAL" w:hAnsi="ARIAL"/>
                <w:sz w:val="19"/>
              </w:rPr>
              <w:t xml:space="preserve">to </w:t>
            </w:r>
          </w:p>
          <w:p>
            <w:pPr>
              <w:pStyle w:val="TableContents"/>
              <w:spacing w:before="0" w:after="0"/>
              <w:rPr>
                <w:rFonts w:ascii="ARIAL" w:hAnsi="ARIAL"/>
                <w:spacing w:val="0"/>
                <w:sz w:val="19"/>
              </w:rPr>
            </w:pPr>
            <w:r>
              <w:rPr>
                <w:rFonts w:ascii="ARIAL" w:hAnsi="ARIAL"/>
                <w:spacing w:val="0"/>
                <w:sz w:val="19"/>
              </w:rPr>
              <w:t>§ 240.14a-12</w:t>
            </w:r>
          </w:p>
        </w:tc>
      </w:tr>
    </w:tbl>
    <w:p>
      <w:pPr>
        <w:pStyle w:val="TextBody"/>
        <w:spacing w:before="120" w:after="0"/>
        <w:jc w:val="center"/>
        <w:rPr>
          <w:rFonts w:ascii="ARIAL" w:hAnsi="ARIAL"/>
          <w:b/>
          <w:sz w:val="48"/>
        </w:rPr>
      </w:pPr>
      <w:r>
        <w:rPr>
          <w:rFonts w:ascii="ARIAL" w:hAnsi="ARIAL"/>
          <w:b/>
          <w:sz w:val="48"/>
        </w:rPr>
        <w:t xml:space="preserve">ROPER TECHNOLOGIES, INC. </w:t>
      </w:r>
    </w:p>
    <w:p>
      <w:pPr>
        <w:pStyle w:val="TextBody"/>
        <w:spacing w:before="0" w:after="0"/>
        <w:jc w:val="center"/>
        <w:rPr>
          <w:rFonts w:ascii="ARIAL" w:hAnsi="ARIAL"/>
          <w:b/>
          <w:sz w:val="20"/>
        </w:rPr>
      </w:pPr>
      <w:r>
        <w:rPr>
          <w:rFonts w:ascii="ARIAL" w:hAnsi="ARIAL"/>
          <w:b/>
          <w:sz w:val="20"/>
        </w:rPr>
        <w:t xml:space="preserve">(Formerly Roper Industries, Inc.) </w:t>
      </w:r>
    </w:p>
    <w:p>
      <w:pPr>
        <w:pStyle w:val="TextBody"/>
        <w:spacing w:before="0" w:after="0"/>
        <w:jc w:val="center"/>
        <w:rPr>
          <w:rFonts w:ascii="ARIAL" w:hAnsi="ARIAL"/>
          <w:b/>
          <w:sz w:val="20"/>
        </w:rPr>
      </w:pPr>
      <w:r>
        <w:rPr>
          <w:rFonts w:ascii="ARIAL" w:hAnsi="ARIAL"/>
          <w:b/>
          <w:sz w:val="20"/>
        </w:rPr>
        <w:t xml:space="preserve">(Name of Registrant as Specified in its Charter) </w:t>
      </w:r>
    </w:p>
    <w:p>
      <w:pPr>
        <w:pStyle w:val="TextBody"/>
        <w:spacing w:before="240" w:after="0"/>
        <w:jc w:val="center"/>
        <w:rPr>
          <w:rFonts w:ascii="ARIAL" w:hAnsi="ARIAL"/>
          <w:b/>
          <w:sz w:val="16"/>
        </w:rPr>
      </w:pPr>
      <w:r>
        <w:rPr>
          <w:rFonts w:ascii="ARIAL" w:hAnsi="ARIAL"/>
          <w:b/>
          <w:sz w:val="16"/>
        </w:rPr>
        <w:t xml:space="preserve">(Name of Person(s) Filing Proxy Statement, if other than the Registrant) </w:t>
      </w:r>
    </w:p>
    <w:p>
      <w:pPr>
        <w:pStyle w:val="TextBody"/>
        <w:spacing w:before="120" w:after="0"/>
        <w:jc w:val="left"/>
        <w:rPr>
          <w:rFonts w:ascii="ARIAL" w:hAnsi="ARIAL"/>
          <w:sz w:val="19"/>
        </w:rPr>
      </w:pPr>
      <w:r>
        <w:rPr>
          <w:rFonts w:ascii="ARIAL" w:hAnsi="ARIAL"/>
          <w:sz w:val="19"/>
        </w:rPr>
        <w:t xml:space="preserve">Payment of Filing Fee (Check all boxes that apply): </w:t>
      </w:r>
    </w:p>
    <w:p>
      <w:pPr>
        <w:pStyle w:val="TextBody"/>
        <w:spacing w:before="0" w:after="0"/>
        <w:jc w:val="left"/>
        <w:rPr/>
      </w:pPr>
      <w:r>
        <w:rPr/>
        <w:t> </w:t>
      </w:r>
    </w:p>
    <w:tbl>
      <w:tblPr>
        <w:tblW w:w="1883" w:type="dxa"/>
        <w:jc w:val="left"/>
        <w:tblInd w:w="0" w:type="dxa"/>
        <w:tblCellMar>
          <w:top w:w="0" w:type="dxa"/>
          <w:left w:w="0" w:type="dxa"/>
          <w:bottom w:w="0" w:type="dxa"/>
          <w:right w:w="0" w:type="dxa"/>
        </w:tblCellMar>
      </w:tblPr>
      <w:tblGrid>
        <w:gridCol w:w="245"/>
        <w:gridCol w:w="120"/>
        <w:gridCol w:w="415"/>
        <w:gridCol w:w="415"/>
        <w:gridCol w:w="688"/>
      </w:tblGrid>
      <w:tr>
        <w:trPr/>
        <w:tc>
          <w:tcPr>
            <w:tcW w:w="2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1518" w:type="dxa"/>
            <w:gridSpan w:val="3"/>
            <w:tcBorders/>
            <w:shd w:fill="auto" w:val="clear"/>
            <w:vAlign w:val="center"/>
          </w:tcPr>
          <w:p>
            <w:pPr>
              <w:pStyle w:val="TableContents"/>
              <w:spacing w:before="0" w:after="283"/>
              <w:rPr/>
            </w:pPr>
            <w:r>
              <w:rPr/>
              <w:t>No fee required</w:t>
            </w:r>
          </w:p>
        </w:tc>
      </w:tr>
    </w:tbl>
    <w:p>
      <w:pPr>
        <w:pStyle w:val="TextBody"/>
        <w:spacing w:before="0" w:after="0"/>
        <w:jc w:val="left"/>
        <w:rPr/>
      </w:pPr>
      <w:r>
        <w:rPr/>
        <w:t> </w:t>
      </w:r>
    </w:p>
    <w:tbl>
      <w:tblPr>
        <w:tblW w:w="4778" w:type="dxa"/>
        <w:jc w:val="left"/>
        <w:tblInd w:w="0" w:type="dxa"/>
        <w:tblCellMar>
          <w:top w:w="0" w:type="dxa"/>
          <w:left w:w="0" w:type="dxa"/>
          <w:bottom w:w="0" w:type="dxa"/>
          <w:right w:w="0" w:type="dxa"/>
        </w:tblCellMar>
      </w:tblPr>
      <w:tblGrid>
        <w:gridCol w:w="245"/>
        <w:gridCol w:w="120"/>
        <w:gridCol w:w="1207"/>
        <w:gridCol w:w="1207"/>
        <w:gridCol w:w="1999"/>
      </w:tblGrid>
      <w:tr>
        <w:trPr/>
        <w:tc>
          <w:tcPr>
            <w:tcW w:w="2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4413" w:type="dxa"/>
            <w:gridSpan w:val="3"/>
            <w:tcBorders/>
            <w:shd w:fill="auto" w:val="clear"/>
            <w:vAlign w:val="center"/>
          </w:tcPr>
          <w:p>
            <w:pPr>
              <w:pStyle w:val="TableContents"/>
              <w:spacing w:before="0" w:after="283"/>
              <w:rPr/>
            </w:pPr>
            <w:r>
              <w:rPr/>
              <w:t>Fee paid previously with preliminary materials</w:t>
            </w:r>
          </w:p>
        </w:tc>
      </w:tr>
    </w:tbl>
    <w:p>
      <w:pPr>
        <w:pStyle w:val="TextBody"/>
        <w:spacing w:before="0" w:after="0"/>
        <w:jc w:val="left"/>
        <w:rPr/>
      </w:pPr>
      <w:r>
        <w:rPr/>
        <w:t> </w:t>
      </w:r>
    </w:p>
    <w:tbl>
      <w:tblPr>
        <w:tblW w:w="10029" w:type="dxa"/>
        <w:jc w:val="left"/>
        <w:tblInd w:w="0" w:type="dxa"/>
        <w:tblCellMar>
          <w:top w:w="0" w:type="dxa"/>
          <w:left w:w="0" w:type="dxa"/>
          <w:bottom w:w="0" w:type="dxa"/>
          <w:right w:w="0" w:type="dxa"/>
        </w:tblCellMar>
      </w:tblPr>
      <w:tblGrid>
        <w:gridCol w:w="245"/>
        <w:gridCol w:w="120"/>
        <w:gridCol w:w="2643"/>
        <w:gridCol w:w="2643"/>
        <w:gridCol w:w="4378"/>
      </w:tblGrid>
      <w:tr>
        <w:trPr/>
        <w:tc>
          <w:tcPr>
            <w:tcW w:w="2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43" w:type="dxa"/>
            <w:tcBorders/>
            <w:shd w:fill="auto" w:val="clear"/>
            <w:vAlign w:val="center"/>
          </w:tcPr>
          <w:p>
            <w:pPr>
              <w:pStyle w:val="TableContents"/>
              <w:spacing w:before="0" w:after="283"/>
              <w:rPr>
                <w:sz w:val="4"/>
                <w:szCs w:val="4"/>
              </w:rPr>
            </w:pPr>
            <w:r>
              <w:rPr>
                <w:sz w:val="4"/>
                <w:szCs w:val="4"/>
              </w:rPr>
            </w:r>
          </w:p>
        </w:tc>
        <w:tc>
          <w:tcPr>
            <w:tcW w:w="2643" w:type="dxa"/>
            <w:tcBorders/>
            <w:shd w:fill="auto" w:val="clear"/>
            <w:vAlign w:val="center"/>
          </w:tcPr>
          <w:p>
            <w:pPr>
              <w:pStyle w:val="TableContents"/>
              <w:spacing w:before="0" w:after="283"/>
              <w:rPr>
                <w:sz w:val="4"/>
                <w:szCs w:val="4"/>
              </w:rPr>
            </w:pPr>
            <w:r>
              <w:rPr>
                <w:sz w:val="4"/>
                <w:szCs w:val="4"/>
              </w:rPr>
            </w:r>
          </w:p>
        </w:tc>
        <w:tc>
          <w:tcPr>
            <w:tcW w:w="4378"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9664" w:type="dxa"/>
            <w:gridSpan w:val="3"/>
            <w:tcBorders/>
            <w:shd w:fill="auto" w:val="clear"/>
            <w:vAlign w:val="center"/>
          </w:tcPr>
          <w:p>
            <w:pPr>
              <w:pStyle w:val="TableContents"/>
              <w:spacing w:before="0" w:after="283"/>
              <w:rPr/>
            </w:pPr>
            <w:r>
              <w:rPr/>
              <w:t>Fee computed on table in exhibit required by Item 25(b) per Exchange Act Rules 14a-6(i)(1) and 0-11</w:t>
            </w:r>
          </w:p>
        </w:tc>
      </w:tr>
    </w:tbl>
    <w:p>
      <w:pPr>
        <w:pStyle w:val="TextBody"/>
        <w:spacing w:before="0" w:after="0"/>
        <w:jc w:val="left"/>
        <w:rPr/>
      </w:pPr>
      <w:r>
        <w:rPr/>
        <w:t> </w:t>
      </w:r>
    </w:p>
    <w:p>
      <w:pPr>
        <w:pStyle w:val="TextBody"/>
        <w:spacing w:lineRule="atLeast" w:line="141" w:before="0" w:after="0"/>
        <w:jc w:val="left"/>
        <w:rPr>
          <w:bdr w:val="single" w:sz="2" w:space="1" w:color="000000"/>
        </w:rPr>
      </w:pPr>
      <w:r>
        <w:rPr>
          <w:bdr w:val="single" w:sz="2" w:space="1" w:color="000000"/>
        </w:rPr>
        <w:t> </w:t>
      </w:r>
    </w:p>
    <w:p>
      <w:pPr>
        <w:pStyle w:val="TextBody"/>
        <w:spacing w:lineRule="atLeast" w:line="141" w:before="0" w:after="40"/>
        <w:jc w:val="left"/>
        <w:rPr>
          <w:bdr w:val="single" w:sz="2" w:space="1" w:color="000000"/>
        </w:rPr>
      </w:pPr>
      <w:r>
        <w:rPr>
          <w:bdr w:val="single" w:sz="2" w:space="1" w:color="000000"/>
        </w:rPr>
        <w:t> </w:t>
      </w:r>
      <w:r>
        <w:br w:type="page"/>
      </w:r>
    </w:p>
    <w:p>
      <w:pPr>
        <w:pStyle w:val="HorizontalLine"/>
        <w:rPr/>
      </w:pPr>
      <w:r>
        <w:rPr/>
      </w:r>
    </w:p>
    <w:p>
      <w:pPr>
        <w:pStyle w:val="TextBody"/>
        <w:spacing w:before="0" w:after="0"/>
        <w:jc w:val="center"/>
        <w:rPr>
          <w:rFonts w:ascii="ARIAL" w:hAnsi="ARIAL"/>
          <w:b/>
          <w:sz w:val="20"/>
        </w:rPr>
      </w:pPr>
      <w:r>
        <w:rPr>
          <w:rFonts w:ascii="ARIAL" w:hAnsi="ARIAL"/>
          <w:b/>
          <w:sz w:val="20"/>
        </w:rPr>
        <w:t xml:space="preserve">PRELIMINARY PROXY STATEMENT – SUBJECT TO COMPLETION DATED April 17, 2023 </w:t>
      </w:r>
    </w:p>
    <w:p>
      <w:pPr>
        <w:pStyle w:val="TextBody"/>
        <w:spacing w:before="0" w:after="0"/>
        <w:jc w:val="center"/>
        <w:rPr>
          <w:rFonts w:ascii="ARIAL" w:hAnsi="ARIAL"/>
          <w:sz w:val="19"/>
        </w:rPr>
      </w:pPr>
      <w:r>
        <w:rPr>
          <w:rFonts w:ascii="ARIAL" w:hAnsi="ARIAL"/>
          <w:sz w:val="19"/>
        </w:rPr>
        <w:t xml:space="preserve">In accordance with Rule 14a-6(d) under Regulation 14A, please be advised that Roper Technologies, Inc. </w:t>
      </w:r>
    </w:p>
    <w:p>
      <w:pPr>
        <w:pStyle w:val="TextBody"/>
        <w:spacing w:before="0" w:after="0"/>
        <w:jc w:val="center"/>
        <w:rPr>
          <w:rFonts w:ascii="ARIAL" w:hAnsi="ARIAL"/>
          <w:sz w:val="19"/>
        </w:rPr>
      </w:pPr>
      <w:r>
        <w:rPr>
          <w:rFonts w:ascii="ARIAL" w:hAnsi="ARIAL"/>
          <w:sz w:val="19"/>
        </w:rPr>
        <w:t xml:space="preserve">intends to release definitive copies of this proxy statement to security holders on or about April 28, 2023 </w:t>
      </w:r>
    </w:p>
    <w:p>
      <w:pPr>
        <w:pStyle w:val="TextBody"/>
        <w:spacing w:before="0" w:after="0"/>
        <w:jc w:val="left"/>
        <w:rPr/>
      </w:pPr>
      <w:r>
        <w:rPr/>
        <w:t> </w:t>
      </w:r>
    </w:p>
    <w:tbl>
      <w:tblPr>
        <w:tblW w:w="8235" w:type="dxa"/>
        <w:jc w:val="left"/>
        <w:tblInd w:w="0" w:type="dxa"/>
        <w:tblCellMar>
          <w:top w:w="0" w:type="dxa"/>
          <w:left w:w="0" w:type="dxa"/>
          <w:bottom w:w="0" w:type="dxa"/>
          <w:right w:w="0" w:type="dxa"/>
        </w:tblCellMar>
      </w:tblPr>
      <w:tblGrid>
        <w:gridCol w:w="2795"/>
        <w:gridCol w:w="120"/>
        <w:gridCol w:w="2555"/>
        <w:gridCol w:w="120"/>
        <w:gridCol w:w="2645"/>
      </w:tblGrid>
      <w:tr>
        <w:trPr/>
        <w:tc>
          <w:tcPr>
            <w:tcW w:w="27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45" w:type="dxa"/>
            <w:tcBorders/>
            <w:shd w:fill="auto" w:val="clear"/>
            <w:vAlign w:val="center"/>
          </w:tcPr>
          <w:p>
            <w:pPr>
              <w:pStyle w:val="TableContents"/>
              <w:spacing w:before="0" w:after="283"/>
              <w:rPr>
                <w:sz w:val="4"/>
                <w:szCs w:val="4"/>
              </w:rPr>
            </w:pPr>
            <w:r>
              <w:rPr>
                <w:sz w:val="4"/>
                <w:szCs w:val="4"/>
              </w:rPr>
            </w:r>
          </w:p>
        </w:tc>
      </w:tr>
      <w:tr>
        <w:trPr/>
        <w:tc>
          <w:tcPr>
            <w:tcW w:w="2795" w:type="dxa"/>
            <w:tcBorders/>
            <w:shd w:fill="auto" w:val="clear"/>
            <w:vAlign w:val="center"/>
          </w:tcPr>
          <w:p>
            <w:pPr>
              <w:pStyle w:val="TableContents"/>
              <w:spacing w:before="0" w:after="283"/>
              <w:rPr>
                <w:b/>
              </w:rPr>
            </w:pPr>
            <w:r>
              <w:rPr>
                <w:b/>
              </w:rPr>
              <w:t>6901 Professional Parkway</w:t>
            </w:r>
          </w:p>
        </w:tc>
        <w:tc>
          <w:tcPr>
            <w:tcW w:w="120" w:type="dxa"/>
            <w:vMerge w:val="restart"/>
            <w:tcBorders/>
            <w:shd w:fill="auto" w:val="clear"/>
            <w:vAlign w:val="center"/>
          </w:tcPr>
          <w:p>
            <w:pPr>
              <w:pStyle w:val="TableContents"/>
              <w:spacing w:before="0" w:after="283"/>
              <w:rPr/>
            </w:pPr>
            <w:r>
              <w:rPr/>
              <w:t>  </w:t>
            </w:r>
          </w:p>
        </w:tc>
        <w:tc>
          <w:tcPr>
            <w:tcW w:w="2555" w:type="dxa"/>
            <w:vMerge w:val="restart"/>
            <w:tcBorders/>
            <w:shd w:fill="auto" w:val="clear"/>
            <w:vAlign w:val="center"/>
          </w:tcPr>
          <w:p>
            <w:pPr>
              <w:pStyle w:val="TableContents"/>
              <w:spacing w:before="0" w:after="0"/>
              <w:jc w:val="center"/>
              <w:rPr/>
            </w:pPr>
            <w:r>
              <w:rPr/>
              <w:drawing>
                <wp:inline distT="0" distB="0" distL="0" distR="0">
                  <wp:extent cx="113665" cy="457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665" cy="45720"/>
                          </a:xfrm>
                          <a:prstGeom prst="rect">
                            <a:avLst/>
                          </a:prstGeom>
                        </pic:spPr>
                      </pic:pic>
                    </a:graphicData>
                  </a:graphic>
                </wp:inline>
              </w:drawing>
            </w:r>
            <w:r>
              <w:rPr/>
              <w:t xml:space="preserve"> </w:t>
            </w:r>
          </w:p>
          <w:p>
            <w:pPr>
              <w:pStyle w:val="TableContents"/>
              <w:spacing w:before="0" w:after="20"/>
              <w:jc w:val="left"/>
              <w:rPr/>
            </w:pPr>
            <w:r>
              <w:rPr/>
              <w:t> </w:t>
            </w:r>
          </w:p>
        </w:tc>
        <w:tc>
          <w:tcPr>
            <w:tcW w:w="120" w:type="dxa"/>
            <w:tcBorders/>
            <w:shd w:fill="auto" w:val="clear"/>
            <w:vAlign w:val="center"/>
          </w:tcPr>
          <w:p>
            <w:pPr>
              <w:pStyle w:val="TableContents"/>
              <w:spacing w:before="0" w:after="283"/>
              <w:rPr/>
            </w:pPr>
            <w:r>
              <w:rPr/>
              <w:t>  </w:t>
            </w:r>
          </w:p>
        </w:tc>
        <w:tc>
          <w:tcPr>
            <w:tcW w:w="2645" w:type="dxa"/>
            <w:tcBorders/>
            <w:shd w:fill="auto" w:val="clear"/>
            <w:vAlign w:val="center"/>
          </w:tcPr>
          <w:p>
            <w:pPr>
              <w:pStyle w:val="TableContents"/>
              <w:spacing w:before="0" w:after="283"/>
              <w:jc w:val="right"/>
              <w:rPr>
                <w:b/>
              </w:rPr>
            </w:pPr>
            <w:r>
              <w:rPr>
                <w:b/>
              </w:rPr>
              <w:t>Telephone (941) 556-2601</w:t>
            </w:r>
          </w:p>
        </w:tc>
      </w:tr>
      <w:tr>
        <w:trPr/>
        <w:tc>
          <w:tcPr>
            <w:tcW w:w="2795" w:type="dxa"/>
            <w:tcBorders/>
            <w:shd w:fill="auto" w:val="clear"/>
            <w:vAlign w:val="center"/>
          </w:tcPr>
          <w:p>
            <w:pPr>
              <w:pStyle w:val="TableContents"/>
              <w:spacing w:before="0" w:after="283"/>
              <w:rPr>
                <w:b/>
                <w:sz w:val="20"/>
              </w:rPr>
            </w:pPr>
            <w:r>
              <w:rPr>
                <w:b/>
                <w:sz w:val="20"/>
              </w:rPr>
              <w:t>Suite 200</w:t>
            </w:r>
          </w:p>
        </w:tc>
        <w:tc>
          <w:tcPr>
            <w:tcW w:w="120" w:type="dxa"/>
            <w:vMerge w:val="continue"/>
            <w:tcBorders/>
            <w:shd w:fill="auto" w:val="clear"/>
            <w:vAlign w:val="center"/>
          </w:tcPr>
          <w:p>
            <w:pPr>
              <w:pStyle w:val="Normal"/>
              <w:rPr/>
            </w:pPr>
            <w:r>
              <w:rPr/>
            </w:r>
          </w:p>
        </w:tc>
        <w:tc>
          <w:tcPr>
            <w:tcW w:w="255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2645" w:type="dxa"/>
            <w:tcBorders/>
            <w:shd w:fill="auto" w:val="clear"/>
            <w:vAlign w:val="center"/>
          </w:tcPr>
          <w:p>
            <w:pPr>
              <w:pStyle w:val="TableContents"/>
              <w:spacing w:before="0" w:after="283"/>
              <w:jc w:val="right"/>
              <w:rPr>
                <w:b/>
                <w:sz w:val="20"/>
              </w:rPr>
            </w:pPr>
            <w:r>
              <w:rPr>
                <w:b/>
                <w:sz w:val="20"/>
              </w:rPr>
              <w:t>Fax (941) 556-2670</w:t>
            </w:r>
          </w:p>
        </w:tc>
      </w:tr>
      <w:tr>
        <w:trPr/>
        <w:tc>
          <w:tcPr>
            <w:tcW w:w="2795" w:type="dxa"/>
            <w:tcBorders/>
            <w:shd w:fill="auto" w:val="clear"/>
            <w:vAlign w:val="center"/>
          </w:tcPr>
          <w:p>
            <w:pPr>
              <w:pStyle w:val="TableContents"/>
              <w:spacing w:before="0" w:after="283"/>
              <w:rPr>
                <w:b/>
                <w:sz w:val="20"/>
              </w:rPr>
            </w:pPr>
            <w:r>
              <w:rPr>
                <w:b/>
                <w:sz w:val="20"/>
              </w:rPr>
              <w:t>Sarasota, Florida 34240</w:t>
            </w:r>
          </w:p>
        </w:tc>
        <w:tc>
          <w:tcPr>
            <w:tcW w:w="120" w:type="dxa"/>
            <w:vMerge w:val="continue"/>
            <w:tcBorders/>
            <w:shd w:fill="auto" w:val="clear"/>
            <w:vAlign w:val="center"/>
          </w:tcPr>
          <w:p>
            <w:pPr>
              <w:pStyle w:val="Normal"/>
              <w:rPr/>
            </w:pPr>
            <w:r>
              <w:rPr/>
            </w:r>
          </w:p>
        </w:tc>
        <w:tc>
          <w:tcPr>
            <w:tcW w:w="255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2645" w:type="dxa"/>
            <w:tcBorders/>
            <w:shd w:fill="auto" w:val="clear"/>
            <w:vAlign w:val="center"/>
          </w:tcPr>
          <w:p>
            <w:pPr>
              <w:pStyle w:val="TableContents"/>
              <w:spacing w:before="0" w:after="283"/>
              <w:rPr>
                <w:sz w:val="4"/>
                <w:szCs w:val="4"/>
              </w:rPr>
            </w:pPr>
            <w:r>
              <w:rPr>
                <w:sz w:val="4"/>
                <w:szCs w:val="4"/>
              </w:rPr>
            </w:r>
          </w:p>
        </w:tc>
      </w:tr>
      <w:tr>
        <w:trPr/>
        <w:tc>
          <w:tcPr>
            <w:tcW w:w="2795" w:type="dxa"/>
            <w:tcBorders/>
            <w:shd w:fill="auto" w:val="clear"/>
            <w:vAlign w:val="center"/>
          </w:tcPr>
          <w:p>
            <w:pPr>
              <w:pStyle w:val="TableContents"/>
              <w:spacing w:before="0" w:after="283"/>
              <w:rPr>
                <w:sz w:val="4"/>
                <w:szCs w:val="4"/>
              </w:rPr>
            </w:pPr>
            <w:r>
              <w:rPr>
                <w:sz w:val="4"/>
                <w:szCs w:val="4"/>
              </w:rPr>
            </w:r>
          </w:p>
        </w:tc>
        <w:tc>
          <w:tcPr>
            <w:tcW w:w="120" w:type="dxa"/>
            <w:vMerge w:val="continue"/>
            <w:tcBorders/>
            <w:shd w:fill="auto" w:val="clear"/>
            <w:vAlign w:val="center"/>
          </w:tcPr>
          <w:p>
            <w:pPr>
              <w:pStyle w:val="Normal"/>
              <w:rPr/>
            </w:pPr>
            <w:r>
              <w:rPr/>
            </w:r>
          </w:p>
        </w:tc>
        <w:tc>
          <w:tcPr>
            <w:tcW w:w="255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2645" w:type="dxa"/>
            <w:tcBorders/>
            <w:shd w:fill="auto" w:val="clear"/>
            <w:vAlign w:val="center"/>
          </w:tcPr>
          <w:p>
            <w:pPr>
              <w:pStyle w:val="TableContents"/>
              <w:spacing w:before="0" w:after="283"/>
              <w:rPr>
                <w:sz w:val="4"/>
                <w:szCs w:val="4"/>
              </w:rPr>
            </w:pPr>
            <w:r>
              <w:rPr>
                <w:sz w:val="4"/>
                <w:szCs w:val="4"/>
              </w:rPr>
            </w:r>
          </w:p>
        </w:tc>
      </w:tr>
      <w:tr>
        <w:trPr/>
        <w:tc>
          <w:tcPr>
            <w:tcW w:w="27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283"/>
              <w:jc w:val="center"/>
              <w:rPr>
                <w:b/>
              </w:rPr>
            </w:pPr>
            <w:r>
              <w:rPr>
                <w:b/>
              </w:rPr>
              <w:t>Roper Technologies, Inc.</w:t>
            </w:r>
          </w:p>
        </w:tc>
        <w:tc>
          <w:tcPr>
            <w:tcW w:w="120" w:type="dxa"/>
            <w:tcBorders/>
            <w:shd w:fill="auto" w:val="clear"/>
            <w:vAlign w:val="center"/>
          </w:tcPr>
          <w:p>
            <w:pPr>
              <w:pStyle w:val="TableContents"/>
              <w:spacing w:before="0" w:after="283"/>
              <w:rPr/>
            </w:pPr>
            <w:r>
              <w:rPr/>
              <w:t>  </w:t>
            </w:r>
          </w:p>
        </w:tc>
        <w:tc>
          <w:tcPr>
            <w:tcW w:w="2645" w:type="dxa"/>
            <w:tcBorders/>
            <w:shd w:fill="auto" w:val="clear"/>
            <w:vAlign w:val="center"/>
          </w:tcPr>
          <w:p>
            <w:pPr>
              <w:pStyle w:val="TableContents"/>
              <w:spacing w:before="0" w:after="283"/>
              <w:rPr>
                <w:sz w:val="4"/>
                <w:szCs w:val="4"/>
              </w:rPr>
            </w:pPr>
            <w:r>
              <w:rPr>
                <w:sz w:val="4"/>
                <w:szCs w:val="4"/>
              </w:rPr>
            </w:r>
          </w:p>
        </w:tc>
      </w:tr>
    </w:tbl>
    <w:p>
      <w:pPr>
        <w:pStyle w:val="TextBody"/>
        <w:spacing w:before="120" w:after="0"/>
        <w:jc w:val="left"/>
        <w:rPr>
          <w:rFonts w:ascii="ARIAL" w:hAnsi="ARIAL"/>
          <w:sz w:val="20"/>
        </w:rPr>
      </w:pPr>
      <w:r>
        <w:rPr>
          <w:rFonts w:ascii="ARIAL" w:hAnsi="ARIAL"/>
          <w:sz w:val="20"/>
        </w:rPr>
        <w:t xml:space="preserve">April 28, 2023 </w:t>
      </w:r>
    </w:p>
    <w:p>
      <w:pPr>
        <w:pStyle w:val="TextBody"/>
        <w:spacing w:before="120" w:after="0"/>
        <w:jc w:val="left"/>
        <w:rPr>
          <w:rFonts w:ascii="ARIAL" w:hAnsi="ARIAL"/>
          <w:sz w:val="19"/>
        </w:rPr>
      </w:pPr>
      <w:r>
        <w:rPr>
          <w:rFonts w:ascii="ARIAL" w:hAnsi="ARIAL"/>
          <w:sz w:val="19"/>
        </w:rPr>
        <w:t xml:space="preserve">Dear Fellow Shareholders: </w:t>
      </w:r>
    </w:p>
    <w:p>
      <w:pPr>
        <w:pStyle w:val="TextBody"/>
        <w:spacing w:before="120" w:after="0"/>
        <w:jc w:val="left"/>
        <w:rPr>
          <w:rFonts w:ascii="ARIAL" w:hAnsi="ARIAL"/>
          <w:sz w:val="19"/>
        </w:rPr>
      </w:pPr>
      <w:r>
        <w:rPr>
          <w:rFonts w:ascii="ARIAL" w:hAnsi="ARIAL"/>
          <w:sz w:val="19"/>
        </w:rPr>
        <w:t xml:space="preserve">As your Board of Directors, we oversee Roper’s efforts to continually create long-term value for you by efficiently executing our strategy through prudent risk management, disciplined capital deployment, sound strategic thinking, operational rigor, performance-driven compensation programs, effective talent and succession planning, adherence to the highest ethical standards and levels of integrity, and ongoing review and refinement of the Board’s governance practices. </w:t>
      </w:r>
    </w:p>
    <w:p>
      <w:pPr>
        <w:pStyle w:val="TextBody"/>
        <w:spacing w:before="360" w:after="0"/>
        <w:jc w:val="left"/>
        <w:rPr>
          <w:rFonts w:ascii="ARIAL" w:hAnsi="ARIAL"/>
          <w:b/>
          <w:sz w:val="20"/>
        </w:rPr>
      </w:pPr>
      <w:r>
        <w:rPr>
          <w:rFonts w:ascii="ARIAL" w:hAnsi="ARIAL"/>
          <w:b/>
          <w:sz w:val="20"/>
        </w:rPr>
        <w:t xml:space="preserve">Our Strategy for Long-Term and Elite Value Creation for Shareholders </w:t>
      </w:r>
    </w:p>
    <w:p>
      <w:pPr>
        <w:pStyle w:val="TextBody"/>
        <w:spacing w:before="120" w:after="0"/>
        <w:jc w:val="left"/>
        <w:rPr>
          <w:rFonts w:ascii="ARIAL" w:hAnsi="ARIAL"/>
          <w:sz w:val="19"/>
        </w:rPr>
      </w:pPr>
      <w:r>
        <w:rPr>
          <w:rFonts w:ascii="ARIAL" w:hAnsi="ARIAL"/>
          <w:sz w:val="19"/>
        </w:rPr>
        <w:t xml:space="preserve">Over the past fifteen years, our shareholders earned a compound annual return of 14.4% and a total shareholder return of 655.3%, over two and a half times the total return of the S&amp;P 500 of 254.6%. Over the past decade Roper has delivered an even better 15.2% compound annual return to shareholders. </w:t>
      </w:r>
    </w:p>
    <w:p>
      <w:pPr>
        <w:pStyle w:val="TextBody"/>
        <w:spacing w:before="240" w:after="0"/>
        <w:jc w:val="left"/>
        <w:rPr>
          <w:rFonts w:ascii="ARIAL" w:hAnsi="ARIAL"/>
          <w:sz w:val="19"/>
        </w:rPr>
      </w:pPr>
      <w:r>
        <w:rPr>
          <w:rFonts w:ascii="ARIAL" w:hAnsi="ARIAL"/>
          <w:sz w:val="19"/>
        </w:rPr>
        <w:t xml:space="preserve">Our long history of superior shareholder returns is the result of Roper’s simple, yet powerful strategy: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b/>
                <w:sz w:val="19"/>
              </w:rPr>
              <w:t>Cash Generation Through Operating Excellence:</w:t>
            </w:r>
            <w:r>
              <w:rPr>
                <w:rFonts w:ascii="ARIAL" w:hAnsi="ARIAL"/>
                <w:sz w:val="19"/>
              </w:rPr>
              <w:t xml:space="preserve"> Our enterprise consists of niche, asset-light businesses with leading solutions and technologies that generate significant free cash flow, enabling future investments for sustainable and long-term growth. Operating excellence, underpinned by our strategic focus on intellectual capital, product development, go-to-market strategies, and a high degree of customer intimacy drives cash generation which, in 2022, resulted in another strong year of performance with adjusted operating cash flow and adjusted free cash flow of $1.56 billion and $1.49 billion, respectively.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b/>
                <w:sz w:val="19"/>
              </w:rPr>
              <w:t>Disciplined Capital Deployment:</w:t>
            </w:r>
            <w:r>
              <w:rPr>
                <w:rFonts w:ascii="ARIAL" w:hAnsi="ARIAL"/>
                <w:sz w:val="19"/>
              </w:rPr>
              <w:t xml:space="preserve"> We have a unique and disciplined capital deployment model that has guided the successful investment of billions of dollars into additional businesses becoming part of the Roper portfolio. Unlike many companies that use cash to pay large dividends and routinely implement share buyback plans, Roper deploys the vast majority of its available cash to acquire new businesses to fuel compounding cash flow growth and value creation for shareholders. After delivering on our commitment to reduce our debt in 2021 along with the successful execution of our divestiture strategy in 2022, in October 2022 we acquired Frontline Education, a provider of cloud-based software platforms of administrative solutions that are purpose-built for K-12 education, for approximately $3.74 billion. We entered 2023 poised to deploy substantial capital towards our acquisition strategy. </w:t>
            </w:r>
          </w:p>
        </w:tc>
      </w:tr>
    </w:tbl>
    <w:p>
      <w:pPr>
        <w:pStyle w:val="TextBody"/>
        <w:spacing w:before="360" w:after="0"/>
        <w:jc w:val="left"/>
        <w:rPr>
          <w:rFonts w:ascii="ARIAL" w:hAnsi="ARIAL"/>
          <w:b/>
          <w:sz w:val="20"/>
        </w:rPr>
      </w:pPr>
      <w:r>
        <w:rPr>
          <w:rFonts w:ascii="ARIAL" w:hAnsi="ARIAL"/>
          <w:b/>
          <w:sz w:val="20"/>
        </w:rPr>
        <w:t xml:space="preserve">Divestiture Strategy Successfully Implemented </w:t>
      </w:r>
    </w:p>
    <w:p>
      <w:pPr>
        <w:pStyle w:val="TextBody"/>
        <w:spacing w:before="120" w:after="0"/>
        <w:jc w:val="left"/>
        <w:rPr>
          <w:rFonts w:ascii="ARIAL" w:hAnsi="ARIAL"/>
          <w:sz w:val="19"/>
        </w:rPr>
      </w:pPr>
      <w:r>
        <w:rPr>
          <w:rFonts w:ascii="ARIAL" w:hAnsi="ARIAL"/>
          <w:sz w:val="19"/>
        </w:rPr>
        <w:t xml:space="preserve">In 2022, we successfully completed the execution of our divestiture strategy to reduce the cyclicality and asset intensity of our enterprise. In November 2022, we sold a majority stake in our Alpha, AMOT, CCC, Cornell, Dynisco, FTI, Hansen, Hardy, Logitech, Metrix, PAC, Roper Pump, Struers, Technolog, Uson, and Viatran businesses. In the first quarter of 2022, we also completed the sales of our TransCore and Zetec businesses. With these transactions, we have created a meaningfully enhanced and higher-quality go-forward portfolio of market-leading businesses that is better positioned to deliver higher and more resilient organic growth, an improved working capital profile, and strong cash conversion. </w:t>
      </w:r>
    </w:p>
    <w:p>
      <w:pPr>
        <w:pStyle w:val="TextBody"/>
        <w:spacing w:before="360" w:after="0"/>
        <w:jc w:val="left"/>
        <w:rPr>
          <w:rFonts w:ascii="ARIAL" w:hAnsi="ARIAL"/>
          <w:b/>
          <w:sz w:val="20"/>
        </w:rPr>
      </w:pPr>
      <w:r>
        <w:rPr>
          <w:rFonts w:ascii="ARIAL" w:hAnsi="ARIAL"/>
          <w:b/>
          <w:sz w:val="20"/>
        </w:rPr>
        <w:t xml:space="preserve">The Board’s Role in Roper’s Success </w:t>
      </w:r>
    </w:p>
    <w:p>
      <w:pPr>
        <w:pStyle w:val="TextBody"/>
        <w:spacing w:before="120" w:after="0"/>
        <w:jc w:val="left"/>
        <w:rPr>
          <w:rFonts w:ascii="ARIAL" w:hAnsi="ARIAL"/>
          <w:sz w:val="19"/>
        </w:rPr>
      </w:pPr>
      <w:r>
        <w:rPr>
          <w:rFonts w:ascii="ARIAL" w:hAnsi="ARIAL"/>
          <w:sz w:val="19"/>
        </w:rPr>
        <w:t xml:space="preserve">The Board contributes significantly to Roper’s strong performance. As directors, each of us commits to the extensive time obligation and rigorous workload required to serve on Roper’s Board, including participation in at least 15 days of Board meetings each year. We continually monitor the existing portfolio of Roper </w:t>
      </w:r>
      <w:r>
        <w:br w:type="page"/>
      </w:r>
    </w:p>
    <w:p>
      <w:pPr>
        <w:pStyle w:val="HorizontalLine"/>
        <w:rPr/>
      </w:pPr>
      <w:r>
        <w:rPr/>
      </w:r>
    </w:p>
    <w:p>
      <w:pPr>
        <w:pStyle w:val="TextBody"/>
        <w:spacing w:before="0" w:after="0"/>
        <w:jc w:val="left"/>
        <w:rPr>
          <w:rFonts w:ascii="ARIAL" w:hAnsi="ARIAL"/>
          <w:sz w:val="19"/>
        </w:rPr>
      </w:pPr>
      <w:r>
        <w:rPr>
          <w:rFonts w:ascii="ARIAL" w:hAnsi="ARIAL"/>
          <w:sz w:val="19"/>
        </w:rPr>
        <w:t xml:space="preserve">businesses, review capital deployment opportunities, and carefully examine the ways Roper can create additional value for shareholders. Between Board meetings, we continue our discussions with management and each other, enabling the Company to draw from our broad experiences and expertise. </w:t>
      </w:r>
    </w:p>
    <w:p>
      <w:pPr>
        <w:pStyle w:val="TextBody"/>
        <w:spacing w:before="240" w:after="0"/>
        <w:jc w:val="left"/>
        <w:rPr>
          <w:rFonts w:ascii="ARIAL" w:hAnsi="ARIAL"/>
          <w:sz w:val="19"/>
        </w:rPr>
      </w:pPr>
      <w:r>
        <w:rPr>
          <w:rFonts w:ascii="ARIAL" w:hAnsi="ARIAL"/>
          <w:sz w:val="19"/>
        </w:rPr>
        <w:t xml:space="preserve">Our direct involvement in and deep understanding of the Company allows us to address a multitude of issues, including acquisition selection, capital deployment, and succession planning, while sustaining Roper’s successful culture and business model. </w:t>
      </w:r>
    </w:p>
    <w:p>
      <w:pPr>
        <w:pStyle w:val="TextBody"/>
        <w:spacing w:before="360" w:after="0"/>
        <w:jc w:val="left"/>
        <w:rPr>
          <w:rFonts w:ascii="ARIAL" w:hAnsi="ARIAL"/>
          <w:b/>
          <w:sz w:val="20"/>
        </w:rPr>
      </w:pPr>
      <w:r>
        <w:rPr>
          <w:rFonts w:ascii="ARIAL" w:hAnsi="ARIAL"/>
          <w:b/>
          <w:sz w:val="20"/>
        </w:rPr>
        <w:t xml:space="preserve">Our Governance and Other Best Practices </w:t>
      </w:r>
    </w:p>
    <w:p>
      <w:pPr>
        <w:pStyle w:val="TextBody"/>
        <w:spacing w:before="120" w:after="0"/>
        <w:jc w:val="left"/>
        <w:rPr>
          <w:rFonts w:ascii="ARIAL" w:hAnsi="ARIAL"/>
          <w:sz w:val="19"/>
        </w:rPr>
      </w:pPr>
      <w:r>
        <w:rPr>
          <w:rFonts w:ascii="ARIAL" w:hAnsi="ARIAL"/>
          <w:sz w:val="19"/>
        </w:rPr>
        <w:t xml:space="preserve">Roper remains committed to strong corporate governance as demonstrated by the following practices: </w:t>
      </w:r>
    </w:p>
    <w:p>
      <w:pPr>
        <w:pStyle w:val="TextBody"/>
        <w:spacing w:before="0" w:after="0"/>
        <w:jc w:val="left"/>
        <w:rPr/>
      </w:pPr>
      <w:r>
        <w:rPr/>
        <w:t> </w:t>
      </w:r>
    </w:p>
    <w:tbl>
      <w:tblPr>
        <w:tblW w:w="5125" w:type="dxa"/>
        <w:jc w:val="left"/>
        <w:tblInd w:w="0" w:type="dxa"/>
        <w:tblCellMar>
          <w:top w:w="0" w:type="dxa"/>
          <w:left w:w="0" w:type="dxa"/>
          <w:bottom w:w="0" w:type="dxa"/>
          <w:right w:w="0" w:type="dxa"/>
        </w:tblCellMar>
      </w:tblPr>
      <w:tblGrid>
        <w:gridCol w:w="125"/>
        <w:gridCol w:w="60"/>
        <w:gridCol w:w="494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0"/>
              <w:jc w:val="left"/>
              <w:rPr>
                <w:rFonts w:ascii="ARIAL" w:hAnsi="ARIAL"/>
                <w:sz w:val="19"/>
              </w:rPr>
            </w:pPr>
            <w:r>
              <w:rPr>
                <w:rFonts w:ascii="ARIAL" w:hAnsi="ARIAL"/>
                <w:b/>
                <w:sz w:val="19"/>
              </w:rPr>
              <w:t>Declassified Board.</w:t>
            </w:r>
            <w:r>
              <w:rPr>
                <w:rFonts w:ascii="ARIAL" w:hAnsi="ARIAL"/>
                <w:sz w:val="19"/>
              </w:rPr>
              <w:t xml:space="preserve"> Our directors are elected annually.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b/>
                <w:sz w:val="19"/>
              </w:rPr>
              <w:t>Majority Voting for Directors.</w:t>
            </w:r>
            <w:r>
              <w:rPr>
                <w:rFonts w:ascii="ARIAL" w:hAnsi="ARIAL"/>
                <w:sz w:val="19"/>
              </w:rPr>
              <w:t xml:space="preserve"> Our By-laws require the resignation of incumbent directors who fail to obtain a majority of votes cast in uncontested elections.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b/>
                <w:sz w:val="19"/>
              </w:rPr>
              <w:t>Proxy Access.</w:t>
            </w:r>
            <w:r>
              <w:rPr>
                <w:rFonts w:ascii="ARIAL" w:hAnsi="ARIAL"/>
                <w:sz w:val="19"/>
              </w:rPr>
              <w:t xml:space="preserve"> Our By-laws permit a shareholder, or a group of up to 20 shareholders, that has owned at least 3% of our outstanding common stock continuously for at least three years to nominate and include in our proxy materials up to the greater of two directors or 20% of the number of our directors then in office.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b/>
                <w:sz w:val="19"/>
              </w:rPr>
              <w:t xml:space="preserve">Independent Chair of the Board. </w:t>
            </w:r>
            <w:r>
              <w:rPr>
                <w:rFonts w:ascii="ARIAL" w:hAnsi="ARIAL"/>
                <w:sz w:val="19"/>
              </w:rPr>
              <w:t xml:space="preserve">Amy Woods Brinkley became our current Independent Chair of the Board on June 1,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b/>
                <w:sz w:val="19"/>
              </w:rPr>
              <w:t>Executive Compensation Alignment with Shareholders.</w:t>
            </w:r>
            <w:r>
              <w:rPr>
                <w:rFonts w:ascii="ARIAL" w:hAnsi="ARIAL"/>
                <w:sz w:val="19"/>
              </w:rPr>
              <w:t xml:space="preserve"> Because our shareholder value creation is derived from the Roper executive team’s capital deployment strategy and ability to operate a broad portfolio of businesses, our executives must possess a unique set of skills. We continue to refine our executive compensation practices to maintain close alignment with shareholder interests.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b/>
                <w:sz w:val="19"/>
              </w:rPr>
              <w:t>Pay for Performance.</w:t>
            </w:r>
            <w:r>
              <w:rPr>
                <w:rFonts w:ascii="ARIAL" w:hAnsi="ARIAL"/>
                <w:sz w:val="19"/>
              </w:rPr>
              <w:t xml:space="preserve"> Similar to prior years, in 2022, total direct compensation at target that was at risk and tied to stock price and performance objectives was 95% for the CEO, and 88% on average for our other named executive officers.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b/>
                <w:sz w:val="19"/>
              </w:rPr>
              <w:t>Diverse Board Membership.</w:t>
            </w:r>
            <w:r>
              <w:rPr>
                <w:rFonts w:ascii="ARIAL" w:hAnsi="ARIAL"/>
                <w:sz w:val="19"/>
              </w:rPr>
              <w:t xml:space="preserve"> 44% of directors nominated for election are women and 22% are racially/ethnically diverse. In addition, 75% of committee chairs are women, as is our Independent Chair of the Board.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b/>
                <w:sz w:val="19"/>
              </w:rPr>
              <w:t>Clear Oversight of ESG and Human Capital Management.</w:t>
            </w:r>
            <w:r>
              <w:rPr>
                <w:rFonts w:ascii="ARIAL" w:hAnsi="ARIAL"/>
                <w:sz w:val="19"/>
              </w:rPr>
              <w:t xml:space="preserve"> The Nominating and Governance Committee has oversight responsibility for matters related to Environmental, Social, and Governance (ESG) and Human Capital Management. </w:t>
            </w:r>
          </w:p>
        </w:tc>
      </w:tr>
    </w:tbl>
    <w:p>
      <w:pPr>
        <w:pStyle w:val="TextBody"/>
        <w:spacing w:before="0" w:after="0"/>
        <w:jc w:val="left"/>
        <w:rPr/>
      </w:pPr>
      <w:r>
        <w:rPr/>
        <w:t> </w:t>
      </w:r>
    </w:p>
    <w:tbl>
      <w:tblPr>
        <w:tblW w:w="10195" w:type="dxa"/>
        <w:jc w:val="left"/>
        <w:tblInd w:w="0" w:type="dxa"/>
        <w:tblCellMar>
          <w:top w:w="0" w:type="dxa"/>
          <w:left w:w="0" w:type="dxa"/>
          <w:bottom w:w="0" w:type="dxa"/>
          <w:right w:w="0" w:type="dxa"/>
        </w:tblCellMar>
      </w:tblPr>
      <w:tblGrid>
        <w:gridCol w:w="125"/>
        <w:gridCol w:w="60"/>
        <w:gridCol w:w="1001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10" w:type="dxa"/>
            <w:tcBorders/>
            <w:shd w:fill="auto" w:val="clear"/>
            <w:vAlign w:val="center"/>
          </w:tcPr>
          <w:p>
            <w:pPr>
              <w:pStyle w:val="TableContents"/>
              <w:spacing w:before="0" w:after="0"/>
              <w:jc w:val="left"/>
              <w:rPr>
                <w:rFonts w:ascii="ARIAL" w:hAnsi="ARIAL"/>
                <w:sz w:val="19"/>
              </w:rPr>
            </w:pPr>
            <w:r>
              <w:rPr>
                <w:rFonts w:ascii="ARIAL" w:hAnsi="ARIAL"/>
                <w:b/>
                <w:sz w:val="19"/>
              </w:rPr>
              <w:t>Shareholder Outreach Program.</w:t>
            </w:r>
            <w:r>
              <w:rPr>
                <w:rFonts w:ascii="ARIAL" w:hAnsi="ARIAL"/>
                <w:sz w:val="19"/>
              </w:rPr>
              <w:t xml:space="preserve"> Roper’s senior management team regularly engages shareholders for feedback. </w:t>
            </w:r>
          </w:p>
        </w:tc>
      </w:tr>
    </w:tbl>
    <w:p>
      <w:pPr>
        <w:pStyle w:val="TextBody"/>
        <w:spacing w:before="240" w:after="0"/>
        <w:jc w:val="left"/>
        <w:rPr>
          <w:rFonts w:ascii="ARIAL" w:hAnsi="ARIAL"/>
          <w:b/>
          <w:sz w:val="20"/>
        </w:rPr>
      </w:pPr>
      <w:r>
        <w:rPr>
          <w:rFonts w:ascii="ARIAL" w:hAnsi="ARIAL"/>
          <w:b/>
          <w:sz w:val="20"/>
        </w:rPr>
        <w:t xml:space="preserve">ESG </w:t>
      </w:r>
    </w:p>
    <w:p>
      <w:pPr>
        <w:pStyle w:val="TextBody"/>
        <w:spacing w:before="120" w:after="0"/>
        <w:jc w:val="left"/>
        <w:rPr>
          <w:rFonts w:ascii="ARIAL" w:hAnsi="ARIAL"/>
          <w:sz w:val="19"/>
        </w:rPr>
      </w:pPr>
      <w:r>
        <w:rPr>
          <w:rFonts w:ascii="ARIAL" w:hAnsi="ARIAL"/>
          <w:sz w:val="19"/>
        </w:rPr>
        <w:t xml:space="preserve">In 2022, we published our first comprehensive enterprise-wide ESG Report and made our first submission to the Carbon Disclosure Project. In [April 2023], we published an update of our ESG initiative which reflected our expanded data collection efforts. While we are only in year two of our ESG journey, we are confident in our ability to continue to drive improvements and meet the ESG expectations of our stakeholders. </w:t>
      </w:r>
      <w:r>
        <w:br w:type="page"/>
      </w:r>
    </w:p>
    <w:p>
      <w:pPr>
        <w:pStyle w:val="HorizontalLine"/>
        <w:rPr/>
      </w:pPr>
      <w:r>
        <w:rPr/>
      </w:r>
    </w:p>
    <w:p>
      <w:pPr>
        <w:pStyle w:val="TextBody"/>
        <w:spacing w:before="0" w:after="0"/>
        <w:jc w:val="left"/>
        <w:rPr>
          <w:rFonts w:ascii="ARIAL" w:hAnsi="ARIAL"/>
          <w:b/>
          <w:sz w:val="20"/>
        </w:rPr>
      </w:pPr>
      <w:r>
        <w:rPr>
          <w:rFonts w:ascii="ARIAL" w:hAnsi="ARIAL"/>
          <w:b/>
          <w:sz w:val="20"/>
        </w:rPr>
        <w:t xml:space="preserve">Open Communications With Our Shareholders </w:t>
      </w:r>
    </w:p>
    <w:p>
      <w:pPr>
        <w:pStyle w:val="TextBody"/>
        <w:spacing w:before="120" w:after="0"/>
        <w:jc w:val="left"/>
        <w:rPr>
          <w:rFonts w:ascii="ARIAL" w:hAnsi="ARIAL"/>
          <w:sz w:val="19"/>
        </w:rPr>
      </w:pPr>
      <w:r>
        <w:rPr>
          <w:rFonts w:ascii="ARIAL" w:hAnsi="ARIAL"/>
          <w:sz w:val="19"/>
        </w:rPr>
        <w:t xml:space="preserve">We value your continued support and input and ask that you continue to share your comments with us. Communications may be addressed to the directors in care of the Corporate Secretary, Roper Technologies, Inc., 6901 Professional Parkway, Suite 200, Sarasota, Florida 34240. After July 1, 2023, such communications should be addressed to Roper Technologies, Inc., 6496 University Parkway, Sarasota, Florida, 34240. </w:t>
      </w:r>
    </w:p>
    <w:p>
      <w:pPr>
        <w:pStyle w:val="TextBody"/>
        <w:spacing w:before="240" w:after="0"/>
        <w:jc w:val="left"/>
        <w:rPr>
          <w:rFonts w:ascii="ARIAL" w:hAnsi="ARIAL"/>
          <w:sz w:val="19"/>
        </w:rPr>
      </w:pPr>
      <w:r>
        <w:rPr>
          <w:rFonts w:ascii="ARIAL" w:hAnsi="ARIAL"/>
          <w:sz w:val="19"/>
        </w:rPr>
        <w:t xml:space="preserve">Sincerely, </w:t>
      </w:r>
    </w:p>
    <w:p>
      <w:pPr>
        <w:pStyle w:val="TextBody"/>
        <w:spacing w:before="120" w:after="0"/>
        <w:jc w:val="left"/>
        <w:rPr>
          <w:rFonts w:ascii="ARIAL" w:hAnsi="ARIAL"/>
          <w:b/>
          <w:sz w:val="20"/>
        </w:rPr>
      </w:pPr>
      <w:r>
        <w:rPr>
          <w:rFonts w:ascii="ARIAL" w:hAnsi="ARIAL"/>
          <w:b/>
          <w:sz w:val="20"/>
        </w:rPr>
        <w:t xml:space="preserve">The Board of Directors </w:t>
      </w:r>
    </w:p>
    <w:p>
      <w:pPr>
        <w:pStyle w:val="TextBody"/>
        <w:spacing w:before="0" w:after="0"/>
        <w:jc w:val="left"/>
        <w:rPr/>
      </w:pPr>
      <w:r>
        <w:rPr/>
        <w:t> </w:t>
      </w:r>
    </w:p>
    <w:tbl>
      <w:tblPr>
        <w:tblW w:w="7111" w:type="dxa"/>
        <w:jc w:val="left"/>
        <w:tblInd w:w="0" w:type="dxa"/>
        <w:tblCellMar>
          <w:top w:w="0" w:type="dxa"/>
          <w:left w:w="0" w:type="dxa"/>
          <w:bottom w:w="0" w:type="dxa"/>
          <w:right w:w="0" w:type="dxa"/>
        </w:tblCellMar>
      </w:tblPr>
      <w:tblGrid>
        <w:gridCol w:w="38"/>
        <w:gridCol w:w="60"/>
        <w:gridCol w:w="2420"/>
        <w:gridCol w:w="60"/>
        <w:gridCol w:w="2225"/>
        <w:gridCol w:w="60"/>
        <w:gridCol w:w="2150"/>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2480" w:type="dxa"/>
            <w:gridSpan w:val="2"/>
            <w:tcBorders/>
            <w:shd w:fill="auto" w:val="clear"/>
            <w:vAlign w:val="center"/>
          </w:tcPr>
          <w:p>
            <w:pPr>
              <w:pStyle w:val="TableContents"/>
              <w:spacing w:before="0" w:after="283"/>
              <w:rPr>
                <w:sz w:val="4"/>
                <w:szCs w:val="4"/>
              </w:rPr>
            </w:pPr>
            <w:r>
              <w:rPr>
                <w:sz w:val="4"/>
                <w:szCs w:val="4"/>
              </w:rPr>
            </w:r>
          </w:p>
        </w:tc>
        <w:tc>
          <w:tcPr>
            <w:tcW w:w="2285" w:type="dxa"/>
            <w:gridSpan w:val="2"/>
            <w:tcBorders/>
            <w:shd w:fill="auto" w:val="clear"/>
            <w:vAlign w:val="center"/>
          </w:tcPr>
          <w:p>
            <w:pPr>
              <w:pStyle w:val="TableContents"/>
              <w:spacing w:before="0" w:after="283"/>
              <w:rPr>
                <w:sz w:val="4"/>
                <w:szCs w:val="4"/>
              </w:rPr>
            </w:pPr>
            <w:r>
              <w:rPr>
                <w:sz w:val="4"/>
                <w:szCs w:val="4"/>
              </w:rPr>
            </w:r>
          </w:p>
        </w:tc>
        <w:tc>
          <w:tcPr>
            <w:tcW w:w="2210" w:type="dxa"/>
            <w:gridSpan w:val="2"/>
            <w:tcBorders/>
            <w:shd w:fill="auto" w:val="clear"/>
            <w:vAlign w:val="center"/>
          </w:tcPr>
          <w:p>
            <w:pPr>
              <w:pStyle w:val="TableContents"/>
              <w:spacing w:before="0" w:after="283"/>
              <w:rPr>
                <w:sz w:val="4"/>
                <w:szCs w:val="4"/>
              </w:rPr>
            </w:pPr>
            <w:r>
              <w:rPr>
                <w:sz w:val="4"/>
                <w:szCs w:val="4"/>
              </w:rPr>
            </w:r>
          </w:p>
        </w:tc>
        <w:tc>
          <w:tcPr>
            <w:tcW w:w="98" w:type="dxa"/>
            <w:gridSpan w:val="2"/>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20" w:type="dxa"/>
            <w:tcBorders/>
            <w:shd w:fill="auto" w:val="clear"/>
            <w:vAlign w:val="center"/>
          </w:tcPr>
          <w:p>
            <w:pPr>
              <w:pStyle w:val="TableContents"/>
              <w:spacing w:before="0" w:after="0"/>
              <w:jc w:val="center"/>
              <w:rPr/>
            </w:pPr>
            <w:r>
              <w:rPr/>
              <w:drawing>
                <wp:inline distT="0" distB="0" distL="0" distR="0">
                  <wp:extent cx="179705" cy="368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9705" cy="36830"/>
                          </a:xfrm>
                          <a:prstGeom prst="rect">
                            <a:avLst/>
                          </a:prstGeom>
                        </pic:spPr>
                      </pic:pic>
                    </a:graphicData>
                  </a:graphic>
                </wp:inline>
              </w:drawing>
            </w:r>
            <w:r>
              <w:rPr/>
              <w:t xml:space="preserve"> </w:t>
            </w:r>
          </w:p>
          <w:p>
            <w:pPr>
              <w:pStyle w:val="TableContents"/>
              <w:spacing w:before="0" w:after="20"/>
              <w:jc w:val="left"/>
              <w:rPr/>
            </w:pPr>
            <w:r>
              <w:rPr/>
              <w:t> </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jc w:val="center"/>
              <w:rPr/>
            </w:pPr>
            <w:r>
              <w:rPr/>
              <w:drawing>
                <wp:inline distT="0" distB="0" distL="0" distR="0">
                  <wp:extent cx="168275" cy="38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827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jc w:val="center"/>
              <w:rPr/>
            </w:pPr>
            <w:r>
              <w:rPr/>
              <w:drawing>
                <wp:inline distT="0" distB="0" distL="0" distR="0">
                  <wp:extent cx="128905" cy="546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8905" cy="5461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20" w:type="dxa"/>
            <w:tcBorders/>
            <w:shd w:fill="auto" w:val="clear"/>
            <w:vAlign w:val="center"/>
          </w:tcPr>
          <w:p>
            <w:pPr>
              <w:pStyle w:val="TableContents"/>
              <w:spacing w:before="0" w:after="283"/>
              <w:jc w:val="center"/>
              <w:rPr>
                <w:b/>
              </w:rPr>
            </w:pPr>
            <w:r>
              <w:rPr>
                <w:b/>
              </w:rPr>
              <w:t>Shellye L. Archambeau</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jc w:val="center"/>
              <w:rPr>
                <w:b/>
              </w:rPr>
            </w:pPr>
            <w:r>
              <w:rPr>
                <w:b/>
              </w:rPr>
              <w:t>Amy Woods Brinkley</w:t>
            </w:r>
          </w:p>
        </w:tc>
        <w:tc>
          <w:tcPr>
            <w:tcW w:w="6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jc w:val="center"/>
              <w:rPr>
                <w:b/>
              </w:rPr>
            </w:pPr>
            <w:r>
              <w:rPr>
                <w:b/>
              </w:rPr>
              <w:t>Irene M. Esteves</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2480" w:type="dxa"/>
            <w:gridSpan w:val="2"/>
            <w:tcBorders/>
            <w:shd w:fill="auto" w:val="clear"/>
            <w:vAlign w:val="center"/>
          </w:tcPr>
          <w:p>
            <w:pPr>
              <w:pStyle w:val="TableContents"/>
              <w:spacing w:before="0" w:after="283"/>
              <w:rPr>
                <w:sz w:val="4"/>
                <w:szCs w:val="4"/>
              </w:rPr>
            </w:pPr>
            <w:r>
              <w:rPr>
                <w:sz w:val="4"/>
                <w:szCs w:val="4"/>
              </w:rPr>
            </w:r>
          </w:p>
        </w:tc>
        <w:tc>
          <w:tcPr>
            <w:tcW w:w="2285" w:type="dxa"/>
            <w:gridSpan w:val="2"/>
            <w:tcBorders/>
            <w:shd w:fill="auto" w:val="clear"/>
            <w:vAlign w:val="center"/>
          </w:tcPr>
          <w:p>
            <w:pPr>
              <w:pStyle w:val="TableContents"/>
              <w:spacing w:before="0" w:after="283"/>
              <w:rPr>
                <w:sz w:val="4"/>
                <w:szCs w:val="4"/>
              </w:rPr>
            </w:pPr>
            <w:r>
              <w:rPr>
                <w:sz w:val="4"/>
                <w:szCs w:val="4"/>
              </w:rPr>
            </w:r>
          </w:p>
        </w:tc>
        <w:tc>
          <w:tcPr>
            <w:tcW w:w="2210" w:type="dxa"/>
            <w:gridSpan w:val="2"/>
            <w:tcBorders/>
            <w:shd w:fill="auto" w:val="clear"/>
            <w:vAlign w:val="center"/>
          </w:tcPr>
          <w:p>
            <w:pPr>
              <w:pStyle w:val="TableContents"/>
              <w:spacing w:before="0" w:after="283"/>
              <w:rPr>
                <w:sz w:val="4"/>
                <w:szCs w:val="4"/>
              </w:rPr>
            </w:pPr>
            <w:r>
              <w:rPr>
                <w:sz w:val="4"/>
                <w:szCs w:val="4"/>
              </w:rPr>
            </w:r>
          </w:p>
        </w:tc>
        <w:tc>
          <w:tcPr>
            <w:tcW w:w="98" w:type="dxa"/>
            <w:gridSpan w:val="2"/>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20" w:type="dxa"/>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20"/>
              <w:jc w:val="center"/>
              <w:rPr/>
            </w:pPr>
            <w:r>
              <w:rPr/>
              <w:drawing>
                <wp:inline distT="0" distB="0" distL="0" distR="0">
                  <wp:extent cx="130175" cy="812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0175" cy="8128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20"/>
              <w:jc w:val="center"/>
              <w:rPr/>
            </w:pPr>
            <w:r>
              <w:rPr/>
              <w:drawing>
                <wp:inline distT="0" distB="0" distL="0" distR="0">
                  <wp:extent cx="102235" cy="361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235" cy="3619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20"/>
              <w:jc w:val="center"/>
              <w:rPr/>
            </w:pPr>
            <w:r>
              <w:rPr/>
              <w:drawing>
                <wp:inline distT="0" distB="0" distL="0" distR="0">
                  <wp:extent cx="128905" cy="368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8905" cy="3683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2480" w:type="dxa"/>
            <w:gridSpan w:val="2"/>
            <w:tcBorders/>
            <w:shd w:fill="auto" w:val="clear"/>
            <w:vAlign w:val="center"/>
          </w:tcPr>
          <w:p>
            <w:pPr>
              <w:pStyle w:val="TableContents"/>
              <w:spacing w:before="0" w:after="283"/>
              <w:rPr>
                <w:sz w:val="4"/>
                <w:szCs w:val="4"/>
              </w:rPr>
            </w:pPr>
            <w:r>
              <w:rPr>
                <w:sz w:val="4"/>
                <w:szCs w:val="4"/>
              </w:rPr>
            </w:r>
          </w:p>
        </w:tc>
        <w:tc>
          <w:tcPr>
            <w:tcW w:w="2285" w:type="dxa"/>
            <w:gridSpan w:val="2"/>
            <w:tcBorders/>
            <w:shd w:fill="auto" w:val="clear"/>
            <w:vAlign w:val="center"/>
          </w:tcPr>
          <w:p>
            <w:pPr>
              <w:pStyle w:val="TableContents"/>
              <w:spacing w:before="0" w:after="283"/>
              <w:rPr>
                <w:sz w:val="4"/>
                <w:szCs w:val="4"/>
              </w:rPr>
            </w:pPr>
            <w:r>
              <w:rPr>
                <w:sz w:val="4"/>
                <w:szCs w:val="4"/>
              </w:rPr>
            </w:r>
          </w:p>
        </w:tc>
        <w:tc>
          <w:tcPr>
            <w:tcW w:w="2210" w:type="dxa"/>
            <w:gridSpan w:val="2"/>
            <w:tcBorders/>
            <w:shd w:fill="auto" w:val="clear"/>
            <w:vAlign w:val="center"/>
          </w:tcPr>
          <w:p>
            <w:pPr>
              <w:pStyle w:val="TableContents"/>
              <w:spacing w:before="0" w:after="283"/>
              <w:rPr>
                <w:sz w:val="4"/>
                <w:szCs w:val="4"/>
              </w:rPr>
            </w:pPr>
            <w:r>
              <w:rPr>
                <w:sz w:val="4"/>
                <w:szCs w:val="4"/>
              </w:rPr>
            </w:r>
          </w:p>
        </w:tc>
        <w:tc>
          <w:tcPr>
            <w:tcW w:w="98" w:type="dxa"/>
            <w:gridSpan w:val="2"/>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20" w:type="dxa"/>
            <w:tcBorders/>
            <w:shd w:fill="auto" w:val="clear"/>
            <w:vAlign w:val="center"/>
          </w:tcPr>
          <w:p>
            <w:pPr>
              <w:pStyle w:val="TableContents"/>
              <w:spacing w:before="0" w:after="283"/>
              <w:jc w:val="center"/>
              <w:rPr>
                <w:b/>
              </w:rPr>
            </w:pPr>
            <w:r>
              <w:rPr>
                <w:b/>
              </w:rPr>
              <w:t>L. Neil Hunn</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jc w:val="center"/>
              <w:rPr>
                <w:b/>
              </w:rPr>
            </w:pPr>
            <w:r>
              <w:rPr>
                <w:b/>
              </w:rPr>
              <w:t>Robert D. Johnson</w:t>
            </w:r>
          </w:p>
        </w:tc>
        <w:tc>
          <w:tcPr>
            <w:tcW w:w="6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jc w:val="center"/>
              <w:rPr>
                <w:b/>
              </w:rPr>
            </w:pPr>
            <w:r>
              <w:rPr>
                <w:b/>
              </w:rPr>
              <w:t>Thomas P. Joyce, Jr.</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2480" w:type="dxa"/>
            <w:gridSpan w:val="2"/>
            <w:tcBorders/>
            <w:shd w:fill="auto" w:val="clear"/>
            <w:vAlign w:val="center"/>
          </w:tcPr>
          <w:p>
            <w:pPr>
              <w:pStyle w:val="TableContents"/>
              <w:spacing w:before="0" w:after="283"/>
              <w:rPr>
                <w:sz w:val="4"/>
                <w:szCs w:val="4"/>
              </w:rPr>
            </w:pPr>
            <w:r>
              <w:rPr>
                <w:sz w:val="4"/>
                <w:szCs w:val="4"/>
              </w:rPr>
            </w:r>
          </w:p>
        </w:tc>
        <w:tc>
          <w:tcPr>
            <w:tcW w:w="2285" w:type="dxa"/>
            <w:gridSpan w:val="2"/>
            <w:tcBorders/>
            <w:shd w:fill="auto" w:val="clear"/>
            <w:vAlign w:val="center"/>
          </w:tcPr>
          <w:p>
            <w:pPr>
              <w:pStyle w:val="TableContents"/>
              <w:spacing w:before="0" w:after="283"/>
              <w:rPr>
                <w:sz w:val="4"/>
                <w:szCs w:val="4"/>
              </w:rPr>
            </w:pPr>
            <w:r>
              <w:rPr>
                <w:sz w:val="4"/>
                <w:szCs w:val="4"/>
              </w:rPr>
            </w:r>
          </w:p>
        </w:tc>
        <w:tc>
          <w:tcPr>
            <w:tcW w:w="2210" w:type="dxa"/>
            <w:gridSpan w:val="2"/>
            <w:tcBorders/>
            <w:shd w:fill="auto" w:val="clear"/>
            <w:vAlign w:val="center"/>
          </w:tcPr>
          <w:p>
            <w:pPr>
              <w:pStyle w:val="TableContents"/>
              <w:spacing w:before="0" w:after="283"/>
              <w:rPr>
                <w:sz w:val="4"/>
                <w:szCs w:val="4"/>
              </w:rPr>
            </w:pPr>
            <w:r>
              <w:rPr>
                <w:sz w:val="4"/>
                <w:szCs w:val="4"/>
              </w:rPr>
            </w:r>
          </w:p>
        </w:tc>
        <w:tc>
          <w:tcPr>
            <w:tcW w:w="98" w:type="dxa"/>
            <w:gridSpan w:val="2"/>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20" w:type="dxa"/>
            <w:tcBorders/>
            <w:shd w:fill="auto" w:val="clear"/>
            <w:vAlign w:val="center"/>
          </w:tcPr>
          <w:p>
            <w:pPr>
              <w:pStyle w:val="TableContents"/>
              <w:spacing w:before="0" w:after="0"/>
              <w:rPr/>
            </w:pPr>
            <w:r>
              <w:rPr/>
              <w:t> </w:t>
            </w:r>
          </w:p>
          <w:p>
            <w:pPr>
              <w:pStyle w:val="TableContents"/>
              <w:spacing w:before="0" w:after="20"/>
              <w:jc w:val="center"/>
              <w:rPr/>
            </w:pPr>
            <w:r>
              <w:rPr/>
              <w:drawing>
                <wp:inline distT="0" distB="0" distL="0" distR="0">
                  <wp:extent cx="147955" cy="393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7955" cy="3937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rPr/>
            </w:pPr>
            <w:r>
              <w:rPr/>
              <w:t> </w:t>
            </w:r>
          </w:p>
          <w:p>
            <w:pPr>
              <w:pStyle w:val="TableContents"/>
              <w:spacing w:before="0" w:after="20"/>
              <w:jc w:val="center"/>
              <w:rPr/>
            </w:pPr>
            <w:r>
              <w:rPr/>
              <w:drawing>
                <wp:inline distT="0" distB="0" distL="0" distR="0">
                  <wp:extent cx="137795" cy="3365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7795" cy="3365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0"/>
              <w:rPr/>
            </w:pPr>
            <w:r>
              <w:rPr/>
              <w:t> </w:t>
            </w:r>
          </w:p>
          <w:p>
            <w:pPr>
              <w:pStyle w:val="TableContents"/>
              <w:spacing w:before="0" w:after="20"/>
              <w:jc w:val="center"/>
              <w:rPr/>
            </w:pPr>
            <w:r>
              <w:rPr/>
              <w:drawing>
                <wp:inline distT="0" distB="0" distL="0" distR="0">
                  <wp:extent cx="96520" cy="4889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6520" cy="4889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2480" w:type="dxa"/>
            <w:gridSpan w:val="2"/>
            <w:tcBorders/>
            <w:shd w:fill="auto" w:val="clear"/>
            <w:vAlign w:val="center"/>
          </w:tcPr>
          <w:p>
            <w:pPr>
              <w:pStyle w:val="TableContents"/>
              <w:spacing w:before="0" w:after="283"/>
              <w:rPr>
                <w:sz w:val="4"/>
                <w:szCs w:val="4"/>
              </w:rPr>
            </w:pPr>
            <w:r>
              <w:rPr>
                <w:sz w:val="4"/>
                <w:szCs w:val="4"/>
              </w:rPr>
            </w:r>
          </w:p>
        </w:tc>
        <w:tc>
          <w:tcPr>
            <w:tcW w:w="2285" w:type="dxa"/>
            <w:gridSpan w:val="2"/>
            <w:tcBorders/>
            <w:shd w:fill="auto" w:val="clear"/>
            <w:vAlign w:val="center"/>
          </w:tcPr>
          <w:p>
            <w:pPr>
              <w:pStyle w:val="TableContents"/>
              <w:spacing w:before="0" w:after="283"/>
              <w:rPr>
                <w:sz w:val="4"/>
                <w:szCs w:val="4"/>
              </w:rPr>
            </w:pPr>
            <w:r>
              <w:rPr>
                <w:sz w:val="4"/>
                <w:szCs w:val="4"/>
              </w:rPr>
            </w:r>
          </w:p>
        </w:tc>
        <w:tc>
          <w:tcPr>
            <w:tcW w:w="2210" w:type="dxa"/>
            <w:gridSpan w:val="2"/>
            <w:tcBorders/>
            <w:shd w:fill="auto" w:val="clear"/>
            <w:vAlign w:val="center"/>
          </w:tcPr>
          <w:p>
            <w:pPr>
              <w:pStyle w:val="TableContents"/>
              <w:spacing w:before="0" w:after="283"/>
              <w:rPr>
                <w:sz w:val="4"/>
                <w:szCs w:val="4"/>
              </w:rPr>
            </w:pPr>
            <w:r>
              <w:rPr>
                <w:sz w:val="4"/>
                <w:szCs w:val="4"/>
              </w:rPr>
            </w:r>
          </w:p>
        </w:tc>
        <w:tc>
          <w:tcPr>
            <w:tcW w:w="98" w:type="dxa"/>
            <w:gridSpan w:val="2"/>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20" w:type="dxa"/>
            <w:tcBorders/>
            <w:shd w:fill="auto" w:val="clear"/>
            <w:vAlign w:val="center"/>
          </w:tcPr>
          <w:p>
            <w:pPr>
              <w:pStyle w:val="TableContents"/>
              <w:spacing w:before="0" w:after="283"/>
              <w:jc w:val="center"/>
              <w:rPr>
                <w:b/>
              </w:rPr>
            </w:pPr>
            <w:r>
              <w:rPr>
                <w:b/>
              </w:rPr>
              <w:t>Laura G. Thatcher</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jc w:val="center"/>
              <w:rPr>
                <w:b/>
              </w:rPr>
            </w:pPr>
            <w:r>
              <w:rPr>
                <w:b/>
              </w:rPr>
              <w:t>Richard F. Wallman</w:t>
            </w:r>
          </w:p>
        </w:tc>
        <w:tc>
          <w:tcPr>
            <w:tcW w:w="6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jc w:val="center"/>
              <w:rPr>
                <w:b/>
              </w:rPr>
            </w:pPr>
            <w:r>
              <w:rPr>
                <w:b/>
              </w:rPr>
              <w:t>Christopher Wright</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TextBody"/>
        <w:spacing w:before="0" w:after="0"/>
        <w:jc w:val="center"/>
        <w:rPr/>
      </w:pPr>
      <w:r>
        <w:rPr/>
        <w:drawing>
          <wp:inline distT="0" distB="0" distL="0" distR="0">
            <wp:extent cx="113665" cy="4572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3665" cy="45720"/>
                    </a:xfrm>
                    <a:prstGeom prst="rect">
                      <a:avLst/>
                    </a:prstGeom>
                  </pic:spPr>
                </pic:pic>
              </a:graphicData>
            </a:graphic>
          </wp:inline>
        </w:drawing>
      </w:r>
      <w:r>
        <w:rPr/>
        <w:t xml:space="preserve"> </w:t>
      </w:r>
    </w:p>
    <w:p>
      <w:pPr>
        <w:pStyle w:val="TextBody"/>
        <w:spacing w:before="120" w:after="0"/>
        <w:jc w:val="left"/>
        <w:rPr>
          <w:rFonts w:ascii="ARIAL" w:hAnsi="ARIAL"/>
          <w:b/>
          <w:color w:val="005CB9"/>
          <w:sz w:val="36"/>
        </w:rPr>
      </w:pPr>
      <w:r>
        <w:rPr>
          <w:rFonts w:ascii="ARIAL" w:hAnsi="ARIAL"/>
          <w:b/>
          <w:color w:val="005CB9"/>
          <w:sz w:val="36"/>
        </w:rPr>
        <w:t xml:space="preserve">NOTICE OF THE 2023 ANNUAL MEETING OF SHAREHOLDERS </w:t>
      </w:r>
    </w:p>
    <w:p>
      <w:pPr>
        <w:pStyle w:val="TextBody"/>
        <w:spacing w:before="240" w:after="0"/>
        <w:jc w:val="left"/>
        <w:rPr>
          <w:rFonts w:ascii="ARIAL" w:hAnsi="ARIAL"/>
          <w:b/>
          <w:color w:val="005CB9"/>
          <w:sz w:val="20"/>
        </w:rPr>
      </w:pPr>
      <w:r>
        <w:rPr>
          <w:rFonts w:ascii="ARIAL" w:hAnsi="ARIAL"/>
          <w:b/>
          <w:color w:val="005CB9"/>
          <w:sz w:val="20"/>
        </w:rPr>
        <w:t xml:space="preserve">2023 ANNUAL MEETING INFORMATION </w:t>
      </w:r>
    </w:p>
    <w:p>
      <w:pPr>
        <w:pStyle w:val="TextBody"/>
        <w:spacing w:before="120" w:after="0"/>
        <w:jc w:val="left"/>
        <w:rPr>
          <w:rFonts w:ascii="ARIAL" w:hAnsi="ARIAL"/>
          <w:sz w:val="19"/>
        </w:rPr>
      </w:pPr>
      <w:r>
        <w:rPr>
          <w:rFonts w:ascii="ARIAL" w:hAnsi="ARIAL"/>
          <w:sz w:val="19"/>
        </w:rPr>
        <w:t xml:space="preserve">For additional information about our Annual Meeting, see Annual Meeting and Voting Information on page 58. </w:t>
      </w:r>
    </w:p>
    <w:p>
      <w:pPr>
        <w:pStyle w:val="TextBody"/>
        <w:spacing w:before="0" w:after="0"/>
        <w:jc w:val="left"/>
        <w:rPr/>
      </w:pPr>
      <w:r>
        <w:rPr/>
        <w:t> </w:t>
      </w:r>
    </w:p>
    <w:tbl>
      <w:tblPr>
        <w:tblW w:w="8450" w:type="dxa"/>
        <w:jc w:val="left"/>
        <w:tblInd w:w="0" w:type="dxa"/>
        <w:tblCellMar>
          <w:top w:w="0" w:type="dxa"/>
          <w:left w:w="0" w:type="dxa"/>
          <w:bottom w:w="0" w:type="dxa"/>
          <w:right w:w="0" w:type="dxa"/>
        </w:tblCellMar>
      </w:tblPr>
      <w:tblGrid>
        <w:gridCol w:w="1655"/>
        <w:gridCol w:w="60"/>
        <w:gridCol w:w="60"/>
        <w:gridCol w:w="360"/>
        <w:gridCol w:w="60"/>
        <w:gridCol w:w="60"/>
        <w:gridCol w:w="2030"/>
        <w:gridCol w:w="60"/>
        <w:gridCol w:w="60"/>
        <w:gridCol w:w="360"/>
        <w:gridCol w:w="60"/>
        <w:gridCol w:w="60"/>
        <w:gridCol w:w="1790"/>
        <w:gridCol w:w="60"/>
        <w:gridCol w:w="360"/>
        <w:gridCol w:w="60"/>
        <w:gridCol w:w="1295"/>
      </w:tblGrid>
      <w:tr>
        <w:trPr/>
        <w:tc>
          <w:tcPr>
            <w:tcW w:w="1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before="0" w:after="0"/>
              <w:rPr>
                <w:rFonts w:ascii="ARIAL" w:hAnsi="ARIAL"/>
                <w:b/>
                <w:sz w:val="20"/>
              </w:rPr>
            </w:pPr>
            <w:r>
              <w:rPr>
                <w:rFonts w:ascii="ARIAL" w:hAnsi="ARIAL"/>
                <w:b/>
                <w:sz w:val="20"/>
              </w:rPr>
              <w:t>Meeting Date:      </w:t>
            </w:r>
          </w:p>
          <w:p>
            <w:pPr>
              <w:pStyle w:val="TableContents"/>
              <w:spacing w:before="0" w:after="20"/>
              <w:rPr>
                <w:rFonts w:ascii="ARIAL" w:hAnsi="ARIAL"/>
                <w:sz w:val="16"/>
              </w:rPr>
            </w:pPr>
            <w:r>
              <w:rPr>
                <w:rFonts w:ascii="ARIAL" w:hAnsi="ARIAL"/>
                <w:sz w:val="16"/>
              </w:rPr>
              <w:t>June 13, 2023    </w:t>
            </w:r>
          </w:p>
        </w:tc>
        <w:tc>
          <w:tcPr>
            <w:tcW w:w="60" w:type="dxa"/>
            <w:tcBorders>
              <w:left w:val="single" w:sz="8" w:space="0" w:color="BFBFBF"/>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rPr/>
            </w:pPr>
            <w:r>
              <w:rPr/>
              <w:t> </w:t>
            </w:r>
          </w:p>
          <w:p>
            <w:pPr>
              <w:pStyle w:val="TableContents"/>
              <w:spacing w:before="0" w:after="20"/>
              <w:rPr/>
            </w:pPr>
            <w:r>
              <w:rPr/>
              <w:t> </w:t>
            </w:r>
          </w:p>
        </w:tc>
        <w:tc>
          <w:tcPr>
            <w:tcW w:w="60" w:type="dxa"/>
            <w:tcBorders/>
            <w:shd w:fill="auto" w:val="clear"/>
            <w:vAlign w:val="center"/>
          </w:tcPr>
          <w:p>
            <w:pPr>
              <w:pStyle w:val="TableContents"/>
              <w:spacing w:before="0" w:after="283"/>
              <w:rPr/>
            </w:pPr>
            <w:r>
              <w:rPr/>
              <w:t> </w:t>
            </w:r>
          </w:p>
        </w:tc>
        <w:tc>
          <w:tcPr>
            <w:tcW w:w="2030" w:type="dxa"/>
            <w:tcBorders>
              <w:right w:val="single" w:sz="8" w:space="0" w:color="BFBFBF"/>
            </w:tcBorders>
            <w:shd w:fill="auto" w:val="clear"/>
            <w:tcMar>
              <w:right w:w="28" w:type="dxa"/>
            </w:tcMar>
            <w:vAlign w:val="center"/>
          </w:tcPr>
          <w:p>
            <w:pPr>
              <w:pStyle w:val="TableContents"/>
              <w:spacing w:before="0" w:after="0"/>
              <w:rPr>
                <w:rFonts w:ascii="ARIAL" w:hAnsi="ARIAL"/>
                <w:b/>
                <w:sz w:val="20"/>
              </w:rPr>
            </w:pPr>
            <w:r>
              <w:rPr>
                <w:rFonts w:ascii="ARIAL" w:hAnsi="ARIAL"/>
                <w:b/>
                <w:sz w:val="20"/>
              </w:rPr>
              <w:t>Meeting Place:</w:t>
            </w:r>
          </w:p>
          <w:p>
            <w:pPr>
              <w:pStyle w:val="TableContents"/>
              <w:spacing w:before="0" w:after="0"/>
              <w:rPr>
                <w:rFonts w:ascii="ARIAL" w:hAnsi="ARIAL"/>
                <w:sz w:val="16"/>
              </w:rPr>
            </w:pPr>
            <w:r>
              <w:rPr>
                <w:rFonts w:ascii="ARIAL" w:hAnsi="ARIAL"/>
                <w:sz w:val="16"/>
              </w:rPr>
              <w:t>The Westin Sarasota</w:t>
            </w:r>
          </w:p>
          <w:p>
            <w:pPr>
              <w:pStyle w:val="TableContents"/>
              <w:spacing w:before="0" w:after="0"/>
              <w:rPr>
                <w:rFonts w:ascii="ARIAL" w:hAnsi="ARIAL"/>
                <w:sz w:val="16"/>
              </w:rPr>
            </w:pPr>
            <w:r>
              <w:rPr>
                <w:rFonts w:ascii="ARIAL" w:hAnsi="ARIAL"/>
                <w:sz w:val="16"/>
              </w:rPr>
              <w:t>100 Marina View Drive</w:t>
            </w:r>
          </w:p>
          <w:p>
            <w:pPr>
              <w:pStyle w:val="TableContents"/>
              <w:spacing w:before="0" w:after="20"/>
              <w:rPr>
                <w:rFonts w:ascii="ARIAL" w:hAnsi="ARIAL"/>
                <w:sz w:val="16"/>
              </w:rPr>
            </w:pPr>
            <w:r>
              <w:rPr>
                <w:rFonts w:ascii="ARIAL" w:hAnsi="ARIAL"/>
                <w:sz w:val="16"/>
              </w:rPr>
              <w:t>Sarasota, Florida 34236      </w:t>
            </w:r>
          </w:p>
        </w:tc>
        <w:tc>
          <w:tcPr>
            <w:tcW w:w="60" w:type="dxa"/>
            <w:tcBorders>
              <w:left w:val="single" w:sz="8" w:space="0" w:color="BFBFBF"/>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rPr/>
            </w:pPr>
            <w:r>
              <w:rPr/>
              <w:t> </w:t>
            </w:r>
          </w:p>
          <w:p>
            <w:pPr>
              <w:pStyle w:val="TableContents"/>
              <w:spacing w:before="0" w:after="20"/>
              <w:rPr/>
            </w:pPr>
            <w:r>
              <w:rPr/>
              <w:t> </w:t>
            </w:r>
          </w:p>
        </w:tc>
        <w:tc>
          <w:tcPr>
            <w:tcW w:w="60" w:type="dxa"/>
            <w:tcBorders/>
            <w:shd w:fill="auto" w:val="clear"/>
            <w:vAlign w:val="center"/>
          </w:tcPr>
          <w:p>
            <w:pPr>
              <w:pStyle w:val="TableContents"/>
              <w:spacing w:before="0" w:after="283"/>
              <w:rPr/>
            </w:pPr>
            <w:r>
              <w:rPr/>
              <w:t> </w:t>
            </w:r>
          </w:p>
        </w:tc>
        <w:tc>
          <w:tcPr>
            <w:tcW w:w="1790" w:type="dxa"/>
            <w:tcBorders>
              <w:right w:val="single" w:sz="8" w:space="0" w:color="BFBFBF"/>
            </w:tcBorders>
            <w:shd w:fill="auto" w:val="clear"/>
            <w:tcMar>
              <w:right w:w="28" w:type="dxa"/>
            </w:tcMar>
            <w:vAlign w:val="center"/>
          </w:tcPr>
          <w:p>
            <w:pPr>
              <w:pStyle w:val="TableContents"/>
              <w:spacing w:before="0" w:after="0"/>
              <w:rPr>
                <w:rFonts w:ascii="ARIAL" w:hAnsi="ARIAL"/>
                <w:b/>
                <w:sz w:val="20"/>
              </w:rPr>
            </w:pPr>
            <w:r>
              <w:rPr>
                <w:rFonts w:ascii="ARIAL" w:hAnsi="ARIAL"/>
                <w:b/>
                <w:sz w:val="20"/>
              </w:rPr>
              <w:t>Meeting Time:</w:t>
            </w:r>
          </w:p>
          <w:p>
            <w:pPr>
              <w:pStyle w:val="TableContents"/>
              <w:spacing w:before="0" w:after="20"/>
              <w:rPr>
                <w:rFonts w:ascii="ARIAL" w:hAnsi="ARIAL"/>
                <w:sz w:val="16"/>
              </w:rPr>
            </w:pPr>
            <w:r>
              <w:rPr>
                <w:rFonts w:ascii="ARIAL" w:hAnsi="ARIAL"/>
                <w:sz w:val="16"/>
              </w:rPr>
              <w:t>10:00 a.m. (Eastern)      </w:t>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0"/>
              <w:jc w:val="right"/>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0"/>
              <w:rPr>
                <w:rFonts w:ascii="ARIAL" w:hAnsi="ARIAL"/>
                <w:b/>
                <w:sz w:val="20"/>
              </w:rPr>
            </w:pPr>
            <w:r>
              <w:rPr>
                <w:rFonts w:ascii="ARIAL" w:hAnsi="ARIAL"/>
                <w:b/>
                <w:sz w:val="20"/>
              </w:rPr>
              <w:t>Record Date:</w:t>
            </w:r>
          </w:p>
          <w:p>
            <w:pPr>
              <w:pStyle w:val="TableContents"/>
              <w:spacing w:before="0" w:after="20"/>
              <w:rPr>
                <w:rFonts w:ascii="ARIAL" w:hAnsi="ARIAL"/>
                <w:sz w:val="16"/>
              </w:rPr>
            </w:pPr>
            <w:r>
              <w:rPr>
                <w:rFonts w:ascii="ARIAL" w:hAnsi="ARIAL"/>
                <w:sz w:val="16"/>
              </w:rPr>
              <w:t>April 19, 2023      </w:t>
            </w:r>
          </w:p>
        </w:tc>
      </w:tr>
      <w:tr>
        <w:trPr/>
        <w:tc>
          <w:tcPr>
            <w:tcW w:w="1655" w:type="dxa"/>
            <w:tcBorders>
              <w:bottom w:val="single" w:sz="16" w:space="0" w:color="BFBFBF"/>
            </w:tcBorders>
            <w:shd w:fill="auto" w:val="clear"/>
            <w:tcMar>
              <w:bottom w:w="28" w:type="dxa"/>
            </w:tcMar>
            <w:vAlign w:val="center"/>
          </w:tcPr>
          <w:p>
            <w:pPr>
              <w:pStyle w:val="TableContents"/>
              <w:spacing w:before="0" w:after="283"/>
              <w:rPr/>
            </w:pPr>
            <w:r>
              <w:rPr/>
              <w:t>  </w:t>
            </w:r>
          </w:p>
        </w:tc>
        <w:tc>
          <w:tcPr>
            <w:tcW w:w="60" w:type="dxa"/>
            <w:tcBorders>
              <w:bottom w:val="single" w:sz="16" w:space="0" w:color="BFBFBF"/>
            </w:tcBorders>
            <w:shd w:fill="auto" w:val="clear"/>
            <w:tcMar>
              <w:bottom w:w="28" w:type="dxa"/>
            </w:tcMar>
            <w:vAlign w:val="center"/>
          </w:tcPr>
          <w:p>
            <w:pPr>
              <w:pStyle w:val="TableContents"/>
              <w:spacing w:before="0" w:after="283"/>
              <w:rPr/>
            </w:pPr>
            <w:r>
              <w:rPr/>
              <w:t> </w:t>
            </w:r>
          </w:p>
        </w:tc>
        <w:tc>
          <w:tcPr>
            <w:tcW w:w="420" w:type="dxa"/>
            <w:gridSpan w:val="2"/>
            <w:tcBorders>
              <w:bottom w:val="single" w:sz="16" w:space="0" w:color="BFBFBF"/>
            </w:tcBorders>
            <w:shd w:fill="auto" w:val="clear"/>
            <w:tcMar>
              <w:bottom w:w="28" w:type="dxa"/>
            </w:tcMar>
            <w:vAlign w:val="center"/>
          </w:tcPr>
          <w:p>
            <w:pPr>
              <w:pStyle w:val="TableContents"/>
              <w:spacing w:before="0" w:after="283"/>
              <w:rPr/>
            </w:pPr>
            <w:r>
              <w:rPr/>
              <w:t>  </w:t>
            </w:r>
          </w:p>
        </w:tc>
        <w:tc>
          <w:tcPr>
            <w:tcW w:w="60" w:type="dxa"/>
            <w:tcBorders>
              <w:bottom w:val="single" w:sz="16" w:space="0" w:color="BFBFBF"/>
            </w:tcBorders>
            <w:shd w:fill="auto" w:val="clear"/>
            <w:tcMar>
              <w:bottom w:w="28" w:type="dxa"/>
            </w:tcMar>
            <w:vAlign w:val="center"/>
          </w:tcPr>
          <w:p>
            <w:pPr>
              <w:pStyle w:val="TableContents"/>
              <w:spacing w:before="0" w:after="283"/>
              <w:rPr/>
            </w:pPr>
            <w:r>
              <w:rPr/>
              <w:t> </w:t>
            </w:r>
          </w:p>
        </w:tc>
        <w:tc>
          <w:tcPr>
            <w:tcW w:w="60" w:type="dxa"/>
            <w:tcBorders>
              <w:bottom w:val="single" w:sz="16" w:space="0" w:color="BFBFBF"/>
            </w:tcBorders>
            <w:shd w:fill="auto" w:val="clear"/>
            <w:tcMar>
              <w:bottom w:w="28" w:type="dxa"/>
            </w:tcMar>
            <w:vAlign w:val="center"/>
          </w:tcPr>
          <w:p>
            <w:pPr>
              <w:pStyle w:val="TableContents"/>
              <w:spacing w:before="0" w:after="283"/>
              <w:rPr/>
            </w:pPr>
            <w:r>
              <w:rPr/>
              <w:t> </w:t>
            </w:r>
          </w:p>
        </w:tc>
        <w:tc>
          <w:tcPr>
            <w:tcW w:w="2030" w:type="dxa"/>
            <w:tcBorders>
              <w:bottom w:val="single" w:sz="16" w:space="0" w:color="BFBFBF"/>
            </w:tcBorders>
            <w:shd w:fill="auto" w:val="clear"/>
            <w:tcMar>
              <w:bottom w:w="28" w:type="dxa"/>
            </w:tcMar>
            <w:vAlign w:val="center"/>
          </w:tcPr>
          <w:p>
            <w:pPr>
              <w:pStyle w:val="TableContents"/>
              <w:spacing w:before="0" w:after="283"/>
              <w:rPr/>
            </w:pPr>
            <w:r>
              <w:rPr/>
              <w:t>  </w:t>
            </w:r>
          </w:p>
        </w:tc>
        <w:tc>
          <w:tcPr>
            <w:tcW w:w="60" w:type="dxa"/>
            <w:tcBorders>
              <w:bottom w:val="single" w:sz="16" w:space="0" w:color="BFBFBF"/>
            </w:tcBorders>
            <w:shd w:fill="auto" w:val="clear"/>
            <w:tcMar>
              <w:bottom w:w="28" w:type="dxa"/>
            </w:tcMar>
            <w:vAlign w:val="center"/>
          </w:tcPr>
          <w:p>
            <w:pPr>
              <w:pStyle w:val="TableContents"/>
              <w:spacing w:before="0" w:after="283"/>
              <w:rPr/>
            </w:pPr>
            <w:r>
              <w:rPr/>
              <w:t> </w:t>
            </w:r>
          </w:p>
        </w:tc>
        <w:tc>
          <w:tcPr>
            <w:tcW w:w="420" w:type="dxa"/>
            <w:gridSpan w:val="2"/>
            <w:tcBorders>
              <w:bottom w:val="single" w:sz="16" w:space="0" w:color="BFBFBF"/>
            </w:tcBorders>
            <w:shd w:fill="auto" w:val="clear"/>
            <w:tcMar>
              <w:bottom w:w="28" w:type="dxa"/>
            </w:tcMar>
            <w:vAlign w:val="center"/>
          </w:tcPr>
          <w:p>
            <w:pPr>
              <w:pStyle w:val="TableContents"/>
              <w:spacing w:before="0" w:after="283"/>
              <w:rPr/>
            </w:pPr>
            <w:r>
              <w:rPr/>
              <w:t>  </w:t>
            </w:r>
          </w:p>
        </w:tc>
        <w:tc>
          <w:tcPr>
            <w:tcW w:w="60" w:type="dxa"/>
            <w:tcBorders>
              <w:bottom w:val="single" w:sz="16" w:space="0" w:color="BFBFBF"/>
            </w:tcBorders>
            <w:shd w:fill="auto" w:val="clear"/>
            <w:tcMar>
              <w:bottom w:w="28" w:type="dxa"/>
            </w:tcMar>
            <w:vAlign w:val="center"/>
          </w:tcPr>
          <w:p>
            <w:pPr>
              <w:pStyle w:val="TableContents"/>
              <w:spacing w:before="0" w:after="283"/>
              <w:rPr/>
            </w:pPr>
            <w:r>
              <w:rPr/>
              <w:t> </w:t>
            </w:r>
          </w:p>
        </w:tc>
        <w:tc>
          <w:tcPr>
            <w:tcW w:w="60" w:type="dxa"/>
            <w:tcBorders>
              <w:bottom w:val="single" w:sz="16" w:space="0" w:color="BFBFBF"/>
            </w:tcBorders>
            <w:shd w:fill="auto" w:val="clear"/>
            <w:tcMar>
              <w:bottom w:w="28" w:type="dxa"/>
            </w:tcMar>
            <w:vAlign w:val="center"/>
          </w:tcPr>
          <w:p>
            <w:pPr>
              <w:pStyle w:val="TableContents"/>
              <w:spacing w:before="0" w:after="283"/>
              <w:rPr/>
            </w:pPr>
            <w:r>
              <w:rPr/>
              <w:t> </w:t>
            </w:r>
          </w:p>
        </w:tc>
        <w:tc>
          <w:tcPr>
            <w:tcW w:w="1790" w:type="dxa"/>
            <w:tcBorders>
              <w:bottom w:val="single" w:sz="16" w:space="0" w:color="BFBFBF"/>
            </w:tcBorders>
            <w:shd w:fill="auto" w:val="clear"/>
            <w:tcMar>
              <w:bottom w:w="28" w:type="dxa"/>
            </w:tcMar>
            <w:vAlign w:val="center"/>
          </w:tcPr>
          <w:p>
            <w:pPr>
              <w:pStyle w:val="TableContents"/>
              <w:spacing w:before="0" w:after="283"/>
              <w:rPr/>
            </w:pPr>
            <w:r>
              <w:rPr/>
              <w:t>  </w:t>
            </w:r>
          </w:p>
        </w:tc>
        <w:tc>
          <w:tcPr>
            <w:tcW w:w="60" w:type="dxa"/>
            <w:tcBorders>
              <w:bottom w:val="single" w:sz="16" w:space="0" w:color="BFBFBF"/>
            </w:tcBorders>
            <w:shd w:fill="auto" w:val="clear"/>
            <w:tcMar>
              <w:bottom w:w="28" w:type="dxa"/>
            </w:tcMar>
            <w:vAlign w:val="center"/>
          </w:tcPr>
          <w:p>
            <w:pPr>
              <w:pStyle w:val="TableContents"/>
              <w:spacing w:before="0" w:after="283"/>
              <w:rPr/>
            </w:pPr>
            <w:r>
              <w:rPr/>
              <w:t> </w:t>
            </w:r>
          </w:p>
        </w:tc>
        <w:tc>
          <w:tcPr>
            <w:tcW w:w="360" w:type="dxa"/>
            <w:tcBorders>
              <w:bottom w:val="single" w:sz="16" w:space="0" w:color="BFBFBF"/>
            </w:tcBorders>
            <w:shd w:fill="auto" w:val="clear"/>
            <w:tcMar>
              <w:bottom w:w="28" w:type="dxa"/>
            </w:tcMar>
            <w:vAlign w:val="center"/>
          </w:tcPr>
          <w:p>
            <w:pPr>
              <w:pStyle w:val="TableContents"/>
              <w:spacing w:before="0" w:after="283"/>
              <w:rPr/>
            </w:pPr>
            <w:r>
              <w:rPr/>
              <w:t>  </w:t>
            </w:r>
          </w:p>
        </w:tc>
        <w:tc>
          <w:tcPr>
            <w:tcW w:w="60" w:type="dxa"/>
            <w:tcBorders>
              <w:bottom w:val="single" w:sz="16" w:space="0" w:color="BFBFBF"/>
            </w:tcBorders>
            <w:shd w:fill="auto" w:val="clear"/>
            <w:tcMar>
              <w:bottom w:w="28" w:type="dxa"/>
            </w:tcMar>
            <w:vAlign w:val="center"/>
          </w:tcPr>
          <w:p>
            <w:pPr>
              <w:pStyle w:val="TableContents"/>
              <w:spacing w:before="0" w:after="283"/>
              <w:rPr/>
            </w:pPr>
            <w:r>
              <w:rPr/>
              <w:t> </w:t>
            </w:r>
          </w:p>
        </w:tc>
        <w:tc>
          <w:tcPr>
            <w:tcW w:w="1295" w:type="dxa"/>
            <w:tcBorders>
              <w:bottom w:val="single" w:sz="16" w:space="0" w:color="BFBFBF"/>
            </w:tcBorders>
            <w:shd w:fill="auto" w:val="clear"/>
            <w:tcMar>
              <w:bottom w:w="28" w:type="dxa"/>
            </w:tcMar>
            <w:vAlign w:val="center"/>
          </w:tcPr>
          <w:p>
            <w:pPr>
              <w:pStyle w:val="TableContents"/>
              <w:spacing w:before="0" w:after="283"/>
              <w:rPr/>
            </w:pPr>
            <w:r>
              <w:rPr/>
              <w:t>  </w:t>
            </w:r>
          </w:p>
        </w:tc>
      </w:tr>
    </w:tbl>
    <w:p>
      <w:pPr>
        <w:pStyle w:val="TextBody"/>
        <w:spacing w:before="240" w:after="0"/>
        <w:jc w:val="left"/>
        <w:rPr>
          <w:rFonts w:ascii="ARIAL" w:hAnsi="ARIAL"/>
          <w:b/>
          <w:sz w:val="20"/>
        </w:rPr>
      </w:pPr>
      <w:r>
        <w:rPr>
          <w:rFonts w:ascii="ARIAL" w:hAnsi="ARIAL"/>
          <w:b/>
          <w:sz w:val="20"/>
        </w:rPr>
        <w:t xml:space="preserve">ANNUAL MEETING BUSINESS </w:t>
      </w:r>
    </w:p>
    <w:p>
      <w:pPr>
        <w:pStyle w:val="TextBody"/>
        <w:spacing w:before="80" w:after="0"/>
        <w:jc w:val="left"/>
        <w:rPr>
          <w:rFonts w:ascii="ARIAL" w:hAnsi="ARIAL"/>
          <w:sz w:val="16"/>
        </w:rPr>
      </w:pPr>
      <w:r>
        <w:rPr>
          <w:rFonts w:ascii="ARIAL" w:hAnsi="ARIAL"/>
          <w:sz w:val="16"/>
        </w:rPr>
        <w:t xml:space="preserve">Roper’s annual meeting of shareholders will be held June 13, 2023 to: </w:t>
      </w:r>
    </w:p>
    <w:p>
      <w:pPr>
        <w:pStyle w:val="TextBody"/>
        <w:spacing w:before="0" w:after="0"/>
        <w:jc w:val="left"/>
        <w:rPr/>
      </w:pPr>
      <w:r>
        <w:rPr/>
        <w:t> </w:t>
      </w:r>
    </w:p>
    <w:tbl>
      <w:tblPr>
        <w:tblW w:w="6310" w:type="dxa"/>
        <w:jc w:val="left"/>
        <w:tblInd w:w="0" w:type="dxa"/>
        <w:tblCellMar>
          <w:top w:w="0" w:type="dxa"/>
          <w:left w:w="0" w:type="dxa"/>
          <w:bottom w:w="0" w:type="dxa"/>
          <w:right w:w="0" w:type="dxa"/>
        </w:tblCellMar>
      </w:tblPr>
      <w:tblGrid>
        <w:gridCol w:w="185"/>
        <w:gridCol w:w="60"/>
        <w:gridCol w:w="6065"/>
      </w:tblGrid>
      <w:tr>
        <w:trPr/>
        <w:tc>
          <w:tcPr>
            <w:tcW w:w="18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65" w:type="dxa"/>
            <w:tcBorders/>
            <w:shd w:fill="auto" w:val="clear"/>
            <w:vAlign w:val="center"/>
          </w:tcPr>
          <w:p>
            <w:pPr>
              <w:pStyle w:val="TableContents"/>
              <w:spacing w:before="0" w:after="0"/>
              <w:jc w:val="left"/>
              <w:rPr>
                <w:rFonts w:ascii="ARIAL" w:hAnsi="ARIAL"/>
                <w:sz w:val="16"/>
              </w:rPr>
            </w:pPr>
            <w:r>
              <w:rPr>
                <w:rFonts w:ascii="ARIAL" w:hAnsi="ARIAL"/>
                <w:sz w:val="16"/>
              </w:rPr>
              <w:t xml:space="preserve">elect as directors the nine nominees named in the accompanying proxy statement; </w:t>
            </w:r>
          </w:p>
        </w:tc>
      </w:tr>
    </w:tbl>
    <w:p>
      <w:pPr>
        <w:pStyle w:val="TextBody"/>
        <w:spacing w:before="0" w:after="0"/>
        <w:jc w:val="left"/>
        <w:rPr/>
      </w:pPr>
      <w:r>
        <w:rPr/>
        <w:t> </w:t>
      </w:r>
    </w:p>
    <w:tbl>
      <w:tblPr>
        <w:tblW w:w="6295" w:type="dxa"/>
        <w:jc w:val="left"/>
        <w:tblInd w:w="0" w:type="dxa"/>
        <w:tblCellMar>
          <w:top w:w="0" w:type="dxa"/>
          <w:left w:w="0" w:type="dxa"/>
          <w:bottom w:w="0" w:type="dxa"/>
          <w:right w:w="0" w:type="dxa"/>
        </w:tblCellMar>
      </w:tblPr>
      <w:tblGrid>
        <w:gridCol w:w="185"/>
        <w:gridCol w:w="60"/>
        <w:gridCol w:w="6050"/>
      </w:tblGrid>
      <w:tr>
        <w:trPr/>
        <w:tc>
          <w:tcPr>
            <w:tcW w:w="18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50" w:type="dxa"/>
            <w:tcBorders/>
            <w:shd w:fill="auto" w:val="clear"/>
            <w:vAlign w:val="center"/>
          </w:tcPr>
          <w:p>
            <w:pPr>
              <w:pStyle w:val="TableContents"/>
              <w:spacing w:before="0" w:after="0"/>
              <w:jc w:val="left"/>
              <w:rPr>
                <w:rFonts w:ascii="ARIAL" w:hAnsi="ARIAL"/>
                <w:sz w:val="16"/>
              </w:rPr>
            </w:pPr>
            <w:r>
              <w:rPr>
                <w:rFonts w:ascii="ARIAL" w:hAnsi="ARIAL"/>
                <w:sz w:val="16"/>
              </w:rPr>
              <w:t xml:space="preserve">approve, on an advisory basis, the compensation of our named executive officers; </w:t>
            </w:r>
          </w:p>
        </w:tc>
      </w:tr>
    </w:tbl>
    <w:p>
      <w:pPr>
        <w:pStyle w:val="TextBody"/>
        <w:spacing w:before="0" w:after="0"/>
        <w:jc w:val="left"/>
        <w:rPr/>
      </w:pPr>
      <w:r>
        <w:rPr/>
        <w:t> </w:t>
      </w:r>
    </w:p>
    <w:tbl>
      <w:tblPr>
        <w:tblW w:w="9130" w:type="dxa"/>
        <w:jc w:val="left"/>
        <w:tblInd w:w="0" w:type="dxa"/>
        <w:tblCellMar>
          <w:top w:w="0" w:type="dxa"/>
          <w:left w:w="0" w:type="dxa"/>
          <w:bottom w:w="0" w:type="dxa"/>
          <w:right w:w="0" w:type="dxa"/>
        </w:tblCellMar>
      </w:tblPr>
      <w:tblGrid>
        <w:gridCol w:w="185"/>
        <w:gridCol w:w="60"/>
        <w:gridCol w:w="8885"/>
      </w:tblGrid>
      <w:tr>
        <w:trPr/>
        <w:tc>
          <w:tcPr>
            <w:tcW w:w="18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85" w:type="dxa"/>
            <w:tcBorders/>
            <w:shd w:fill="auto" w:val="clear"/>
            <w:vAlign w:val="center"/>
          </w:tcPr>
          <w:p>
            <w:pPr>
              <w:pStyle w:val="TableContents"/>
              <w:spacing w:before="0" w:after="0"/>
              <w:jc w:val="left"/>
              <w:rPr>
                <w:rFonts w:ascii="ARIAL" w:hAnsi="ARIAL"/>
                <w:sz w:val="16"/>
              </w:rPr>
            </w:pPr>
            <w:r>
              <w:rPr>
                <w:rFonts w:ascii="ARIAL" w:hAnsi="ARIAL"/>
                <w:sz w:val="16"/>
              </w:rPr>
              <w:t xml:space="preserve">select, on an advisory basis, the frequency of the shareholder vote on the compensation of our named executive officers; </w:t>
            </w:r>
          </w:p>
        </w:tc>
      </w:tr>
    </w:tbl>
    <w:p>
      <w:pPr>
        <w:pStyle w:val="TextBody"/>
        <w:spacing w:before="0" w:after="0"/>
        <w:jc w:val="left"/>
        <w:rPr/>
      </w:pPr>
      <w:r>
        <w:rPr/>
        <w:t> </w:t>
      </w:r>
    </w:p>
    <w:tbl>
      <w:tblPr>
        <w:tblW w:w="9655" w:type="dxa"/>
        <w:jc w:val="left"/>
        <w:tblInd w:w="0" w:type="dxa"/>
        <w:tblCellMar>
          <w:top w:w="0" w:type="dxa"/>
          <w:left w:w="0" w:type="dxa"/>
          <w:bottom w:w="0" w:type="dxa"/>
          <w:right w:w="0" w:type="dxa"/>
        </w:tblCellMar>
      </w:tblPr>
      <w:tblGrid>
        <w:gridCol w:w="185"/>
        <w:gridCol w:w="60"/>
        <w:gridCol w:w="9410"/>
      </w:tblGrid>
      <w:tr>
        <w:trPr/>
        <w:tc>
          <w:tcPr>
            <w:tcW w:w="18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0"/>
              <w:jc w:val="left"/>
              <w:rPr>
                <w:rFonts w:ascii="ARIAL" w:hAnsi="ARIAL"/>
                <w:sz w:val="16"/>
              </w:rPr>
            </w:pPr>
            <w:r>
              <w:rPr>
                <w:rFonts w:ascii="ARIAL" w:hAnsi="ARIAL"/>
                <w:sz w:val="16"/>
              </w:rPr>
              <w:t xml:space="preserve">ratify the appointment of PricewaterhouseCoopers LLP as the company’s independent registered public accounting firm for 2023; </w:t>
            </w:r>
          </w:p>
        </w:tc>
      </w:tr>
    </w:tbl>
    <w:p>
      <w:pPr>
        <w:pStyle w:val="TextBody"/>
        <w:spacing w:before="0" w:after="0"/>
        <w:jc w:val="left"/>
        <w:rPr/>
      </w:pPr>
      <w:r>
        <w:rPr/>
        <w:t> </w:t>
      </w:r>
    </w:p>
    <w:tbl>
      <w:tblPr>
        <w:tblW w:w="9535" w:type="dxa"/>
        <w:jc w:val="left"/>
        <w:tblInd w:w="0" w:type="dxa"/>
        <w:tblCellMar>
          <w:top w:w="0" w:type="dxa"/>
          <w:left w:w="0" w:type="dxa"/>
          <w:bottom w:w="0" w:type="dxa"/>
          <w:right w:w="0" w:type="dxa"/>
        </w:tblCellMar>
      </w:tblPr>
      <w:tblGrid>
        <w:gridCol w:w="185"/>
        <w:gridCol w:w="60"/>
        <w:gridCol w:w="9290"/>
      </w:tblGrid>
      <w:tr>
        <w:trPr/>
        <w:tc>
          <w:tcPr>
            <w:tcW w:w="18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90" w:type="dxa"/>
            <w:tcBorders/>
            <w:shd w:fill="auto" w:val="clear"/>
            <w:vAlign w:val="center"/>
          </w:tcPr>
          <w:p>
            <w:pPr>
              <w:pStyle w:val="TableContents"/>
              <w:spacing w:before="0" w:after="0"/>
              <w:jc w:val="left"/>
              <w:rPr>
                <w:rFonts w:ascii="ARIAL" w:hAnsi="ARIAL"/>
                <w:sz w:val="16"/>
              </w:rPr>
            </w:pPr>
            <w:r>
              <w:rPr>
                <w:rFonts w:ascii="ARIAL" w:hAnsi="ARIAL"/>
                <w:sz w:val="16"/>
              </w:rPr>
              <w:t xml:space="preserve">approve an amendment to and restatement of our Restated Certificate of Incorporation to permit the exculpation of officers; and </w:t>
            </w:r>
          </w:p>
        </w:tc>
      </w:tr>
    </w:tbl>
    <w:p>
      <w:pPr>
        <w:pStyle w:val="TextBody"/>
        <w:spacing w:before="0" w:after="0"/>
        <w:jc w:val="left"/>
        <w:rPr/>
      </w:pPr>
      <w:r>
        <w:rPr/>
        <w:t> </w:t>
      </w:r>
    </w:p>
    <w:tbl>
      <w:tblPr>
        <w:tblW w:w="6475" w:type="dxa"/>
        <w:jc w:val="left"/>
        <w:tblInd w:w="0" w:type="dxa"/>
        <w:tblCellMar>
          <w:top w:w="0" w:type="dxa"/>
          <w:left w:w="0" w:type="dxa"/>
          <w:bottom w:w="0" w:type="dxa"/>
          <w:right w:w="0" w:type="dxa"/>
        </w:tblCellMar>
      </w:tblPr>
      <w:tblGrid>
        <w:gridCol w:w="185"/>
        <w:gridCol w:w="60"/>
        <w:gridCol w:w="6230"/>
      </w:tblGrid>
      <w:tr>
        <w:trPr/>
        <w:tc>
          <w:tcPr>
            <w:tcW w:w="18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30" w:type="dxa"/>
            <w:tcBorders/>
            <w:shd w:fill="auto" w:val="clear"/>
            <w:vAlign w:val="center"/>
          </w:tcPr>
          <w:p>
            <w:pPr>
              <w:pStyle w:val="TableContents"/>
              <w:spacing w:before="0" w:after="0"/>
              <w:jc w:val="left"/>
              <w:rPr>
                <w:rFonts w:ascii="ARIAL" w:hAnsi="ARIAL"/>
                <w:sz w:val="16"/>
              </w:rPr>
            </w:pPr>
            <w:r>
              <w:rPr>
                <w:rFonts w:ascii="ARIAL" w:hAnsi="ARIAL"/>
                <w:sz w:val="16"/>
              </w:rPr>
              <w:t xml:space="preserve">transact any other business that may be properly brought before the annual meeting. </w:t>
            </w:r>
          </w:p>
        </w:tc>
      </w:tr>
    </w:tbl>
    <w:p>
      <w:pPr>
        <w:pStyle w:val="TextBody"/>
        <w:spacing w:before="360" w:after="0"/>
        <w:jc w:val="left"/>
        <w:rPr>
          <w:rFonts w:ascii="ARIAL" w:hAnsi="ARIAL"/>
          <w:b/>
          <w:sz w:val="20"/>
        </w:rPr>
      </w:pPr>
      <w:r>
        <w:rPr>
          <w:rFonts w:ascii="ARIAL" w:hAnsi="ARIAL"/>
          <w:b/>
          <w:sz w:val="20"/>
        </w:rPr>
        <w:t xml:space="preserve">PROXY MATERIALS </w:t>
      </w:r>
    </w:p>
    <w:p>
      <w:pPr>
        <w:pStyle w:val="TextBody"/>
        <w:spacing w:before="80" w:after="0"/>
        <w:jc w:val="left"/>
        <w:rPr>
          <w:rFonts w:ascii="ARIAL" w:hAnsi="ARIAL"/>
          <w:sz w:val="16"/>
        </w:rPr>
      </w:pPr>
      <w:r>
        <w:rPr>
          <w:rFonts w:ascii="ARIAL" w:hAnsi="ARIAL"/>
          <w:sz w:val="16"/>
        </w:rPr>
        <w:t xml:space="preserve">On or about April 28, 2023, we began distributing to each shareholder entitled to vote at the annual meeting either: (i) a Meeting Notice; or (ii) this proxy statement, a proxy card and our 2022 Annual Report to Shareholders and Form 10-K. The Meeting Notice contains instructions to electronically access our proxy statement and our 2022 Annual Report to Shareholders and Form 10-K, how to vote via the internet or by mail and how to receive a paper copy of our proxy materials by mail, if desired.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654"/>
        <w:gridCol w:w="236"/>
        <w:gridCol w:w="2016"/>
        <w:gridCol w:w="236"/>
        <w:gridCol w:w="4063"/>
      </w:tblGrid>
      <w:tr>
        <w:trPr/>
        <w:tc>
          <w:tcPr>
            <w:tcW w:w="365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01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063"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vAlign w:val="center"/>
          </w:tcPr>
          <w:p>
            <w:pPr>
              <w:pStyle w:val="TableContents"/>
              <w:spacing w:before="0" w:after="0"/>
              <w:rPr/>
            </w:pPr>
            <w:r>
              <w:rPr/>
              <w:t> </w:t>
            </w:r>
          </w:p>
          <w:p>
            <w:pPr>
              <w:pStyle w:val="TableContents"/>
              <w:spacing w:before="0" w:after="0"/>
              <w:rPr>
                <w:rFonts w:ascii="ARIAL" w:hAnsi="ARIAL"/>
                <w:b/>
                <w:color w:val="005CB9"/>
                <w:sz w:val="20"/>
              </w:rPr>
            </w:pPr>
            <w:r>
              <w:rPr>
                <w:rFonts w:ascii="ARIAL" w:hAnsi="ARIAL"/>
                <w:b/>
                <w:color w:val="005CB9"/>
                <w:sz w:val="20"/>
              </w:rPr>
              <w:t>VOTING AT THE ANNUAL MEETING</w:t>
            </w:r>
          </w:p>
          <w:p>
            <w:pPr>
              <w:pStyle w:val="TableContents"/>
              <w:spacing w:before="0" w:after="0"/>
              <w:rPr/>
            </w:pPr>
            <w:r>
              <w:rPr/>
              <w:t> </w:t>
            </w:r>
          </w:p>
          <w:p>
            <w:pPr>
              <w:pStyle w:val="TableContents"/>
              <w:spacing w:before="0" w:after="0"/>
              <w:rPr>
                <w:rFonts w:ascii="ARIAL" w:hAnsi="ARIAL"/>
                <w:sz w:val="16"/>
              </w:rPr>
            </w:pPr>
            <w:r>
              <w:rPr>
                <w:rFonts w:ascii="ARIAL" w:hAnsi="ARIAL"/>
                <w:b/>
                <w:sz w:val="16"/>
              </w:rPr>
              <w:t>Your vote is important.</w:t>
            </w:r>
            <w:r>
              <w:rPr>
                <w:rFonts w:ascii="ARIAL" w:hAnsi="ARIAL"/>
                <w:sz w:val="16"/>
              </w:rPr>
              <w:t xml:space="preserve"> Shareholders who are owners of record of Roper common shares at the close of business on April 19, 2023, the record date, or their legal proxy holders, are entitled to vote at the annual meeting. Whether or not you expect to attend the annual meeting, we urge you to vote as soon as possible by one of these methods:</w:t>
            </w:r>
          </w:p>
          <w:p>
            <w:pPr>
              <w:pStyle w:val="TableContents"/>
              <w:spacing w:before="0" w:after="20"/>
              <w:rPr/>
            </w:pPr>
            <w:r>
              <w:rPr/>
              <w:t> </w:t>
            </w:r>
          </w:p>
        </w:tc>
      </w:tr>
      <w:tr>
        <w:trPr/>
        <w:tc>
          <w:tcPr>
            <w:tcW w:w="3654" w:type="dxa"/>
            <w:tcBorders/>
            <w:shd w:fill="auto" w:val="clear"/>
            <w:vAlign w:val="center"/>
          </w:tcPr>
          <w:p>
            <w:pPr>
              <w:pStyle w:val="TableContents"/>
              <w:spacing w:before="0" w:after="283"/>
              <w:rPr>
                <w:sz w:val="4"/>
                <w:szCs w:val="4"/>
              </w:rPr>
            </w:pPr>
            <w:r>
              <w:rPr>
                <w:sz w:val="4"/>
                <w:szCs w:val="4"/>
              </w:rPr>
            </w:r>
          </w:p>
        </w:tc>
        <w:tc>
          <w:tcPr>
            <w:tcW w:w="2252" w:type="dxa"/>
            <w:gridSpan w:val="2"/>
            <w:tcBorders/>
            <w:shd w:fill="auto" w:val="clear"/>
            <w:vAlign w:val="center"/>
          </w:tcPr>
          <w:p>
            <w:pPr>
              <w:pStyle w:val="TableContents"/>
              <w:spacing w:before="0" w:after="283"/>
              <w:rPr>
                <w:sz w:val="4"/>
                <w:szCs w:val="4"/>
              </w:rPr>
            </w:pPr>
            <w:r>
              <w:rPr>
                <w:sz w:val="4"/>
                <w:szCs w:val="4"/>
              </w:rPr>
            </w:r>
          </w:p>
        </w:tc>
        <w:tc>
          <w:tcPr>
            <w:tcW w:w="4299" w:type="dxa"/>
            <w:gridSpan w:val="2"/>
            <w:tcBorders/>
            <w:shd w:fill="auto" w:val="clear"/>
            <w:vAlign w:val="center"/>
          </w:tcPr>
          <w:p>
            <w:pPr>
              <w:pStyle w:val="TableContents"/>
              <w:spacing w:before="0" w:after="283"/>
              <w:rPr>
                <w:sz w:val="4"/>
                <w:szCs w:val="4"/>
              </w:rPr>
            </w:pPr>
            <w:r>
              <w:rPr>
                <w:sz w:val="4"/>
                <w:szCs w:val="4"/>
              </w:rPr>
            </w:r>
          </w:p>
        </w:tc>
      </w:tr>
      <w:tr>
        <w:trPr/>
        <w:tc>
          <w:tcPr>
            <w:tcW w:w="3654" w:type="dxa"/>
            <w:tcBorders/>
            <w:shd w:fill="auto" w:val="clear"/>
            <w:vAlign w:val="center"/>
          </w:tcPr>
          <w:p>
            <w:pPr>
              <w:pStyle w:val="TableContents"/>
              <w:spacing w:before="0" w:after="283"/>
              <w:jc w:val="center"/>
              <w:rPr/>
            </w:pPr>
            <w:r>
              <w:rPr/>
              <w:drawing>
                <wp:inline distT="0" distB="0" distL="0" distR="0">
                  <wp:extent cx="36830" cy="3937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830" cy="39370"/>
                          </a:xfrm>
                          <a:prstGeom prst="rect">
                            <a:avLst/>
                          </a:prstGeom>
                        </pic:spPr>
                      </pic:pic>
                    </a:graphicData>
                  </a:graphic>
                </wp:inline>
              </w:drawing>
            </w:r>
            <w:r>
              <w:rPr/>
              <w:t xml:space="preserve"> </w:t>
            </w:r>
          </w:p>
        </w:tc>
        <w:tc>
          <w:tcPr>
            <w:tcW w:w="236" w:type="dxa"/>
            <w:tcBorders/>
            <w:shd w:fill="auto" w:val="clear"/>
            <w:vAlign w:val="center"/>
          </w:tcPr>
          <w:p>
            <w:pPr>
              <w:pStyle w:val="TableContents"/>
              <w:spacing w:before="0" w:after="283"/>
              <w:rPr/>
            </w:pPr>
            <w:r>
              <w:rPr/>
              <w:t>  </w:t>
            </w:r>
          </w:p>
        </w:tc>
        <w:tc>
          <w:tcPr>
            <w:tcW w:w="2016" w:type="dxa"/>
            <w:tcBorders/>
            <w:shd w:fill="auto" w:val="clear"/>
            <w:vAlign w:val="center"/>
          </w:tcPr>
          <w:p>
            <w:pPr>
              <w:pStyle w:val="TableContents"/>
              <w:spacing w:before="0" w:after="283"/>
              <w:jc w:val="center"/>
              <w:rPr/>
            </w:pPr>
            <w:r>
              <w:rPr/>
              <w:drawing>
                <wp:inline distT="0" distB="0" distL="0" distR="0">
                  <wp:extent cx="22225" cy="412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2225" cy="41275"/>
                          </a:xfrm>
                          <a:prstGeom prst="rect">
                            <a:avLst/>
                          </a:prstGeom>
                        </pic:spPr>
                      </pic:pic>
                    </a:graphicData>
                  </a:graphic>
                </wp:inline>
              </w:drawing>
            </w:r>
            <w:r>
              <w:rPr/>
              <w:t xml:space="preserve"> </w:t>
            </w:r>
          </w:p>
        </w:tc>
        <w:tc>
          <w:tcPr>
            <w:tcW w:w="236" w:type="dxa"/>
            <w:tcBorders/>
            <w:shd w:fill="auto" w:val="clear"/>
            <w:vAlign w:val="center"/>
          </w:tcPr>
          <w:p>
            <w:pPr>
              <w:pStyle w:val="TableContents"/>
              <w:spacing w:before="0" w:after="283"/>
              <w:rPr/>
            </w:pPr>
            <w:r>
              <w:rPr/>
              <w:t>  </w:t>
            </w:r>
          </w:p>
        </w:tc>
        <w:tc>
          <w:tcPr>
            <w:tcW w:w="4063" w:type="dxa"/>
            <w:tcBorders/>
            <w:shd w:fill="auto" w:val="clear"/>
            <w:vAlign w:val="center"/>
          </w:tcPr>
          <w:p>
            <w:pPr>
              <w:pStyle w:val="TableContents"/>
              <w:spacing w:before="0" w:after="283"/>
              <w:jc w:val="center"/>
              <w:rPr/>
            </w:pPr>
            <w:r>
              <w:rPr/>
              <w:drawing>
                <wp:inline distT="0" distB="0" distL="0" distR="0">
                  <wp:extent cx="57150" cy="4381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150" cy="43815"/>
                          </a:xfrm>
                          <a:prstGeom prst="rect">
                            <a:avLst/>
                          </a:prstGeom>
                        </pic:spPr>
                      </pic:pic>
                    </a:graphicData>
                  </a:graphic>
                </wp:inline>
              </w:drawing>
            </w:r>
            <w:r>
              <w:rPr/>
              <w:t xml:space="preserve"> </w:t>
            </w:r>
          </w:p>
        </w:tc>
      </w:tr>
      <w:tr>
        <w:trPr/>
        <w:tc>
          <w:tcPr>
            <w:tcW w:w="3654" w:type="dxa"/>
            <w:tcBorders>
              <w:right w:val="single" w:sz="8" w:space="0" w:color="BFBFBF"/>
            </w:tcBorders>
            <w:shd w:fill="auto" w:val="clear"/>
            <w:tcMar>
              <w:right w:w="28" w:type="dxa"/>
            </w:tcMar>
            <w:vAlign w:val="center"/>
          </w:tcPr>
          <w:p>
            <w:pPr>
              <w:pStyle w:val="TableContents"/>
              <w:spacing w:before="0" w:after="0"/>
              <w:rPr/>
            </w:pPr>
            <w:r>
              <w:rPr/>
              <w:t> </w:t>
            </w:r>
          </w:p>
          <w:p>
            <w:pPr>
              <w:pStyle w:val="TableContents"/>
              <w:spacing w:before="0" w:after="0"/>
              <w:jc w:val="center"/>
              <w:rPr>
                <w:rFonts w:ascii="ARIAL" w:hAnsi="ARIAL"/>
                <w:b/>
                <w:sz w:val="16"/>
              </w:rPr>
            </w:pPr>
            <w:r>
              <w:rPr>
                <w:rFonts w:ascii="ARIAL" w:hAnsi="ARIAL"/>
                <w:b/>
                <w:sz w:val="16"/>
              </w:rPr>
              <w:t>Via the Internet:</w:t>
            </w:r>
          </w:p>
          <w:p>
            <w:pPr>
              <w:pStyle w:val="TableContents"/>
              <w:spacing w:before="0" w:after="20"/>
              <w:jc w:val="center"/>
              <w:rPr>
                <w:rFonts w:ascii="ARIAL" w:hAnsi="ARIAL"/>
                <w:sz w:val="16"/>
              </w:rPr>
            </w:pPr>
            <w:r>
              <w:rPr>
                <w:rFonts w:ascii="ARIAL" w:hAnsi="ARIAL"/>
                <w:sz w:val="16"/>
              </w:rPr>
              <w:t>www.proxypush.com/ROP</w:t>
            </w:r>
          </w:p>
        </w:tc>
        <w:tc>
          <w:tcPr>
            <w:tcW w:w="236" w:type="dxa"/>
            <w:tcBorders/>
            <w:shd w:fill="auto" w:val="clear"/>
            <w:vAlign w:val="center"/>
          </w:tcPr>
          <w:p>
            <w:pPr>
              <w:pStyle w:val="TableContents"/>
              <w:spacing w:before="0" w:after="283"/>
              <w:rPr/>
            </w:pPr>
            <w:r>
              <w:rPr/>
              <w:t>  </w:t>
            </w:r>
          </w:p>
        </w:tc>
        <w:tc>
          <w:tcPr>
            <w:tcW w:w="2016" w:type="dxa"/>
            <w:tcBorders>
              <w:right w:val="single" w:sz="8" w:space="0" w:color="BFBFBF"/>
            </w:tcBorders>
            <w:shd w:fill="auto" w:val="clear"/>
            <w:tcMar>
              <w:right w:w="28" w:type="dxa"/>
            </w:tcMar>
            <w:vAlign w:val="center"/>
          </w:tcPr>
          <w:p>
            <w:pPr>
              <w:pStyle w:val="TableContents"/>
              <w:spacing w:before="0" w:after="0"/>
              <w:rPr/>
            </w:pPr>
            <w:r>
              <w:rPr/>
              <w:t> </w:t>
            </w:r>
          </w:p>
          <w:p>
            <w:pPr>
              <w:pStyle w:val="TableContents"/>
              <w:spacing w:before="0" w:after="0"/>
              <w:jc w:val="center"/>
              <w:rPr>
                <w:rFonts w:ascii="ARIAL" w:hAnsi="ARIAL"/>
                <w:b/>
                <w:sz w:val="16"/>
              </w:rPr>
            </w:pPr>
            <w:r>
              <w:rPr>
                <w:rFonts w:ascii="ARIAL" w:hAnsi="ARIAL"/>
                <w:b/>
                <w:sz w:val="16"/>
              </w:rPr>
              <w:t>Call Toll-Free:</w:t>
            </w:r>
          </w:p>
          <w:p>
            <w:pPr>
              <w:pStyle w:val="TableContents"/>
              <w:spacing w:before="0" w:after="0"/>
              <w:jc w:val="center"/>
              <w:rPr>
                <w:rFonts w:ascii="ARIAL" w:hAnsi="ARIAL"/>
                <w:sz w:val="16"/>
              </w:rPr>
            </w:pPr>
            <w:r>
              <w:rPr>
                <w:rFonts w:ascii="ARIAL" w:hAnsi="ARIAL"/>
                <w:sz w:val="16"/>
              </w:rPr>
              <w:t>1-866-829-5176</w:t>
            </w:r>
          </w:p>
          <w:p>
            <w:pPr>
              <w:pStyle w:val="TableContents"/>
              <w:spacing w:before="0" w:after="20"/>
              <w:jc w:val="left"/>
              <w:rPr/>
            </w:pPr>
            <w:r>
              <w:rPr/>
              <w:t> </w:t>
            </w:r>
          </w:p>
        </w:tc>
        <w:tc>
          <w:tcPr>
            <w:tcW w:w="236" w:type="dxa"/>
            <w:tcBorders/>
            <w:shd w:fill="auto" w:val="clear"/>
            <w:vAlign w:val="center"/>
          </w:tcPr>
          <w:p>
            <w:pPr>
              <w:pStyle w:val="TableContents"/>
              <w:spacing w:before="0" w:after="283"/>
              <w:rPr/>
            </w:pPr>
            <w:r>
              <w:rPr/>
              <w:t>  </w:t>
            </w:r>
          </w:p>
        </w:tc>
        <w:tc>
          <w:tcPr>
            <w:tcW w:w="4063" w:type="dxa"/>
            <w:tcBorders/>
            <w:shd w:fill="auto" w:val="clear"/>
            <w:vAlign w:val="center"/>
          </w:tcPr>
          <w:p>
            <w:pPr>
              <w:pStyle w:val="TableContents"/>
              <w:spacing w:before="0" w:after="0"/>
              <w:rPr/>
            </w:pPr>
            <w:r>
              <w:rPr/>
              <w:t> </w:t>
            </w:r>
          </w:p>
          <w:p>
            <w:pPr>
              <w:pStyle w:val="TableContents"/>
              <w:spacing w:before="0" w:after="0"/>
              <w:jc w:val="center"/>
              <w:rPr>
                <w:rFonts w:ascii="ARIAL" w:hAnsi="ARIAL"/>
                <w:b/>
                <w:sz w:val="16"/>
              </w:rPr>
            </w:pPr>
            <w:r>
              <w:rPr>
                <w:rFonts w:ascii="ARIAL" w:hAnsi="ARIAL"/>
                <w:b/>
                <w:sz w:val="16"/>
              </w:rPr>
              <w:t>Mail Signed Proxy Card:</w:t>
            </w:r>
          </w:p>
          <w:p>
            <w:pPr>
              <w:pStyle w:val="TableContents"/>
              <w:spacing w:before="0" w:after="0"/>
              <w:jc w:val="center"/>
              <w:rPr>
                <w:rFonts w:ascii="ARIAL" w:hAnsi="ARIAL"/>
                <w:sz w:val="16"/>
              </w:rPr>
            </w:pPr>
            <w:r>
              <w:rPr>
                <w:rFonts w:ascii="ARIAL" w:hAnsi="ARIAL"/>
                <w:sz w:val="16"/>
              </w:rPr>
              <w:t>Follow the instructions on your proxy</w:t>
            </w:r>
          </w:p>
          <w:p>
            <w:pPr>
              <w:pStyle w:val="TableContents"/>
              <w:spacing w:before="0" w:after="20"/>
              <w:jc w:val="center"/>
              <w:rPr>
                <w:rFonts w:ascii="ARIAL" w:hAnsi="ARIAL"/>
                <w:sz w:val="16"/>
              </w:rPr>
            </w:pPr>
            <w:r>
              <w:rPr>
                <w:rFonts w:ascii="ARIAL" w:hAnsi="ARIAL"/>
                <w:sz w:val="16"/>
              </w:rPr>
              <w:t>card or voting instruction form</w:t>
            </w:r>
          </w:p>
        </w:tc>
      </w:tr>
      <w:tr>
        <w:trPr/>
        <w:tc>
          <w:tcPr>
            <w:tcW w:w="10205" w:type="dxa"/>
            <w:gridSpan w:val="5"/>
            <w:tcBorders/>
            <w:shd w:fill="auto" w:val="cle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 xml:space="preserve">If you are a beneficial owner of shares held through a broker, bank or other holder of record, you must follow the voting instructions you receive from the holder of record to vote your shares. Shareholders may also vote at the annual meeting. For more information on how to vote your shares, please refer to </w:t>
            </w:r>
            <w:r>
              <w:rPr>
                <w:rFonts w:ascii="ARIAL" w:hAnsi="ARIAL"/>
                <w:i/>
                <w:sz w:val="16"/>
              </w:rPr>
              <w:t xml:space="preserve">Annual Meeting and Voting Information </w:t>
            </w:r>
            <w:r>
              <w:rPr>
                <w:rFonts w:ascii="ARIAL" w:hAnsi="ARIAL"/>
                <w:sz w:val="16"/>
              </w:rPr>
              <w:t>on page 58.</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104140" cy="7366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140" cy="73660"/>
                    </a:xfrm>
                    <a:prstGeom prst="rect">
                      <a:avLst/>
                    </a:prstGeom>
                  </pic:spPr>
                </pic:pic>
              </a:graphicData>
            </a:graphic>
          </wp:inline>
        </w:drawing>
      </w:r>
      <w:r>
        <w:rPr/>
        <w:t xml:space="preserve"> </w:t>
      </w:r>
    </w:p>
    <w:p>
      <w:pPr>
        <w:pStyle w:val="TextBody"/>
        <w:spacing w:before="0" w:after="0"/>
        <w:jc w:val="left"/>
        <w:rPr>
          <w:rFonts w:ascii="ARIAL" w:hAnsi="ARIAL"/>
          <w:sz w:val="19"/>
        </w:rPr>
      </w:pPr>
      <w:r>
        <w:rPr>
          <w:rFonts w:ascii="ARIAL" w:hAnsi="ARIAL"/>
          <w:sz w:val="19"/>
        </w:rPr>
        <w:t xml:space="preserve">John K. Stipancich </w:t>
      </w:r>
    </w:p>
    <w:p>
      <w:pPr>
        <w:pStyle w:val="TextBody"/>
        <w:spacing w:before="0" w:after="0"/>
        <w:jc w:val="left"/>
        <w:rPr>
          <w:rFonts w:ascii="ARIAL" w:hAnsi="ARIAL"/>
          <w:sz w:val="19"/>
        </w:rPr>
      </w:pPr>
      <w:r>
        <w:rPr>
          <w:rFonts w:ascii="ARIAL" w:hAnsi="ARIAL"/>
          <w:sz w:val="19"/>
        </w:rPr>
        <w:t xml:space="preserve">Executive Vice President, General Counsel and Corporate Secretary </w:t>
      </w:r>
    </w:p>
    <w:p>
      <w:pPr>
        <w:pStyle w:val="TextBody"/>
        <w:spacing w:before="0" w:after="0"/>
        <w:jc w:val="left"/>
        <w:rPr/>
      </w:pPr>
      <w:r>
        <w:rPr/>
        <w:t> </w:t>
      </w:r>
    </w:p>
    <w:tbl>
      <w:tblPr>
        <w:tblW w:w="6451" w:type="dxa"/>
        <w:jc w:val="left"/>
        <w:tblInd w:w="0" w:type="dxa"/>
        <w:tblCellMar>
          <w:top w:w="0" w:type="dxa"/>
          <w:left w:w="0" w:type="dxa"/>
          <w:bottom w:w="0" w:type="dxa"/>
          <w:right w:w="0" w:type="dxa"/>
        </w:tblCellMar>
      </w:tblPr>
      <w:tblGrid>
        <w:gridCol w:w="1689"/>
        <w:gridCol w:w="1021"/>
        <w:gridCol w:w="1021"/>
        <w:gridCol w:w="1021"/>
        <w:gridCol w:w="1699"/>
      </w:tblGrid>
      <w:tr>
        <w:trPr/>
        <w:tc>
          <w:tcPr>
            <w:tcW w:w="168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699" w:type="dxa"/>
            <w:tcBorders/>
            <w:shd w:fill="auto" w:val="clear"/>
            <w:vAlign w:val="center"/>
          </w:tcPr>
          <w:p>
            <w:pPr>
              <w:pStyle w:val="TableContents"/>
              <w:spacing w:before="0" w:after="283"/>
              <w:rPr>
                <w:sz w:val="4"/>
                <w:szCs w:val="4"/>
              </w:rPr>
            </w:pPr>
            <w:r>
              <w:rPr>
                <w:sz w:val="4"/>
                <w:szCs w:val="4"/>
              </w:rPr>
            </w:r>
          </w:p>
        </w:tc>
      </w:tr>
      <w:tr>
        <w:trPr/>
        <w:tc>
          <w:tcPr>
            <w:tcW w:w="6451" w:type="dxa"/>
            <w:gridSpan w:val="5"/>
            <w:tcBorders/>
            <w:shd w:fill="005CB9" w:val="clear"/>
            <w:vAlign w:val="center"/>
          </w:tcPr>
          <w:p>
            <w:pPr>
              <w:pStyle w:val="TableContents"/>
              <w:spacing w:before="0" w:after="283"/>
              <w:rPr>
                <w:sz w:val="4"/>
                <w:szCs w:val="4"/>
              </w:rPr>
            </w:pPr>
            <w:r>
              <w:rPr>
                <w:sz w:val="4"/>
                <w:szCs w:val="4"/>
              </w:rPr>
            </w:r>
          </w:p>
        </w:tc>
      </w:tr>
      <w:tr>
        <w:trPr/>
        <w:tc>
          <w:tcPr>
            <w:tcW w:w="6451" w:type="dxa"/>
            <w:gridSpan w:val="5"/>
            <w:tcBorders/>
            <w:shd w:fill="005CB9" w:val="clear"/>
            <w:vAlign w:val="center"/>
          </w:tcPr>
          <w:p>
            <w:pPr>
              <w:pStyle w:val="TableContents"/>
              <w:spacing w:before="0" w:after="0"/>
              <w:jc w:val="center"/>
              <w:rPr>
                <w:rFonts w:ascii="ARIAL" w:hAnsi="ARIAL"/>
                <w:b/>
                <w:color w:val="FFFFFF"/>
                <w:sz w:val="20"/>
              </w:rPr>
            </w:pPr>
            <w:r>
              <w:rPr>
                <w:rFonts w:ascii="ARIAL" w:hAnsi="ARIAL"/>
                <w:b/>
                <w:color w:val="FFFFFF"/>
                <w:sz w:val="20"/>
              </w:rPr>
              <w:t>Important Notice Regarding the Availability of Proxy Materials for the</w:t>
            </w:r>
          </w:p>
          <w:p>
            <w:pPr>
              <w:pStyle w:val="TableContents"/>
              <w:spacing w:before="0" w:after="0"/>
              <w:jc w:val="center"/>
              <w:rPr>
                <w:rFonts w:ascii="ARIAL" w:hAnsi="ARIAL"/>
                <w:b/>
                <w:color w:val="FFFFFF"/>
                <w:sz w:val="20"/>
              </w:rPr>
            </w:pPr>
            <w:r>
              <w:rPr>
                <w:rFonts w:ascii="ARIAL" w:hAnsi="ARIAL"/>
                <w:b/>
                <w:color w:val="FFFFFF"/>
                <w:sz w:val="20"/>
              </w:rPr>
              <w:t>Annual Meeting of Shareholders to be Held on June 13, 2023</w:t>
            </w:r>
          </w:p>
          <w:p>
            <w:pPr>
              <w:pStyle w:val="TableContents"/>
              <w:spacing w:before="0" w:after="20"/>
              <w:jc w:val="left"/>
              <w:rPr/>
            </w:pPr>
            <w:r>
              <w:rPr/>
              <w:t> </w:t>
            </w:r>
          </w:p>
        </w:tc>
      </w:tr>
    </w:tbl>
    <w:p>
      <w:pPr>
        <w:pStyle w:val="TextBody"/>
        <w:spacing w:before="160" w:after="0"/>
        <w:jc w:val="center"/>
        <w:rPr>
          <w:rFonts w:ascii="ARIAL" w:hAnsi="ARIAL"/>
          <w:sz w:val="20"/>
        </w:rPr>
      </w:pPr>
      <w:r>
        <w:rPr>
          <w:rFonts w:ascii="ARIAL" w:hAnsi="ARIAL"/>
          <w:sz w:val="20"/>
        </w:rPr>
        <w:t xml:space="preserve">This Notice of the Annual Meeting of Shareholders, our Proxy Statement and our Annual Report to </w:t>
      </w:r>
    </w:p>
    <w:p>
      <w:pPr>
        <w:pStyle w:val="TextBody"/>
        <w:spacing w:before="0" w:after="0"/>
        <w:jc w:val="center"/>
        <w:rPr>
          <w:rFonts w:ascii="ARIAL" w:hAnsi="ARIAL"/>
          <w:sz w:val="20"/>
        </w:rPr>
      </w:pPr>
      <w:r>
        <w:rPr>
          <w:rFonts w:ascii="ARIAL" w:hAnsi="ARIAL"/>
          <w:sz w:val="20"/>
        </w:rPr>
        <w:t xml:space="preserve">Shareholders and Form 10-K are available free of charge at </w:t>
      </w:r>
      <w:r>
        <w:rPr>
          <w:rFonts w:ascii="ARIAL" w:hAnsi="ARIAL"/>
          <w:b/>
          <w:color w:val="005CB9"/>
          <w:sz w:val="20"/>
        </w:rPr>
        <w:t>www.proxydocs.com/ROP</w:t>
      </w:r>
      <w:r>
        <w:rPr>
          <w:rFonts w:ascii="ARIAL" w:hAnsi="ARIAL"/>
          <w:sz w:val="20"/>
        </w:rPr>
        <w:t xml:space="preserve">.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bottom w:val="single" w:sz="16" w:space="0" w:color="005CB9"/>
            </w:tcBorders>
            <w:shd w:fill="auto" w:val="clear"/>
            <w:tcMar>
              <w:bottom w:w="28" w:type="dxa"/>
            </w:tcMar>
            <w:vAlign w:val="center"/>
          </w:tcPr>
          <w:p>
            <w:pPr>
              <w:pStyle w:val="TableContents"/>
              <w:spacing w:before="0" w:after="283"/>
              <w:rPr/>
            </w:pPr>
            <w:r>
              <w:rPr/>
              <w:t> </w:t>
            </w:r>
          </w:p>
        </w:tc>
      </w:tr>
    </w:tbl>
    <w:p>
      <w:pPr>
        <w:pStyle w:val="HorizontalLine"/>
        <w:rPr/>
      </w:pPr>
      <w:r>
        <w:br w:type="page"/>
      </w:r>
      <w:r>
        <w:rPr/>
      </w:r>
    </w:p>
    <w:p>
      <w:pPr>
        <w:pStyle w:val="TextBody"/>
        <w:spacing w:before="0" w:after="0"/>
        <w:jc w:val="left"/>
        <w:rPr>
          <w:rFonts w:ascii="ARIAL" w:hAnsi="ARIAL"/>
          <w:color w:val="005CB9"/>
          <w:sz w:val="32"/>
        </w:rPr>
      </w:pPr>
      <w:bookmarkStart w:id="2" w:name="toc"/>
      <w:bookmarkEnd w:id="2"/>
      <w:r>
        <w:rPr>
          <w:rFonts w:ascii="ARIAL" w:hAnsi="ARIAL"/>
          <w:color w:val="005CB9"/>
          <w:sz w:val="32"/>
        </w:rPr>
        <w:t xml:space="preserve">TABLE OF CONTENTS </w:t>
      </w:r>
    </w:p>
    <w:p>
      <w:pPr>
        <w:pStyle w:val="TextBody"/>
        <w:spacing w:before="0" w:after="0"/>
        <w:jc w:val="left"/>
        <w:rPr/>
      </w:pPr>
      <w:r>
        <w:rPr/>
        <w:t> </w:t>
      </w:r>
    </w:p>
    <w:p>
      <w:pPr>
        <w:pStyle w:val="TextBody"/>
        <w:jc w:val="left"/>
        <w:rPr/>
      </w:pPr>
      <w:r>
        <w:rPr/>
        <w:t> </w:t>
      </w:r>
      <w:r>
        <w:br w:type="page"/>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9972040"/>
                <wp:effectExtent l="0" t="0" r="0" b="0"/>
                <wp:wrapSquare wrapText="largest"/>
                <wp:docPr id="16" name="Frame1"/>
                <a:graphic xmlns:a="http://schemas.openxmlformats.org/drawingml/2006/main">
                  <a:graphicData uri="http://schemas.microsoft.com/office/word/2010/wordprocessingShape">
                    <wps:wsp>
                      <wps:cNvSpPr txBox="1"/>
                      <wps:spPr>
                        <a:xfrm>
                          <a:off x="0" y="0"/>
                          <a:ext cx="3110230" cy="9972040"/>
                        </a:xfrm>
                        <a:prstGeom prst="rect"/>
                      </wps:spPr>
                      <wps:txbx>
                        <w:txbxContent>
                          <w:tbl>
                            <w:tblPr>
                              <w:tblW w:w="7660" w:type="dxa"/>
                              <w:jc w:val="left"/>
                              <w:tblInd w:w="0" w:type="dxa"/>
                              <w:tblCellMar>
                                <w:top w:w="0" w:type="dxa"/>
                                <w:left w:w="0" w:type="dxa"/>
                                <w:bottom w:w="0" w:type="dxa"/>
                                <w:right w:w="0" w:type="dxa"/>
                              </w:tblCellMar>
                            </w:tblPr>
                            <w:tblGrid>
                              <w:gridCol w:w="7145"/>
                              <w:gridCol w:w="120"/>
                              <w:gridCol w:w="60"/>
                              <w:gridCol w:w="260"/>
                              <w:gridCol w:w="75"/>
                            </w:tblGrid>
                            <w:tr>
                              <w:trPr/>
                              <w:tc>
                                <w:tcPr>
                                  <w:tcW w:w="7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
                                    <w:r>
                                      <w:rPr>
                                        <w:rStyle w:val="InternetLink"/>
                                        <w:rFonts w:ascii="ARIAL" w:hAnsi="ARIAL"/>
                                        <w:b/>
                                        <w:color w:val="005CB9"/>
                                        <w:sz w:val="19"/>
                                      </w:rPr>
                                      <w:t>PROXY STATEMENT SUMMARY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i</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2">
                                    <w:r>
                                      <w:rPr>
                                        <w:rStyle w:val="InternetLink"/>
                                        <w:rFonts w:ascii="ARIAL" w:hAnsi="ARIAL"/>
                                        <w:b/>
                                        <w:sz w:val="19"/>
                                      </w:rPr>
                                      <w:t>PROPOSAL 1:</w:t>
                                    </w:r>
                                  </w:hyperlink>
                                  <w:hyperlink w:anchor="toc356364_2">
                                    <w:r>
                                      <w:rPr>
                                        <w:rStyle w:val="InternetLink"/>
                                        <w:rFonts w:ascii="ARIAL" w:hAnsi="ARIAL"/>
                                        <w:sz w:val="19"/>
                                      </w:rPr>
                                      <w:t xml:space="preserve"> ELECTION OF DIRECTORS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3">
                                    <w:r>
                                      <w:rPr>
                                        <w:rStyle w:val="InternetLink"/>
                                        <w:rFonts w:ascii="ARIAL" w:hAnsi="ARIAL"/>
                                        <w:b/>
                                        <w:color w:val="005CB9"/>
                                        <w:sz w:val="19"/>
                                      </w:rPr>
                                      <w:t>BOARD OF DIRECTORS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4">
                                    <w:r>
                                      <w:rPr>
                                        <w:rStyle w:val="InternetLink"/>
                                        <w:rFonts w:ascii="ARIAL" w:hAnsi="ARIAL"/>
                                        <w:b/>
                                        <w:color w:val="005CB9"/>
                                        <w:sz w:val="19"/>
                                      </w:rPr>
                                      <w:t>CORPORATE GOVERNANCE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8</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5">
                                    <w:r>
                                      <w:rPr>
                                        <w:rStyle w:val="InternetLink"/>
                                        <w:rFonts w:ascii="ARIAL" w:hAnsi="ARIAL"/>
                                        <w:b/>
                                        <w:color w:val="005CB9"/>
                                        <w:sz w:val="19"/>
                                      </w:rPr>
                                      <w:t xml:space="preserve">ESG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11</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6">
                                    <w:r>
                                      <w:rPr>
                                        <w:rStyle w:val="InternetLink"/>
                                        <w:rFonts w:ascii="ARIAL" w:hAnsi="ARIAL"/>
                                        <w:b/>
                                        <w:color w:val="005CB9"/>
                                        <w:sz w:val="19"/>
                                      </w:rPr>
                                      <w:t>BOARD COMMITTEES AND MEETINGS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13</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7">
                                    <w:r>
                                      <w:rPr>
                                        <w:rStyle w:val="InternetLink"/>
                                        <w:rFonts w:ascii="ARIAL" w:hAnsi="ARIAL"/>
                                        <w:b/>
                                        <w:color w:val="005CB9"/>
                                        <w:sz w:val="19"/>
                                      </w:rPr>
                                      <w:t>DIRECTOR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17</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8">
                                    <w:r>
                                      <w:rPr>
                                        <w:rStyle w:val="InternetLink"/>
                                        <w:rFonts w:ascii="ARIAL" w:hAnsi="ARIAL"/>
                                        <w:b/>
                                        <w:color w:val="005CB9"/>
                                        <w:sz w:val="19"/>
                                      </w:rPr>
                                      <w:t>BENEFICIAL OWNERSHIP</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19</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9">
                                    <w:r>
                                      <w:rPr>
                                        <w:rStyle w:val="InternetLink"/>
                                        <w:rFonts w:ascii="ARIAL" w:hAnsi="ARIAL"/>
                                        <w:b/>
                                        <w:color w:val="005CB9"/>
                                        <w:sz w:val="19"/>
                                      </w:rPr>
                                      <w:t>DELINQUENT SECTION 16(A) REPORTS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20</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0">
                                    <w:r>
                                      <w:rPr>
                                        <w:rStyle w:val="InternetLink"/>
                                        <w:rFonts w:ascii="ARIAL" w:hAnsi="ARIAL"/>
                                        <w:b/>
                                        <w:color w:val="005CB9"/>
                                        <w:sz w:val="19"/>
                                      </w:rPr>
                                      <w:t xml:space="preserve">COMPENSATION DISCUSSION AND ANALYSIS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21</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1">
                                    <w:r>
                                      <w:rPr>
                                        <w:rStyle w:val="InternetLink"/>
                                        <w:rFonts w:ascii="ARIAL" w:hAnsi="ARIAL"/>
                                        <w:sz w:val="19"/>
                                      </w:rPr>
                                      <w:t>Overview</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21</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2">
                                    <w:r>
                                      <w:rPr>
                                        <w:rStyle w:val="InternetLink"/>
                                        <w:rFonts w:ascii="ARIAL" w:hAnsi="ARIAL"/>
                                        <w:sz w:val="19"/>
                                      </w:rPr>
                                      <w:t>Creating Shareholder Value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22</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3">
                                    <w:r>
                                      <w:rPr>
                                        <w:rStyle w:val="InternetLink"/>
                                        <w:rFonts w:ascii="ARIAL" w:hAnsi="ARIAL"/>
                                        <w:sz w:val="19"/>
                                      </w:rPr>
                                      <w:t>Overview of Our Executive Compensation Program</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26</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4">
                                    <w:r>
                                      <w:rPr>
                                        <w:rStyle w:val="InternetLink"/>
                                        <w:rFonts w:ascii="ARIAL" w:hAnsi="ARIAL"/>
                                        <w:sz w:val="19"/>
                                      </w:rPr>
                                      <w:t>Elements of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28</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5">
                                    <w:r>
                                      <w:rPr>
                                        <w:rStyle w:val="InternetLink"/>
                                        <w:rFonts w:ascii="ARIAL" w:hAnsi="ARIAL"/>
                                        <w:sz w:val="19"/>
                                      </w:rPr>
                                      <w:t>Compensation Process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30</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6">
                                    <w:r>
                                      <w:rPr>
                                        <w:rStyle w:val="InternetLink"/>
                                        <w:rFonts w:ascii="ARIAL" w:hAnsi="ARIAL"/>
                                        <w:sz w:val="19"/>
                                      </w:rPr>
                                      <w:t>Analysis of 2022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34</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7">
                                    <w:r>
                                      <w:rPr>
                                        <w:rStyle w:val="InternetLink"/>
                                        <w:rFonts w:ascii="ARIAL" w:hAnsi="ARIAL"/>
                                        <w:sz w:val="19"/>
                                      </w:rPr>
                                      <w:t>Additional Information About Our Program</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39</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8">
                                    <w:r>
                                      <w:rPr>
                                        <w:rStyle w:val="InternetLink"/>
                                        <w:rFonts w:ascii="ARIAL" w:hAnsi="ARIAL"/>
                                        <w:b/>
                                        <w:color w:val="005CB9"/>
                                        <w:sz w:val="19"/>
                                      </w:rPr>
                                      <w:t xml:space="preserve">COMPENSATION COMMITTEE INTERLOCKS AND INSIDER PARTICIPATION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41</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9">
                                    <w:r>
                                      <w:rPr>
                                        <w:rStyle w:val="InternetLink"/>
                                        <w:rFonts w:ascii="ARIAL" w:hAnsi="ARIAL"/>
                                        <w:b/>
                                        <w:color w:val="005CB9"/>
                                        <w:sz w:val="19"/>
                                      </w:rPr>
                                      <w:t xml:space="preserve">COMPENSATION COMMITTEE REPORT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41</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20">
                                    <w:r>
                                      <w:rPr>
                                        <w:rStyle w:val="InternetLink"/>
                                        <w:rFonts w:ascii="ARIAL" w:hAnsi="ARIAL"/>
                                        <w:b/>
                                        <w:color w:val="005CB9"/>
                                        <w:sz w:val="19"/>
                                      </w:rPr>
                                      <w:t>EXECUTIVE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42</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21">
                                    <w:r>
                                      <w:rPr>
                                        <w:rStyle w:val="InternetLink"/>
                                        <w:rFonts w:ascii="ARIAL" w:hAnsi="ARIAL"/>
                                        <w:sz w:val="19"/>
                                      </w:rPr>
                                      <w:t>2022 Summary Compensation Table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42</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22">
                                    <w:r>
                                      <w:rPr>
                                        <w:rStyle w:val="InternetLink"/>
                                        <w:rFonts w:ascii="ARIAL" w:hAnsi="ARIAL"/>
                                        <w:sz w:val="19"/>
                                      </w:rPr>
                                      <w:t>2022 Grants of Plan-Based Awards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43</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23">
                                    <w:r>
                                      <w:rPr>
                                        <w:rStyle w:val="InternetLink"/>
                                        <w:rFonts w:ascii="ARIAL" w:hAnsi="ARIAL"/>
                                        <w:sz w:val="19"/>
                                      </w:rPr>
                                      <w:t>2022 Outstanding Equity Awards at Fiscal Year End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44</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24">
                                    <w:r>
                                      <w:rPr>
                                        <w:rStyle w:val="InternetLink"/>
                                        <w:rFonts w:ascii="ARIAL" w:hAnsi="ARIAL"/>
                                        <w:sz w:val="19"/>
                                      </w:rPr>
                                      <w:t>2022 Option Exercises and Stock Vested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46</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25">
                                    <w:r>
                                      <w:rPr>
                                        <w:rStyle w:val="InternetLink"/>
                                        <w:rFonts w:ascii="ARIAL" w:hAnsi="ARIAL"/>
                                        <w:sz w:val="19"/>
                                      </w:rPr>
                                      <w:t>2022 Non-Qualified Deferred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46</w:t>
                                  </w:r>
                                </w:p>
                              </w:tc>
                              <w:tc>
                                <w:tcPr>
                                  <w:tcW w:w="75" w:type="dxa"/>
                                  <w:tcBorders/>
                                  <w:shd w:fill="auto" w:val="clear"/>
                                  <w:vAlign w:val="center"/>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7660" w:type="dxa"/>
                        <w:jc w:val="left"/>
                        <w:tblInd w:w="0" w:type="dxa"/>
                        <w:tblCellMar>
                          <w:top w:w="0" w:type="dxa"/>
                          <w:left w:w="0" w:type="dxa"/>
                          <w:bottom w:w="0" w:type="dxa"/>
                          <w:right w:w="0" w:type="dxa"/>
                        </w:tblCellMar>
                      </w:tblPr>
                      <w:tblGrid>
                        <w:gridCol w:w="7145"/>
                        <w:gridCol w:w="120"/>
                        <w:gridCol w:w="60"/>
                        <w:gridCol w:w="260"/>
                        <w:gridCol w:w="75"/>
                      </w:tblGrid>
                      <w:tr>
                        <w:trPr/>
                        <w:tc>
                          <w:tcPr>
                            <w:tcW w:w="7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
                              <w:r>
                                <w:rPr>
                                  <w:rStyle w:val="InternetLink"/>
                                  <w:rFonts w:ascii="ARIAL" w:hAnsi="ARIAL"/>
                                  <w:b/>
                                  <w:color w:val="005CB9"/>
                                  <w:sz w:val="19"/>
                                </w:rPr>
                                <w:t>PROXY STATEMENT SUMMARY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i</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2">
                              <w:r>
                                <w:rPr>
                                  <w:rStyle w:val="InternetLink"/>
                                  <w:rFonts w:ascii="ARIAL" w:hAnsi="ARIAL"/>
                                  <w:b/>
                                  <w:sz w:val="19"/>
                                </w:rPr>
                                <w:t>PROPOSAL 1:</w:t>
                              </w:r>
                            </w:hyperlink>
                            <w:hyperlink w:anchor="toc356364_2">
                              <w:r>
                                <w:rPr>
                                  <w:rStyle w:val="InternetLink"/>
                                  <w:rFonts w:ascii="ARIAL" w:hAnsi="ARIAL"/>
                                  <w:sz w:val="19"/>
                                </w:rPr>
                                <w:t xml:space="preserve"> ELECTION OF DIRECTORS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3">
                              <w:r>
                                <w:rPr>
                                  <w:rStyle w:val="InternetLink"/>
                                  <w:rFonts w:ascii="ARIAL" w:hAnsi="ARIAL"/>
                                  <w:b/>
                                  <w:color w:val="005CB9"/>
                                  <w:sz w:val="19"/>
                                </w:rPr>
                                <w:t>BOARD OF DIRECTORS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4">
                              <w:r>
                                <w:rPr>
                                  <w:rStyle w:val="InternetLink"/>
                                  <w:rFonts w:ascii="ARIAL" w:hAnsi="ARIAL"/>
                                  <w:b/>
                                  <w:color w:val="005CB9"/>
                                  <w:sz w:val="19"/>
                                </w:rPr>
                                <w:t>CORPORATE GOVERNANCE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8</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5">
                              <w:r>
                                <w:rPr>
                                  <w:rStyle w:val="InternetLink"/>
                                  <w:rFonts w:ascii="ARIAL" w:hAnsi="ARIAL"/>
                                  <w:b/>
                                  <w:color w:val="005CB9"/>
                                  <w:sz w:val="19"/>
                                </w:rPr>
                                <w:t xml:space="preserve">ESG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11</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6">
                              <w:r>
                                <w:rPr>
                                  <w:rStyle w:val="InternetLink"/>
                                  <w:rFonts w:ascii="ARIAL" w:hAnsi="ARIAL"/>
                                  <w:b/>
                                  <w:color w:val="005CB9"/>
                                  <w:sz w:val="19"/>
                                </w:rPr>
                                <w:t>BOARD COMMITTEES AND MEETINGS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13</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7">
                              <w:r>
                                <w:rPr>
                                  <w:rStyle w:val="InternetLink"/>
                                  <w:rFonts w:ascii="ARIAL" w:hAnsi="ARIAL"/>
                                  <w:b/>
                                  <w:color w:val="005CB9"/>
                                  <w:sz w:val="19"/>
                                </w:rPr>
                                <w:t>DIRECTOR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17</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8">
                              <w:r>
                                <w:rPr>
                                  <w:rStyle w:val="InternetLink"/>
                                  <w:rFonts w:ascii="ARIAL" w:hAnsi="ARIAL"/>
                                  <w:b/>
                                  <w:color w:val="005CB9"/>
                                  <w:sz w:val="19"/>
                                </w:rPr>
                                <w:t>BENEFICIAL OWNERSHIP</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19</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9">
                              <w:r>
                                <w:rPr>
                                  <w:rStyle w:val="InternetLink"/>
                                  <w:rFonts w:ascii="ARIAL" w:hAnsi="ARIAL"/>
                                  <w:b/>
                                  <w:color w:val="005CB9"/>
                                  <w:sz w:val="19"/>
                                </w:rPr>
                                <w:t>DELINQUENT SECTION 16(A) REPORTS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20</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0">
                              <w:r>
                                <w:rPr>
                                  <w:rStyle w:val="InternetLink"/>
                                  <w:rFonts w:ascii="ARIAL" w:hAnsi="ARIAL"/>
                                  <w:b/>
                                  <w:color w:val="005CB9"/>
                                  <w:sz w:val="19"/>
                                </w:rPr>
                                <w:t xml:space="preserve">COMPENSATION DISCUSSION AND ANALYSIS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21</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1">
                              <w:r>
                                <w:rPr>
                                  <w:rStyle w:val="InternetLink"/>
                                  <w:rFonts w:ascii="ARIAL" w:hAnsi="ARIAL"/>
                                  <w:sz w:val="19"/>
                                </w:rPr>
                                <w:t>Overview</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21</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2">
                              <w:r>
                                <w:rPr>
                                  <w:rStyle w:val="InternetLink"/>
                                  <w:rFonts w:ascii="ARIAL" w:hAnsi="ARIAL"/>
                                  <w:sz w:val="19"/>
                                </w:rPr>
                                <w:t>Creating Shareholder Value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22</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3">
                              <w:r>
                                <w:rPr>
                                  <w:rStyle w:val="InternetLink"/>
                                  <w:rFonts w:ascii="ARIAL" w:hAnsi="ARIAL"/>
                                  <w:sz w:val="19"/>
                                </w:rPr>
                                <w:t>Overview of Our Executive Compensation Program</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26</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4">
                              <w:r>
                                <w:rPr>
                                  <w:rStyle w:val="InternetLink"/>
                                  <w:rFonts w:ascii="ARIAL" w:hAnsi="ARIAL"/>
                                  <w:sz w:val="19"/>
                                </w:rPr>
                                <w:t>Elements of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28</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5">
                              <w:r>
                                <w:rPr>
                                  <w:rStyle w:val="InternetLink"/>
                                  <w:rFonts w:ascii="ARIAL" w:hAnsi="ARIAL"/>
                                  <w:sz w:val="19"/>
                                </w:rPr>
                                <w:t>Compensation Process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30</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6">
                              <w:r>
                                <w:rPr>
                                  <w:rStyle w:val="InternetLink"/>
                                  <w:rFonts w:ascii="ARIAL" w:hAnsi="ARIAL"/>
                                  <w:sz w:val="19"/>
                                </w:rPr>
                                <w:t>Analysis of 2022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34</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7">
                              <w:r>
                                <w:rPr>
                                  <w:rStyle w:val="InternetLink"/>
                                  <w:rFonts w:ascii="ARIAL" w:hAnsi="ARIAL"/>
                                  <w:sz w:val="19"/>
                                </w:rPr>
                                <w:t>Additional Information About Our Program</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39</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8">
                              <w:r>
                                <w:rPr>
                                  <w:rStyle w:val="InternetLink"/>
                                  <w:rFonts w:ascii="ARIAL" w:hAnsi="ARIAL"/>
                                  <w:b/>
                                  <w:color w:val="005CB9"/>
                                  <w:sz w:val="19"/>
                                </w:rPr>
                                <w:t xml:space="preserve">COMPENSATION COMMITTEE INTERLOCKS AND INSIDER PARTICIPATION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41</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19">
                              <w:r>
                                <w:rPr>
                                  <w:rStyle w:val="InternetLink"/>
                                  <w:rFonts w:ascii="ARIAL" w:hAnsi="ARIAL"/>
                                  <w:b/>
                                  <w:color w:val="005CB9"/>
                                  <w:sz w:val="19"/>
                                </w:rPr>
                                <w:t xml:space="preserve">COMPENSATION COMMITTEE REPORT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41</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20">
                              <w:r>
                                <w:rPr>
                                  <w:rStyle w:val="InternetLink"/>
                                  <w:rFonts w:ascii="ARIAL" w:hAnsi="ARIAL"/>
                                  <w:b/>
                                  <w:color w:val="005CB9"/>
                                  <w:sz w:val="19"/>
                                </w:rPr>
                                <w:t>EXECUTIVE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42</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21">
                              <w:r>
                                <w:rPr>
                                  <w:rStyle w:val="InternetLink"/>
                                  <w:rFonts w:ascii="ARIAL" w:hAnsi="ARIAL"/>
                                  <w:sz w:val="19"/>
                                </w:rPr>
                                <w:t>2022 Summary Compensation Table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42</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22">
                              <w:r>
                                <w:rPr>
                                  <w:rStyle w:val="InternetLink"/>
                                  <w:rFonts w:ascii="ARIAL" w:hAnsi="ARIAL"/>
                                  <w:sz w:val="19"/>
                                </w:rPr>
                                <w:t>2022 Grants of Plan-Based Awards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43</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23">
                              <w:r>
                                <w:rPr>
                                  <w:rStyle w:val="InternetLink"/>
                                  <w:rFonts w:ascii="ARIAL" w:hAnsi="ARIAL"/>
                                  <w:sz w:val="19"/>
                                </w:rPr>
                                <w:t>2022 Outstanding Equity Awards at Fiscal Year End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44</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24">
                              <w:r>
                                <w:rPr>
                                  <w:rStyle w:val="InternetLink"/>
                                  <w:rFonts w:ascii="ARIAL" w:hAnsi="ARIAL"/>
                                  <w:sz w:val="19"/>
                                </w:rPr>
                                <w:t>2022 Option Exercises and Stock Vested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46</w:t>
                            </w:r>
                          </w:p>
                        </w:tc>
                        <w:tc>
                          <w:tcPr>
                            <w:tcW w:w="75" w:type="dxa"/>
                            <w:tcBorders/>
                            <w:shd w:fill="auto" w:val="cle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7145" w:type="dxa"/>
                            <w:tcBorders/>
                            <w:shd w:fill="auto" w:val="clear"/>
                            <w:vAlign w:val="center"/>
                          </w:tcPr>
                          <w:p>
                            <w:pPr>
                              <w:pStyle w:val="TableContents"/>
                              <w:spacing w:before="0" w:after="0"/>
                              <w:rPr/>
                            </w:pPr>
                            <w:hyperlink w:anchor="toc356364_25">
                              <w:r>
                                <w:rPr>
                                  <w:rStyle w:val="InternetLink"/>
                                  <w:rFonts w:ascii="ARIAL" w:hAnsi="ARIAL"/>
                                  <w:sz w:val="19"/>
                                </w:rPr>
                                <w:t>2022 Non-Qualified Deferred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46</w:t>
                            </w:r>
                          </w:p>
                        </w:tc>
                        <w:tc>
                          <w:tcPr>
                            <w:tcW w:w="75" w:type="dxa"/>
                            <w:tcBorders/>
                            <w:shd w:fill="auto" w:val="clear"/>
                            <w:vAlign w:val="center"/>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175000" cy="9192895"/>
                <wp:effectExtent l="0" t="0" r="0" b="0"/>
                <wp:wrapSquare wrapText="largest"/>
                <wp:docPr id="17" name="Frame2"/>
                <a:graphic xmlns:a="http://schemas.openxmlformats.org/drawingml/2006/main">
                  <a:graphicData uri="http://schemas.microsoft.com/office/word/2010/wordprocessingShape">
                    <wps:wsp>
                      <wps:cNvSpPr txBox="1"/>
                      <wps:spPr>
                        <a:xfrm>
                          <a:off x="0" y="0"/>
                          <a:ext cx="3175000" cy="9192895"/>
                        </a:xfrm>
                        <a:prstGeom prst="rect"/>
                      </wps:spPr>
                      <wps:txbx>
                        <w:txbxContent>
                          <w:tbl>
                            <w:tblPr>
                              <w:tblW w:w="10205" w:type="dxa"/>
                              <w:jc w:val="left"/>
                              <w:tblInd w:w="0" w:type="dxa"/>
                              <w:tblCellMar>
                                <w:top w:w="0" w:type="dxa"/>
                                <w:left w:w="0" w:type="dxa"/>
                                <w:bottom w:w="0" w:type="dxa"/>
                                <w:right w:w="0" w:type="dxa"/>
                              </w:tblCellMar>
                            </w:tblPr>
                            <w:tblGrid>
                              <w:gridCol w:w="9626"/>
                              <w:gridCol w:w="120"/>
                              <w:gridCol w:w="60"/>
                              <w:gridCol w:w="323"/>
                              <w:gridCol w:w="76"/>
                            </w:tblGrid>
                            <w:tr>
                              <w:trPr/>
                              <w:tc>
                                <w:tcPr>
                                  <w:tcW w:w="962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26">
                                    <w:r>
                                      <w:rPr>
                                        <w:rStyle w:val="InternetLink"/>
                                        <w:rFonts w:ascii="ARIAL" w:hAnsi="ARIAL"/>
                                        <w:sz w:val="19"/>
                                      </w:rPr>
                                      <w:t>Potential Payments upon Termination or Change in Control</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46</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27">
                                    <w:r>
                                      <w:rPr>
                                        <w:rStyle w:val="InternetLink"/>
                                        <w:rFonts w:ascii="ARIAL" w:hAnsi="ARIAL"/>
                                        <w:sz w:val="19"/>
                                      </w:rPr>
                                      <w:t xml:space="preserve">Summary of Termination Payments and </w:t>
                                      <w:br/>
                                      <w:t>Benefits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47</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28">
                                    <w:r>
                                      <w:rPr>
                                        <w:rStyle w:val="InternetLink"/>
                                        <w:rFonts w:ascii="ARIAL" w:hAnsi="ARIAL"/>
                                        <w:sz w:val="19"/>
                                      </w:rPr>
                                      <w:t>CEO Pay Ratio</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49</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100a">
                                    <w:r>
                                      <w:rPr>
                                        <w:rStyle w:val="InternetLink"/>
                                        <w:rFonts w:ascii="ARIAL" w:hAnsi="ARIAL"/>
                                        <w:sz w:val="19"/>
                                      </w:rPr>
                                      <w:t xml:space="preserve">Pay Versus Performance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50</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29">
                                    <w:r>
                                      <w:rPr>
                                        <w:rStyle w:val="InternetLink"/>
                                        <w:rFonts w:ascii="ARIAL" w:hAnsi="ARIAL"/>
                                        <w:b/>
                                        <w:sz w:val="19"/>
                                      </w:rPr>
                                      <w:t>PROPOSAL 2:</w:t>
                                    </w:r>
                                  </w:hyperlink>
                                  <w:hyperlink w:anchor="toc356364_29">
                                    <w:r>
                                      <w:rPr>
                                        <w:rStyle w:val="InternetLink"/>
                                        <w:rFonts w:ascii="ARIAL" w:hAnsi="ARIAL"/>
                                        <w:sz w:val="19"/>
                                      </w:rPr>
                                      <w:t xml:space="preserve"> ADVISORY VOTE TO APPROVE COMPENSATION OF THE COMPANY’S NAMED EXECUTIVE OFFICERS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53</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0">
                                    <w:r>
                                      <w:rPr>
                                        <w:rStyle w:val="InternetLink"/>
                                        <w:rFonts w:ascii="ARIAL" w:hAnsi="ARIAL"/>
                                        <w:b/>
                                        <w:sz w:val="19"/>
                                      </w:rPr>
                                      <w:t>PROPOSAL 3:</w:t>
                                    </w:r>
                                  </w:hyperlink>
                                  <w:hyperlink w:anchor="toc356364_30">
                                    <w:r>
                                      <w:rPr>
                                        <w:rStyle w:val="InternetLink"/>
                                        <w:rFonts w:ascii="ARIAL" w:hAnsi="ARIAL"/>
                                        <w:sz w:val="19"/>
                                      </w:rPr>
                                      <w:t xml:space="preserve"> ADVISORY VOTE ON THE FREQUENCY OF THE SHAREHOLDER VOTE ON THE COMPENSATION OF THE COMPANY’S NAMED EXECUTIVE OFFICERS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54</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1">
                                    <w:r>
                                      <w:rPr>
                                        <w:rStyle w:val="InternetLink"/>
                                        <w:rFonts w:ascii="ARIAL" w:hAnsi="ARIAL"/>
                                        <w:b/>
                                        <w:color w:val="005CB9"/>
                                        <w:sz w:val="19"/>
                                      </w:rPr>
                                      <w:t>AUDIT COMMITTEE REPORT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55</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2">
                                    <w:r>
                                      <w:rPr>
                                        <w:rStyle w:val="InternetLink"/>
                                        <w:rFonts w:ascii="ARIAL" w:hAnsi="ARIAL"/>
                                        <w:b/>
                                        <w:color w:val="005CB9"/>
                                        <w:sz w:val="19"/>
                                      </w:rPr>
                                      <w:t>INDEPENDENT PUBLIC ACCOUNTANTS FEES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56</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3">
                                    <w:r>
                                      <w:rPr>
                                        <w:rStyle w:val="InternetLink"/>
                                        <w:rFonts w:ascii="ARIAL" w:hAnsi="ARIAL"/>
                                        <w:b/>
                                        <w:sz w:val="19"/>
                                      </w:rPr>
                                      <w:t>PROPOSAL 4:</w:t>
                                    </w:r>
                                  </w:hyperlink>
                                  <w:hyperlink w:anchor="toc356364_33">
                                    <w:r>
                                      <w:rPr>
                                        <w:rStyle w:val="InternetLink"/>
                                        <w:rFonts w:ascii="ARIAL" w:hAnsi="ARIAL"/>
                                        <w:sz w:val="19"/>
                                      </w:rPr>
                                      <w:t xml:space="preserve"> RATIFICATION OF THE APPOINTMENT OF PRICEWATERHOUSECOOPERS LLP AS OUR INDEPENDENT REGISTERED PUBLIC ACCOUNTING FIRM FOR THE YEAR ENDING DECEMBER 31, 2023</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56</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4">
                                    <w:r>
                                      <w:rPr>
                                        <w:rStyle w:val="InternetLink"/>
                                        <w:rFonts w:ascii="ARIAL" w:hAnsi="ARIAL"/>
                                        <w:b/>
                                        <w:sz w:val="19"/>
                                      </w:rPr>
                                      <w:t>PROPOSAL 5:</w:t>
                                    </w:r>
                                  </w:hyperlink>
                                  <w:hyperlink w:anchor="toc356364_34">
                                    <w:r>
                                      <w:rPr>
                                        <w:rStyle w:val="InternetLink"/>
                                        <w:rFonts w:ascii="ARIAL" w:hAnsi="ARIAL"/>
                                        <w:sz w:val="19"/>
                                      </w:rPr>
                                      <w:t xml:space="preserve"> APPROVAL OF AN AMENDMENT TO AND RESTATEMENT OF OUR CERTIFICATE OF INCORPORATION TO PERMIT THE EXCUPLATION OF OFFICERS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57</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5">
                                    <w:r>
                                      <w:rPr>
                                        <w:rStyle w:val="InternetLink"/>
                                        <w:rFonts w:ascii="ARIAL" w:hAnsi="ARIAL"/>
                                        <w:b/>
                                        <w:color w:val="005CB9"/>
                                        <w:sz w:val="19"/>
                                      </w:rPr>
                                      <w:t>ANNUAL MEETING AND VOTING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58</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6">
                                    <w:r>
                                      <w:rPr>
                                        <w:rStyle w:val="InternetLink"/>
                                        <w:rFonts w:ascii="ARIAL" w:hAnsi="ARIAL"/>
                                        <w:b/>
                                        <w:color w:val="005CB9"/>
                                        <w:sz w:val="19"/>
                                      </w:rPr>
                                      <w:t>INFORMATION REGARDING THE 2024 ANNUAL MEETING OF SHAREHOLDERS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62</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7">
                                    <w:r>
                                      <w:rPr>
                                        <w:rStyle w:val="InternetLink"/>
                                        <w:rFonts w:ascii="ARIAL" w:hAnsi="ARIAL"/>
                                        <w:b/>
                                        <w:color w:val="005CB9"/>
                                        <w:sz w:val="19"/>
                                      </w:rPr>
                                      <w:t>OTHER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63</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8">
                                    <w:r>
                                      <w:rPr>
                                        <w:rStyle w:val="InternetLink"/>
                                        <w:rFonts w:ascii="ARIAL" w:hAnsi="ARIAL"/>
                                        <w:b/>
                                        <w:color w:val="005CB9"/>
                                        <w:sz w:val="19"/>
                                      </w:rPr>
                                      <w:t xml:space="preserve">APPENDIX A—RECONCILIATIONS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A-1</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101">
                                    <w:r>
                                      <w:rPr>
                                        <w:rStyle w:val="InternetLink"/>
                                        <w:rFonts w:ascii="ARIAL" w:hAnsi="ARIAL"/>
                                        <w:b/>
                                        <w:color w:val="005CB9"/>
                                        <w:sz w:val="19"/>
                                      </w:rPr>
                                      <w:t xml:space="preserve">APPENDIX B—AMENDED AND RESTATED CERTIFICATE OF INCORPORATION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B-1</w:t>
                                  </w:r>
                                </w:p>
                              </w:tc>
                              <w:tc>
                                <w:tcPr>
                                  <w:tcW w:w="76" w:type="dxa"/>
                                  <w:tcBorders/>
                                  <w:shd w:fill="auto" w:val="clear"/>
                                  <w:vAlign w:val="center"/>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23.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9626"/>
                        <w:gridCol w:w="120"/>
                        <w:gridCol w:w="60"/>
                        <w:gridCol w:w="323"/>
                        <w:gridCol w:w="76"/>
                      </w:tblGrid>
                      <w:tr>
                        <w:trPr/>
                        <w:tc>
                          <w:tcPr>
                            <w:tcW w:w="962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26">
                              <w:r>
                                <w:rPr>
                                  <w:rStyle w:val="InternetLink"/>
                                  <w:rFonts w:ascii="ARIAL" w:hAnsi="ARIAL"/>
                                  <w:sz w:val="19"/>
                                </w:rPr>
                                <w:t>Potential Payments upon Termination or Change in Control</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46</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27">
                              <w:r>
                                <w:rPr>
                                  <w:rStyle w:val="InternetLink"/>
                                  <w:rFonts w:ascii="ARIAL" w:hAnsi="ARIAL"/>
                                  <w:sz w:val="19"/>
                                </w:rPr>
                                <w:t xml:space="preserve">Summary of Termination Payments and </w:t>
                                <w:br/>
                                <w:t>Benefits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47</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28">
                              <w:r>
                                <w:rPr>
                                  <w:rStyle w:val="InternetLink"/>
                                  <w:rFonts w:ascii="ARIAL" w:hAnsi="ARIAL"/>
                                  <w:sz w:val="19"/>
                                </w:rPr>
                                <w:t>CEO Pay Ratio</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49</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100a">
                              <w:r>
                                <w:rPr>
                                  <w:rStyle w:val="InternetLink"/>
                                  <w:rFonts w:ascii="ARIAL" w:hAnsi="ARIAL"/>
                                  <w:sz w:val="19"/>
                                </w:rPr>
                                <w:t xml:space="preserve">Pay Versus Performance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50</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29">
                              <w:r>
                                <w:rPr>
                                  <w:rStyle w:val="InternetLink"/>
                                  <w:rFonts w:ascii="ARIAL" w:hAnsi="ARIAL"/>
                                  <w:b/>
                                  <w:sz w:val="19"/>
                                </w:rPr>
                                <w:t>PROPOSAL 2:</w:t>
                              </w:r>
                            </w:hyperlink>
                            <w:hyperlink w:anchor="toc356364_29">
                              <w:r>
                                <w:rPr>
                                  <w:rStyle w:val="InternetLink"/>
                                  <w:rFonts w:ascii="ARIAL" w:hAnsi="ARIAL"/>
                                  <w:sz w:val="19"/>
                                </w:rPr>
                                <w:t xml:space="preserve"> ADVISORY VOTE TO APPROVE COMPENSATION OF THE COMPANY’S NAMED EXECUTIVE OFFICERS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53</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0">
                              <w:r>
                                <w:rPr>
                                  <w:rStyle w:val="InternetLink"/>
                                  <w:rFonts w:ascii="ARIAL" w:hAnsi="ARIAL"/>
                                  <w:b/>
                                  <w:sz w:val="19"/>
                                </w:rPr>
                                <w:t>PROPOSAL 3:</w:t>
                              </w:r>
                            </w:hyperlink>
                            <w:hyperlink w:anchor="toc356364_30">
                              <w:r>
                                <w:rPr>
                                  <w:rStyle w:val="InternetLink"/>
                                  <w:rFonts w:ascii="ARIAL" w:hAnsi="ARIAL"/>
                                  <w:sz w:val="19"/>
                                </w:rPr>
                                <w:t xml:space="preserve"> ADVISORY VOTE ON THE FREQUENCY OF THE SHAREHOLDER VOTE ON THE COMPENSATION OF THE COMPANY’S NAMED EXECUTIVE OFFICERS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54</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1">
                              <w:r>
                                <w:rPr>
                                  <w:rStyle w:val="InternetLink"/>
                                  <w:rFonts w:ascii="ARIAL" w:hAnsi="ARIAL"/>
                                  <w:b/>
                                  <w:color w:val="005CB9"/>
                                  <w:sz w:val="19"/>
                                </w:rPr>
                                <w:t>AUDIT COMMITTEE REPORT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55</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2">
                              <w:r>
                                <w:rPr>
                                  <w:rStyle w:val="InternetLink"/>
                                  <w:rFonts w:ascii="ARIAL" w:hAnsi="ARIAL"/>
                                  <w:b/>
                                  <w:color w:val="005CB9"/>
                                  <w:sz w:val="19"/>
                                </w:rPr>
                                <w:t>INDEPENDENT PUBLIC ACCOUNTANTS FEES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56</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3">
                              <w:r>
                                <w:rPr>
                                  <w:rStyle w:val="InternetLink"/>
                                  <w:rFonts w:ascii="ARIAL" w:hAnsi="ARIAL"/>
                                  <w:b/>
                                  <w:sz w:val="19"/>
                                </w:rPr>
                                <w:t>PROPOSAL 4:</w:t>
                              </w:r>
                            </w:hyperlink>
                            <w:hyperlink w:anchor="toc356364_33">
                              <w:r>
                                <w:rPr>
                                  <w:rStyle w:val="InternetLink"/>
                                  <w:rFonts w:ascii="ARIAL" w:hAnsi="ARIAL"/>
                                  <w:sz w:val="19"/>
                                </w:rPr>
                                <w:t xml:space="preserve"> RATIFICATION OF THE APPOINTMENT OF PRICEWATERHOUSECOOPERS LLP AS OUR INDEPENDENT REGISTERED PUBLIC ACCOUNTING FIRM FOR THE YEAR ENDING DECEMBER 31, 2023</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56</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4">
                              <w:r>
                                <w:rPr>
                                  <w:rStyle w:val="InternetLink"/>
                                  <w:rFonts w:ascii="ARIAL" w:hAnsi="ARIAL"/>
                                  <w:b/>
                                  <w:sz w:val="19"/>
                                </w:rPr>
                                <w:t>PROPOSAL 5:</w:t>
                              </w:r>
                            </w:hyperlink>
                            <w:hyperlink w:anchor="toc356364_34">
                              <w:r>
                                <w:rPr>
                                  <w:rStyle w:val="InternetLink"/>
                                  <w:rFonts w:ascii="ARIAL" w:hAnsi="ARIAL"/>
                                  <w:sz w:val="19"/>
                                </w:rPr>
                                <w:t xml:space="preserve"> APPROVAL OF AN AMENDMENT TO AND RESTATEMENT OF OUR CERTIFICATE OF INCORPORATION TO PERMIT THE EXCUPLATION OF OFFICERS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57</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5">
                              <w:r>
                                <w:rPr>
                                  <w:rStyle w:val="InternetLink"/>
                                  <w:rFonts w:ascii="ARIAL" w:hAnsi="ARIAL"/>
                                  <w:b/>
                                  <w:color w:val="005CB9"/>
                                  <w:sz w:val="19"/>
                                </w:rPr>
                                <w:t>ANNUAL MEETING AND VOTING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58</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6">
                              <w:r>
                                <w:rPr>
                                  <w:rStyle w:val="InternetLink"/>
                                  <w:rFonts w:ascii="ARIAL" w:hAnsi="ARIAL"/>
                                  <w:b/>
                                  <w:color w:val="005CB9"/>
                                  <w:sz w:val="19"/>
                                </w:rPr>
                                <w:t>INFORMATION REGARDING THE 2024 ANNUAL MEETING OF SHAREHOLDERS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62</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7">
                              <w:r>
                                <w:rPr>
                                  <w:rStyle w:val="InternetLink"/>
                                  <w:rFonts w:ascii="ARIAL" w:hAnsi="ARIAL"/>
                                  <w:b/>
                                  <w:color w:val="005CB9"/>
                                  <w:sz w:val="19"/>
                                </w:rPr>
                                <w:t>OTHER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63</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38">
                              <w:r>
                                <w:rPr>
                                  <w:rStyle w:val="InternetLink"/>
                                  <w:rFonts w:ascii="ARIAL" w:hAnsi="ARIAL"/>
                                  <w:b/>
                                  <w:color w:val="005CB9"/>
                                  <w:sz w:val="19"/>
                                </w:rPr>
                                <w:t xml:space="preserve">APPENDIX A—RECONCILIATIONS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A-1</w:t>
                            </w:r>
                          </w:p>
                        </w:tc>
                        <w:tc>
                          <w:tcPr>
                            <w:tcW w:w="76" w:type="dxa"/>
                            <w:tcBorders/>
                            <w:shd w:fill="auto" w:val="clear"/>
                            <w:vAlign w:val="center"/>
                          </w:tcPr>
                          <w:p>
                            <w:pPr>
                              <w:pStyle w:val="TableContents"/>
                              <w:spacing w:before="0" w:after="283"/>
                              <w:rPr/>
                            </w:pPr>
                            <w:r>
                              <w:rPr/>
                              <w:t> </w:t>
                            </w:r>
                          </w:p>
                        </w:tc>
                      </w:tr>
                      <w:tr>
                        <w:trPr/>
                        <w:tc>
                          <w:tcPr>
                            <w:tcW w:w="9626" w:type="dxa"/>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center"/>
                          </w:tcPr>
                          <w:p>
                            <w:pPr>
                              <w:pStyle w:val="TableContents"/>
                              <w:spacing w:before="0" w:after="0"/>
                              <w:rPr/>
                            </w:pPr>
                            <w:hyperlink w:anchor="toc356364_101">
                              <w:r>
                                <w:rPr>
                                  <w:rStyle w:val="InternetLink"/>
                                  <w:rFonts w:ascii="ARIAL" w:hAnsi="ARIAL"/>
                                  <w:b/>
                                  <w:color w:val="005CB9"/>
                                  <w:sz w:val="19"/>
                                </w:rPr>
                                <w:t xml:space="preserve">APPENDIX B—AMENDED AND RESTATED CERTIFICATE OF INCORPORATION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jc w:val="right"/>
                              <w:rPr/>
                            </w:pPr>
                            <w:r>
                              <w:rPr/>
                              <w:t>B-1</w:t>
                            </w:r>
                          </w:p>
                        </w:tc>
                        <w:tc>
                          <w:tcPr>
                            <w:tcW w:w="76" w:type="dxa"/>
                            <w:tcBorders/>
                            <w:shd w:fill="auto" w:val="clear"/>
                            <w:vAlign w:val="center"/>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p>
    <w:p>
      <w:pPr>
        <w:pStyle w:val="HorizontalLine"/>
        <w:rPr/>
      </w:pPr>
      <w:r>
        <w:rPr/>
      </w:r>
    </w:p>
    <w:p>
      <w:pPr>
        <w:pStyle w:val="TextBody"/>
        <w:spacing w:before="0" w:after="0"/>
        <w:jc w:val="left"/>
        <w:rPr>
          <w:rFonts w:ascii="ARIAL" w:hAnsi="ARIAL"/>
          <w:color w:val="005CB9"/>
          <w:sz w:val="32"/>
        </w:rPr>
      </w:pPr>
      <w:bookmarkStart w:id="3" w:name="toc356364_1"/>
      <w:bookmarkEnd w:id="3"/>
      <w:r>
        <w:rPr>
          <w:rFonts w:ascii="ARIAL" w:hAnsi="ARIAL"/>
          <w:color w:val="005CB9"/>
          <w:sz w:val="32"/>
        </w:rPr>
        <w:t xml:space="preserve">PROXY STATEMENT SUMMARY </w:t>
      </w:r>
    </w:p>
    <w:p>
      <w:pPr>
        <w:pStyle w:val="TextBody"/>
        <w:spacing w:before="0" w:after="0"/>
        <w:jc w:val="left"/>
        <w:rPr/>
      </w:pPr>
      <w:r>
        <w:rPr/>
        <w:t> </w:t>
      </w:r>
    </w:p>
    <w:p>
      <w:pPr>
        <w:pStyle w:val="TextBody"/>
        <w:spacing w:before="0" w:after="0"/>
        <w:ind w:left="0" w:right="0" w:hanging="0"/>
        <w:jc w:val="left"/>
        <w:rPr>
          <w:rFonts w:ascii="ARIAL" w:hAnsi="ARIAL"/>
          <w:sz w:val="19"/>
          <w:bdr w:val="single" w:sz="8" w:space="1" w:color="005CB9"/>
        </w:rPr>
      </w:pPr>
      <w:r>
        <w:rPr>
          <w:rFonts w:ascii="ARIAL" w:hAnsi="ARIAL"/>
          <w:sz w:val="19"/>
          <w:bdr w:val="single" w:sz="8" w:space="1" w:color="005CB9"/>
        </w:rPr>
        <w:t xml:space="preserve">This summary highlights information about Roper Technologies, Inc. (the “Company”, “we”, “us” or “our”) and the upcoming 2023 Annual Meeting of Shareholders (the “2023 Annual Meeting”). It does not contain all of the information you should consider. We recommend reading the complete proxy statement (the “Proxy Statement”) and our 2022 Annual Report to Shareholders (the “2022 Annual Report”), which includes our Annual Report on Form 10-K, before voting. The Proxy Statement and the enclosed proxy card are being mailed or otherwise made available to shareholders on or about April 28, 2023. </w:t>
      </w:r>
    </w:p>
    <w:p>
      <w:pPr>
        <w:pStyle w:val="TextBody"/>
        <w:spacing w:before="240" w:after="0"/>
        <w:jc w:val="left"/>
        <w:rPr>
          <w:rFonts w:ascii="ARIAL" w:hAnsi="ARIAL"/>
          <w:b/>
          <w:color w:val="005CB9"/>
          <w:sz w:val="20"/>
          <w:bdr w:val="single" w:sz="8" w:space="1" w:color="005CB9"/>
        </w:rPr>
      </w:pPr>
      <w:r>
        <w:rPr>
          <w:rFonts w:ascii="ARIAL" w:hAnsi="ARIAL"/>
          <w:b/>
          <w:color w:val="005CB9"/>
          <w:sz w:val="20"/>
          <w:bdr w:val="single" w:sz="8" w:space="1" w:color="005CB9"/>
        </w:rPr>
        <w:t xml:space="preserve">2023 ANNUAL MEETING OF SHAREHOLDERS </w:t>
      </w:r>
    </w:p>
    <w:p>
      <w:pPr>
        <w:pStyle w:val="TextBody"/>
        <w:spacing w:before="0" w:after="0"/>
        <w:jc w:val="left"/>
        <w:rPr>
          <w:bdr w:val="single" w:sz="8" w:space="1" w:color="005CB9"/>
        </w:rPr>
      </w:pPr>
      <w:r>
        <w:rPr>
          <w:bdr w:val="single" w:sz="8" w:space="1" w:color="005CB9"/>
        </w:rPr>
        <w:t> </w:t>
      </w:r>
    </w:p>
    <w:tbl>
      <w:tblPr>
        <w:tblW w:w="5955" w:type="dxa"/>
        <w:jc w:val="left"/>
        <w:tblInd w:w="0" w:type="dxa"/>
        <w:tblCellMar>
          <w:top w:w="0" w:type="dxa"/>
          <w:left w:w="0" w:type="dxa"/>
          <w:bottom w:w="0" w:type="dxa"/>
          <w:right w:w="0" w:type="dxa"/>
        </w:tblCellMar>
      </w:tblPr>
      <w:tblGrid>
        <w:gridCol w:w="2390"/>
        <w:gridCol w:w="120"/>
        <w:gridCol w:w="1220"/>
        <w:gridCol w:w="120"/>
        <w:gridCol w:w="2105"/>
      </w:tblGrid>
      <w:tr>
        <w:trPr/>
        <w:tc>
          <w:tcPr>
            <w:tcW w:w="23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05" w:type="dxa"/>
            <w:tcBorders/>
            <w:shd w:fill="auto" w:val="clear"/>
            <w:vAlign w:val="center"/>
          </w:tcPr>
          <w:p>
            <w:pPr>
              <w:pStyle w:val="TableContents"/>
              <w:spacing w:before="0" w:after="283"/>
              <w:rPr>
                <w:sz w:val="4"/>
                <w:szCs w:val="4"/>
              </w:rPr>
            </w:pPr>
            <w:r>
              <w:rPr>
                <w:sz w:val="4"/>
                <w:szCs w:val="4"/>
              </w:rPr>
            </w:r>
          </w:p>
        </w:tc>
      </w:tr>
      <w:tr>
        <w:trPr/>
        <w:tc>
          <w:tcPr>
            <w:tcW w:w="2390" w:type="dxa"/>
            <w:tcBorders/>
            <w:shd w:fill="auto" w:val="clear"/>
            <w:vAlign w:val="center"/>
          </w:tcPr>
          <w:p>
            <w:pPr>
              <w:pStyle w:val="TableContents"/>
              <w:spacing w:before="0" w:after="0"/>
              <w:rPr>
                <w:rFonts w:ascii="ARIAL" w:hAnsi="ARIAL"/>
                <w:b/>
                <w:sz w:val="19"/>
              </w:rPr>
            </w:pPr>
            <w:r>
              <w:rPr>
                <w:rFonts w:ascii="ARIAL" w:hAnsi="ARIAL"/>
                <w:b/>
                <w:sz w:val="19"/>
              </w:rPr>
              <w:t>Date and Time:                </w:t>
            </w:r>
          </w:p>
          <w:p>
            <w:pPr>
              <w:pStyle w:val="TableContents"/>
              <w:spacing w:before="0" w:after="0"/>
              <w:rPr>
                <w:rFonts w:ascii="ARIAL" w:hAnsi="ARIAL"/>
                <w:sz w:val="19"/>
              </w:rPr>
            </w:pPr>
            <w:r>
              <w:rPr>
                <w:rFonts w:ascii="ARIAL" w:hAnsi="ARIAL"/>
                <w:sz w:val="19"/>
              </w:rPr>
              <w:t>Tuesday, June 13, 2023</w:t>
            </w:r>
          </w:p>
          <w:p>
            <w:pPr>
              <w:pStyle w:val="TableContents"/>
              <w:spacing w:before="0" w:after="20"/>
              <w:rPr>
                <w:rFonts w:ascii="ARIAL" w:hAnsi="ARIAL"/>
                <w:sz w:val="19"/>
              </w:rPr>
            </w:pPr>
            <w:r>
              <w:rPr>
                <w:rFonts w:ascii="ARIAL" w:hAnsi="ARIAL"/>
                <w:sz w:val="19"/>
              </w:rPr>
              <w:t>10:00 a.m. (Eastern)</w:t>
            </w:r>
          </w:p>
        </w:tc>
        <w:tc>
          <w:tcPr>
            <w:tcW w:w="12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0"/>
              <w:rPr>
                <w:rFonts w:ascii="ARIAL" w:hAnsi="ARIAL"/>
                <w:b/>
                <w:sz w:val="19"/>
              </w:rPr>
            </w:pPr>
            <w:r>
              <w:rPr>
                <w:rFonts w:ascii="ARIAL" w:hAnsi="ARIAL"/>
                <w:b/>
                <w:sz w:val="19"/>
              </w:rPr>
              <w:t>Record Date:</w:t>
            </w:r>
          </w:p>
          <w:p>
            <w:pPr>
              <w:pStyle w:val="TableContents"/>
              <w:spacing w:before="0" w:after="20"/>
              <w:rPr>
                <w:rFonts w:ascii="ARIAL" w:hAnsi="ARIAL"/>
                <w:sz w:val="19"/>
              </w:rPr>
            </w:pPr>
            <w:r>
              <w:rPr>
                <w:rFonts w:ascii="ARIAL" w:hAnsi="ARIAL"/>
                <w:sz w:val="19"/>
              </w:rPr>
              <w:t>April 19, 2023</w:t>
            </w:r>
          </w:p>
        </w:tc>
        <w:tc>
          <w:tcPr>
            <w:tcW w:w="12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rPr>
                <w:rFonts w:ascii="ARIAL" w:hAnsi="ARIAL"/>
                <w:b/>
                <w:sz w:val="19"/>
              </w:rPr>
            </w:pPr>
            <w:r>
              <w:rPr>
                <w:rFonts w:ascii="ARIAL" w:hAnsi="ARIAL"/>
                <w:b/>
                <w:sz w:val="19"/>
              </w:rPr>
              <w:t>Place:</w:t>
            </w:r>
          </w:p>
          <w:p>
            <w:pPr>
              <w:pStyle w:val="TableContents"/>
              <w:spacing w:before="0" w:after="0"/>
              <w:rPr>
                <w:rFonts w:ascii="ARIAL" w:hAnsi="ARIAL"/>
                <w:sz w:val="19"/>
              </w:rPr>
            </w:pPr>
            <w:r>
              <w:rPr>
                <w:rFonts w:ascii="ARIAL" w:hAnsi="ARIAL"/>
                <w:sz w:val="19"/>
              </w:rPr>
              <w:t>The Westin Sarasota</w:t>
            </w:r>
          </w:p>
          <w:p>
            <w:pPr>
              <w:pStyle w:val="TableContents"/>
              <w:spacing w:before="0" w:after="0"/>
              <w:rPr>
                <w:rFonts w:ascii="ARIAL" w:hAnsi="ARIAL"/>
                <w:sz w:val="19"/>
              </w:rPr>
            </w:pPr>
            <w:r>
              <w:rPr>
                <w:rFonts w:ascii="ARIAL" w:hAnsi="ARIAL"/>
                <w:sz w:val="19"/>
              </w:rPr>
              <w:t>100 Marina View Drive</w:t>
            </w:r>
          </w:p>
          <w:p>
            <w:pPr>
              <w:pStyle w:val="TableContents"/>
              <w:spacing w:before="0" w:after="20"/>
              <w:rPr>
                <w:rFonts w:ascii="ARIAL" w:hAnsi="ARIAL"/>
                <w:sz w:val="19"/>
              </w:rPr>
            </w:pPr>
            <w:r>
              <w:rPr>
                <w:rFonts w:ascii="ARIAL" w:hAnsi="ARIAL"/>
                <w:sz w:val="19"/>
              </w:rPr>
              <w:t>Sarasota, Florida 34236</w:t>
            </w:r>
          </w:p>
        </w:tc>
      </w:tr>
    </w:tbl>
    <w:p>
      <w:pPr>
        <w:pStyle w:val="TextBody"/>
        <w:spacing w:before="240" w:after="0"/>
        <w:jc w:val="left"/>
        <w:rPr>
          <w:rFonts w:ascii="ARIAL" w:hAnsi="ARIAL"/>
          <w:b/>
          <w:color w:val="005CB9"/>
          <w:sz w:val="20"/>
          <w:bdr w:val="single" w:sz="8" w:space="1" w:color="005CB9"/>
        </w:rPr>
      </w:pPr>
      <w:r>
        <w:rPr>
          <w:rFonts w:ascii="ARIAL" w:hAnsi="ARIAL"/>
          <w:b/>
          <w:color w:val="005CB9"/>
          <w:sz w:val="20"/>
          <w:bdr w:val="single" w:sz="8" w:space="1" w:color="005CB9"/>
        </w:rPr>
        <w:t xml:space="preserve">VOTING MATTERS AND BOARD RECOMMENDATIONS </w:t>
      </w:r>
    </w:p>
    <w:p>
      <w:pPr>
        <w:pStyle w:val="TextBody"/>
        <w:spacing w:before="0" w:after="0"/>
        <w:jc w:val="left"/>
        <w:rPr>
          <w:bdr w:val="single" w:sz="8" w:space="1" w:color="005CB9"/>
        </w:rPr>
      </w:pPr>
      <w:r>
        <w:rPr>
          <w:bdr w:val="single" w:sz="8" w:space="1" w:color="005CB9"/>
        </w:rPr>
        <w:t> </w:t>
      </w:r>
    </w:p>
    <w:tbl>
      <w:tblPr>
        <w:tblW w:w="10205" w:type="dxa"/>
        <w:jc w:val="left"/>
        <w:tblInd w:w="0" w:type="dxa"/>
        <w:tblCellMar>
          <w:top w:w="0" w:type="dxa"/>
          <w:left w:w="0" w:type="dxa"/>
          <w:bottom w:w="0" w:type="dxa"/>
          <w:right w:w="0" w:type="dxa"/>
        </w:tblCellMar>
      </w:tblPr>
      <w:tblGrid>
        <w:gridCol w:w="275"/>
        <w:gridCol w:w="60"/>
        <w:gridCol w:w="4882"/>
        <w:gridCol w:w="60"/>
        <w:gridCol w:w="2540"/>
        <w:gridCol w:w="60"/>
        <w:gridCol w:w="2328"/>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28" w:type="dxa"/>
            <w:tcBorders/>
            <w:shd w:fill="auto" w:val="clear"/>
            <w:vAlign w:val="center"/>
          </w:tcPr>
          <w:p>
            <w:pPr>
              <w:pStyle w:val="TableContents"/>
              <w:spacing w:before="0" w:after="283"/>
              <w:rPr>
                <w:sz w:val="4"/>
                <w:szCs w:val="4"/>
              </w:rPr>
            </w:pPr>
            <w:r>
              <w:rPr>
                <w:sz w:val="4"/>
                <w:szCs w:val="4"/>
              </w:rPr>
            </w:r>
          </w:p>
        </w:tc>
      </w:tr>
      <w:tr>
        <w:trPr/>
        <w:tc>
          <w:tcPr>
            <w:tcW w:w="5217" w:type="dxa"/>
            <w:gridSpan w:val="3"/>
            <w:tcBorders/>
            <w:shd w:fill="005CB9" w:val="clear"/>
            <w:vAlign w:val="center"/>
          </w:tcPr>
          <w:p>
            <w:pPr>
              <w:pStyle w:val="TableContents"/>
              <w:spacing w:before="0" w:after="283"/>
              <w:rPr>
                <w:color w:val="FFFFFF"/>
              </w:rPr>
            </w:pPr>
            <w:r>
              <w:rPr>
                <w:color w:val="FFFFFF"/>
              </w:rPr>
              <w:t>  </w:t>
            </w:r>
            <w:r>
              <w:rPr>
                <w:color w:val="FFFFFF"/>
              </w:rPr>
              <w:t>Proposals</w:t>
            </w:r>
          </w:p>
        </w:tc>
        <w:tc>
          <w:tcPr>
            <w:tcW w:w="60" w:type="dxa"/>
            <w:tcBorders/>
            <w:shd w:fill="005CB9" w:val="clear"/>
            <w:vAlign w:val="center"/>
          </w:tcPr>
          <w:p>
            <w:pPr>
              <w:pStyle w:val="TableContents"/>
              <w:spacing w:before="0" w:after="283"/>
              <w:rPr/>
            </w:pPr>
            <w:r>
              <w:rPr/>
              <w:t> </w:t>
            </w:r>
          </w:p>
        </w:tc>
        <w:tc>
          <w:tcPr>
            <w:tcW w:w="2540" w:type="dxa"/>
            <w:tcBorders/>
            <w:shd w:fill="005CB9" w:val="clear"/>
            <w:vAlign w:val="center"/>
          </w:tcPr>
          <w:p>
            <w:pPr>
              <w:pStyle w:val="TableContents"/>
              <w:spacing w:before="0" w:after="0"/>
              <w:jc w:val="center"/>
              <w:rPr>
                <w:rFonts w:ascii="arial" w:hAnsi="arial"/>
                <w:color w:val="FFFFFF"/>
                <w:sz w:val="16"/>
              </w:rPr>
            </w:pPr>
            <w:r>
              <w:rPr>
                <w:rFonts w:ascii="arial" w:hAnsi="arial"/>
                <w:color w:val="FFFFFF"/>
                <w:sz w:val="16"/>
              </w:rPr>
              <w:t>Board</w:t>
            </w:r>
          </w:p>
          <w:p>
            <w:pPr>
              <w:pStyle w:val="TableContents"/>
              <w:spacing w:before="0" w:after="20"/>
              <w:jc w:val="center"/>
              <w:rPr>
                <w:rFonts w:ascii="arial" w:hAnsi="arial"/>
                <w:color w:val="FFFFFF"/>
                <w:sz w:val="16"/>
              </w:rPr>
            </w:pPr>
            <w:r>
              <w:rPr>
                <w:rFonts w:ascii="arial" w:hAnsi="arial"/>
                <w:color w:val="FFFFFF"/>
                <w:sz w:val="16"/>
              </w:rPr>
              <w:t>Recommendation</w:t>
            </w:r>
          </w:p>
        </w:tc>
        <w:tc>
          <w:tcPr>
            <w:tcW w:w="60" w:type="dxa"/>
            <w:tcBorders/>
            <w:shd w:fill="005CB9" w:val="clear"/>
            <w:vAlign w:val="center"/>
          </w:tcPr>
          <w:p>
            <w:pPr>
              <w:pStyle w:val="TableContents"/>
              <w:spacing w:before="0" w:after="283"/>
              <w:rPr/>
            </w:pPr>
            <w:r>
              <w:rPr/>
              <w:t> </w:t>
            </w:r>
          </w:p>
        </w:tc>
        <w:tc>
          <w:tcPr>
            <w:tcW w:w="2328" w:type="dxa"/>
            <w:tcBorders/>
            <w:shd w:fill="005CB9" w:val="clear"/>
            <w:vAlign w:val="center"/>
          </w:tcPr>
          <w:p>
            <w:pPr>
              <w:pStyle w:val="TableContents"/>
              <w:spacing w:before="0" w:after="0"/>
              <w:jc w:val="center"/>
              <w:rPr>
                <w:rFonts w:ascii="arial" w:hAnsi="arial"/>
                <w:color w:val="FFFFFF"/>
                <w:sz w:val="16"/>
              </w:rPr>
            </w:pPr>
            <w:r>
              <w:rPr>
                <w:rFonts w:ascii="arial" w:hAnsi="arial"/>
                <w:color w:val="FFFFFF"/>
                <w:sz w:val="16"/>
              </w:rPr>
              <w:t>Vote</w:t>
            </w:r>
          </w:p>
          <w:p>
            <w:pPr>
              <w:pStyle w:val="TableContents"/>
              <w:spacing w:before="0" w:after="20"/>
              <w:jc w:val="center"/>
              <w:rPr>
                <w:rFonts w:ascii="arial" w:hAnsi="arial"/>
                <w:color w:val="FFFFFF"/>
                <w:sz w:val="16"/>
              </w:rPr>
            </w:pPr>
            <w:r>
              <w:rPr>
                <w:rFonts w:ascii="arial" w:hAnsi="arial"/>
                <w:color w:val="FFFFFF"/>
                <w:sz w:val="16"/>
              </w:rPr>
              <w:t>Required</w:t>
            </w:r>
          </w:p>
        </w:tc>
      </w:tr>
      <w:tr>
        <w:trPr/>
        <w:tc>
          <w:tcPr>
            <w:tcW w:w="275" w:type="dxa"/>
            <w:tcBorders/>
            <w:shd w:fill="auto" w:val="clear"/>
            <w:vAlign w:val="center"/>
          </w:tcPr>
          <w:p>
            <w:pPr>
              <w:pStyle w:val="TableContents"/>
              <w:spacing w:before="0" w:after="283"/>
              <w:rPr>
                <w:sz w:val="4"/>
                <w:szCs w:val="4"/>
              </w:rPr>
            </w:pPr>
            <w:r>
              <w:rPr>
                <w:sz w:val="4"/>
                <w:szCs w:val="4"/>
              </w:rPr>
            </w:r>
          </w:p>
        </w:tc>
        <w:tc>
          <w:tcPr>
            <w:tcW w:w="4942" w:type="dxa"/>
            <w:gridSpan w:val="2"/>
            <w:tcBorders/>
            <w:shd w:fill="auto" w:val="clear"/>
            <w:vAlign w:val="center"/>
          </w:tcPr>
          <w:p>
            <w:pPr>
              <w:pStyle w:val="TableContents"/>
              <w:spacing w:before="0" w:after="283"/>
              <w:rPr>
                <w:sz w:val="4"/>
                <w:szCs w:val="4"/>
              </w:rPr>
            </w:pPr>
            <w:r>
              <w:rPr>
                <w:sz w:val="4"/>
                <w:szCs w:val="4"/>
              </w:rPr>
            </w:r>
          </w:p>
        </w:tc>
        <w:tc>
          <w:tcPr>
            <w:tcW w:w="2600" w:type="dxa"/>
            <w:gridSpan w:val="2"/>
            <w:tcBorders/>
            <w:shd w:fill="auto" w:val="clear"/>
            <w:vAlign w:val="center"/>
          </w:tcPr>
          <w:p>
            <w:pPr>
              <w:pStyle w:val="TableContents"/>
              <w:spacing w:before="0" w:after="283"/>
              <w:rPr>
                <w:sz w:val="4"/>
                <w:szCs w:val="4"/>
              </w:rPr>
            </w:pPr>
            <w:r>
              <w:rPr>
                <w:sz w:val="4"/>
                <w:szCs w:val="4"/>
              </w:rPr>
            </w:r>
          </w:p>
        </w:tc>
        <w:tc>
          <w:tcPr>
            <w:tcW w:w="2388" w:type="dxa"/>
            <w:gridSpan w:val="2"/>
            <w:tcBorders/>
            <w:shd w:fill="auto" w:val="clear"/>
            <w:vAlign w:val="center"/>
          </w:tcPr>
          <w:p>
            <w:pPr>
              <w:pStyle w:val="TableContents"/>
              <w:spacing w:before="0" w:after="283"/>
              <w:rPr>
                <w:sz w:val="4"/>
                <w:szCs w:val="4"/>
              </w:rPr>
            </w:pPr>
            <w:r>
              <w:rPr>
                <w:sz w:val="4"/>
                <w:szCs w:val="4"/>
              </w:rPr>
            </w:r>
          </w:p>
        </w:tc>
      </w:tr>
      <w:tr>
        <w:trPr/>
        <w:tc>
          <w:tcPr>
            <w:tcW w:w="275" w:type="dxa"/>
            <w:tcBorders>
              <w:bottom w:val="single" w:sz="6" w:space="0" w:color="005CB9"/>
            </w:tcBorders>
            <w:shd w:fill="auto" w:val="clear"/>
            <w:tcMar>
              <w:bottom w:w="60" w:type="dxa"/>
            </w:tcMar>
            <w:vAlign w:val="center"/>
          </w:tcPr>
          <w:p>
            <w:pPr>
              <w:pStyle w:val="TableContents"/>
              <w:spacing w:before="0" w:after="0"/>
              <w:jc w:val="right"/>
              <w:rPr/>
            </w:pPr>
            <w:r>
              <w:rPr/>
              <w:t>  </w:t>
            </w:r>
            <w:r>
              <w:rPr>
                <w:rFonts w:ascii="ARIAL" w:hAnsi="ARIAL"/>
                <w:b/>
                <w:sz w:val="19"/>
              </w:rPr>
              <w:t>1:</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4882" w:type="dxa"/>
            <w:tcBorders>
              <w:bottom w:val="single" w:sz="6" w:space="0" w:color="005CB9"/>
            </w:tcBorders>
            <w:shd w:fill="auto" w:val="clear"/>
            <w:tcMar>
              <w:bottom w:w="60" w:type="dxa"/>
            </w:tcMar>
            <w:vAlign w:val="center"/>
          </w:tcPr>
          <w:p>
            <w:pPr>
              <w:pStyle w:val="TableContents"/>
              <w:spacing w:before="0" w:after="283"/>
              <w:rPr/>
            </w:pPr>
            <w:r>
              <w:rPr/>
              <w:t>Election of nine directors for a one-year term</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2540" w:type="dxa"/>
            <w:tcBorders>
              <w:bottom w:val="single" w:sz="6" w:space="0" w:color="005CB9"/>
            </w:tcBorders>
            <w:shd w:fill="auto" w:val="clear"/>
            <w:tcMar>
              <w:bottom w:w="60" w:type="dxa"/>
            </w:tcMar>
            <w:vAlign w:val="center"/>
          </w:tcPr>
          <w:p>
            <w:pPr>
              <w:pStyle w:val="TableContents"/>
              <w:spacing w:before="0" w:after="283"/>
              <w:rPr>
                <w:b/>
              </w:rPr>
            </w:pPr>
            <w:r>
              <w:rPr>
                <w:b/>
              </w:rPr>
              <w:t>FOR EACH NOMINEE</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2328" w:type="dxa"/>
            <w:tcBorders>
              <w:bottom w:val="single" w:sz="6" w:space="0" w:color="005CB9"/>
            </w:tcBorders>
            <w:shd w:fill="auto" w:val="clear"/>
            <w:tcMar>
              <w:bottom w:w="60" w:type="dxa"/>
            </w:tcMar>
            <w:vAlign w:val="center"/>
          </w:tcPr>
          <w:p>
            <w:pPr>
              <w:pStyle w:val="TableContents"/>
              <w:spacing w:before="0" w:after="283"/>
              <w:rPr/>
            </w:pPr>
            <w:r>
              <w:rPr/>
              <w:t>Majority of votes cast</w:t>
            </w:r>
          </w:p>
        </w:tc>
      </w:tr>
      <w:tr>
        <w:trPr/>
        <w:tc>
          <w:tcPr>
            <w:tcW w:w="275" w:type="dxa"/>
            <w:tcBorders/>
            <w:shd w:fill="auto" w:val="clear"/>
            <w:vAlign w:val="center"/>
          </w:tcPr>
          <w:p>
            <w:pPr>
              <w:pStyle w:val="TableContents"/>
              <w:spacing w:before="0" w:after="283"/>
              <w:rPr>
                <w:sz w:val="4"/>
                <w:szCs w:val="4"/>
              </w:rPr>
            </w:pPr>
            <w:r>
              <w:rPr>
                <w:sz w:val="4"/>
                <w:szCs w:val="4"/>
              </w:rPr>
            </w:r>
          </w:p>
        </w:tc>
        <w:tc>
          <w:tcPr>
            <w:tcW w:w="4942" w:type="dxa"/>
            <w:gridSpan w:val="2"/>
            <w:tcBorders/>
            <w:shd w:fill="auto" w:val="clear"/>
            <w:vAlign w:val="center"/>
          </w:tcPr>
          <w:p>
            <w:pPr>
              <w:pStyle w:val="TableContents"/>
              <w:spacing w:before="0" w:after="283"/>
              <w:rPr>
                <w:sz w:val="4"/>
                <w:szCs w:val="4"/>
              </w:rPr>
            </w:pPr>
            <w:r>
              <w:rPr>
                <w:sz w:val="4"/>
                <w:szCs w:val="4"/>
              </w:rPr>
            </w:r>
          </w:p>
        </w:tc>
        <w:tc>
          <w:tcPr>
            <w:tcW w:w="2600" w:type="dxa"/>
            <w:gridSpan w:val="2"/>
            <w:tcBorders/>
            <w:shd w:fill="auto" w:val="clear"/>
            <w:vAlign w:val="center"/>
          </w:tcPr>
          <w:p>
            <w:pPr>
              <w:pStyle w:val="TableContents"/>
              <w:spacing w:before="0" w:after="283"/>
              <w:rPr>
                <w:sz w:val="4"/>
                <w:szCs w:val="4"/>
              </w:rPr>
            </w:pPr>
            <w:r>
              <w:rPr>
                <w:sz w:val="4"/>
                <w:szCs w:val="4"/>
              </w:rPr>
            </w:r>
          </w:p>
        </w:tc>
        <w:tc>
          <w:tcPr>
            <w:tcW w:w="2388" w:type="dxa"/>
            <w:gridSpan w:val="2"/>
            <w:tcBorders/>
            <w:shd w:fill="auto" w:val="clear"/>
            <w:vAlign w:val="center"/>
          </w:tcPr>
          <w:p>
            <w:pPr>
              <w:pStyle w:val="TableContents"/>
              <w:spacing w:before="0" w:after="283"/>
              <w:rPr>
                <w:sz w:val="4"/>
                <w:szCs w:val="4"/>
              </w:rPr>
            </w:pPr>
            <w:r>
              <w:rPr>
                <w:sz w:val="4"/>
                <w:szCs w:val="4"/>
              </w:rPr>
            </w:r>
          </w:p>
        </w:tc>
      </w:tr>
      <w:tr>
        <w:trPr/>
        <w:tc>
          <w:tcPr>
            <w:tcW w:w="275" w:type="dxa"/>
            <w:tcBorders>
              <w:bottom w:val="single" w:sz="6" w:space="0" w:color="005CB9"/>
            </w:tcBorders>
            <w:shd w:fill="auto" w:val="clear"/>
            <w:tcMar>
              <w:bottom w:w="60" w:type="dxa"/>
            </w:tcMar>
            <w:vAlign w:val="center"/>
          </w:tcPr>
          <w:p>
            <w:pPr>
              <w:pStyle w:val="TableContents"/>
              <w:spacing w:before="0" w:after="0"/>
              <w:jc w:val="right"/>
              <w:rPr/>
            </w:pPr>
            <w:r>
              <w:rPr/>
              <w:t>  </w:t>
            </w:r>
            <w:r>
              <w:rPr>
                <w:rFonts w:ascii="ARIAL" w:hAnsi="ARIAL"/>
                <w:b/>
                <w:sz w:val="19"/>
              </w:rPr>
              <w:t>2:</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4882" w:type="dxa"/>
            <w:tcBorders>
              <w:bottom w:val="single" w:sz="6" w:space="0" w:color="005CB9"/>
            </w:tcBorders>
            <w:shd w:fill="auto" w:val="clear"/>
            <w:tcMar>
              <w:bottom w:w="60" w:type="dxa"/>
            </w:tcMar>
            <w:vAlign w:val="center"/>
          </w:tcPr>
          <w:p>
            <w:pPr>
              <w:pStyle w:val="TableContents"/>
              <w:spacing w:before="0" w:after="283"/>
              <w:rPr/>
            </w:pPr>
            <w:r>
              <w:rPr/>
              <w:t>Advisory vote to approve the compensation of our named executive officers</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2540" w:type="dxa"/>
            <w:tcBorders>
              <w:bottom w:val="single" w:sz="6" w:space="0" w:color="005CB9"/>
            </w:tcBorders>
            <w:shd w:fill="auto" w:val="clear"/>
            <w:tcMar>
              <w:bottom w:w="60" w:type="dxa"/>
            </w:tcMar>
            <w:vAlign w:val="center"/>
          </w:tcPr>
          <w:p>
            <w:pPr>
              <w:pStyle w:val="TableContents"/>
              <w:spacing w:before="0" w:after="283"/>
              <w:rPr>
                <w:b/>
              </w:rPr>
            </w:pPr>
            <w:r>
              <w:rPr>
                <w:b/>
              </w:rPr>
              <w:t>FOR</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2328" w:type="dxa"/>
            <w:tcBorders>
              <w:bottom w:val="single" w:sz="6" w:space="0" w:color="005CB9"/>
            </w:tcBorders>
            <w:shd w:fill="auto" w:val="clear"/>
            <w:tcMar>
              <w:bottom w:w="60" w:type="dxa"/>
            </w:tcMar>
            <w:vAlign w:val="center"/>
          </w:tcPr>
          <w:p>
            <w:pPr>
              <w:pStyle w:val="TableContents"/>
              <w:spacing w:before="0" w:after="283"/>
              <w:rPr/>
            </w:pPr>
            <w:r>
              <w:rPr/>
              <w:t>Majority of shares present in person or represented by proxy</w:t>
            </w:r>
          </w:p>
        </w:tc>
      </w:tr>
      <w:tr>
        <w:trPr/>
        <w:tc>
          <w:tcPr>
            <w:tcW w:w="275" w:type="dxa"/>
            <w:tcBorders/>
            <w:shd w:fill="auto" w:val="clear"/>
            <w:vAlign w:val="center"/>
          </w:tcPr>
          <w:p>
            <w:pPr>
              <w:pStyle w:val="TableContents"/>
              <w:spacing w:before="0" w:after="283"/>
              <w:rPr>
                <w:sz w:val="4"/>
                <w:szCs w:val="4"/>
              </w:rPr>
            </w:pPr>
            <w:r>
              <w:rPr>
                <w:sz w:val="4"/>
                <w:szCs w:val="4"/>
              </w:rPr>
            </w:r>
          </w:p>
        </w:tc>
        <w:tc>
          <w:tcPr>
            <w:tcW w:w="4942" w:type="dxa"/>
            <w:gridSpan w:val="2"/>
            <w:tcBorders/>
            <w:shd w:fill="auto" w:val="clear"/>
            <w:vAlign w:val="center"/>
          </w:tcPr>
          <w:p>
            <w:pPr>
              <w:pStyle w:val="TableContents"/>
              <w:spacing w:before="0" w:after="283"/>
              <w:rPr>
                <w:sz w:val="4"/>
                <w:szCs w:val="4"/>
              </w:rPr>
            </w:pPr>
            <w:r>
              <w:rPr>
                <w:sz w:val="4"/>
                <w:szCs w:val="4"/>
              </w:rPr>
            </w:r>
          </w:p>
        </w:tc>
        <w:tc>
          <w:tcPr>
            <w:tcW w:w="2600" w:type="dxa"/>
            <w:gridSpan w:val="2"/>
            <w:tcBorders/>
            <w:shd w:fill="auto" w:val="clear"/>
            <w:vAlign w:val="center"/>
          </w:tcPr>
          <w:p>
            <w:pPr>
              <w:pStyle w:val="TableContents"/>
              <w:spacing w:before="0" w:after="283"/>
              <w:rPr>
                <w:sz w:val="4"/>
                <w:szCs w:val="4"/>
              </w:rPr>
            </w:pPr>
            <w:r>
              <w:rPr>
                <w:sz w:val="4"/>
                <w:szCs w:val="4"/>
              </w:rPr>
            </w:r>
          </w:p>
        </w:tc>
        <w:tc>
          <w:tcPr>
            <w:tcW w:w="2388" w:type="dxa"/>
            <w:gridSpan w:val="2"/>
            <w:tcBorders/>
            <w:shd w:fill="auto" w:val="clear"/>
            <w:vAlign w:val="center"/>
          </w:tcPr>
          <w:p>
            <w:pPr>
              <w:pStyle w:val="TableContents"/>
              <w:spacing w:before="0" w:after="283"/>
              <w:rPr>
                <w:sz w:val="4"/>
                <w:szCs w:val="4"/>
              </w:rPr>
            </w:pPr>
            <w:r>
              <w:rPr>
                <w:sz w:val="4"/>
                <w:szCs w:val="4"/>
              </w:rPr>
            </w:r>
          </w:p>
        </w:tc>
      </w:tr>
      <w:tr>
        <w:trPr/>
        <w:tc>
          <w:tcPr>
            <w:tcW w:w="275" w:type="dxa"/>
            <w:tcBorders>
              <w:bottom w:val="single" w:sz="6" w:space="0" w:color="005CB9"/>
            </w:tcBorders>
            <w:shd w:fill="auto" w:val="clear"/>
            <w:tcMar>
              <w:bottom w:w="60" w:type="dxa"/>
            </w:tcMar>
            <w:vAlign w:val="center"/>
          </w:tcPr>
          <w:p>
            <w:pPr>
              <w:pStyle w:val="TableContents"/>
              <w:spacing w:before="0" w:after="0"/>
              <w:jc w:val="right"/>
              <w:rPr/>
            </w:pPr>
            <w:r>
              <w:rPr/>
              <w:t>  </w:t>
            </w:r>
            <w:r>
              <w:rPr>
                <w:rFonts w:ascii="ARIAL" w:hAnsi="ARIAL"/>
                <w:b/>
                <w:sz w:val="19"/>
              </w:rPr>
              <w:t>3:</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4882" w:type="dxa"/>
            <w:tcBorders>
              <w:bottom w:val="single" w:sz="6" w:space="0" w:color="005CB9"/>
            </w:tcBorders>
            <w:shd w:fill="auto" w:val="clear"/>
            <w:tcMar>
              <w:bottom w:w="60" w:type="dxa"/>
            </w:tcMar>
            <w:vAlign w:val="center"/>
          </w:tcPr>
          <w:p>
            <w:pPr>
              <w:pStyle w:val="TableContents"/>
              <w:spacing w:before="0" w:after="283"/>
              <w:rPr/>
            </w:pPr>
            <w:r>
              <w:rPr/>
              <w:t>Advisory vote on the frequency of the shareholder vote on the compensation of our named executive officers</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2540" w:type="dxa"/>
            <w:tcBorders>
              <w:bottom w:val="single" w:sz="6" w:space="0" w:color="005CB9"/>
            </w:tcBorders>
            <w:shd w:fill="auto" w:val="clear"/>
            <w:tcMar>
              <w:bottom w:w="60" w:type="dxa"/>
            </w:tcMar>
            <w:vAlign w:val="center"/>
          </w:tcPr>
          <w:p>
            <w:pPr>
              <w:pStyle w:val="TableContents"/>
              <w:spacing w:before="0" w:after="283"/>
              <w:rPr>
                <w:b/>
              </w:rPr>
            </w:pPr>
            <w:r>
              <w:rPr>
                <w:b/>
              </w:rPr>
              <w:t>YEARLY</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2328" w:type="dxa"/>
            <w:tcBorders>
              <w:bottom w:val="single" w:sz="6" w:space="0" w:color="005CB9"/>
            </w:tcBorders>
            <w:shd w:fill="auto" w:val="clear"/>
            <w:tcMar>
              <w:bottom w:w="60" w:type="dxa"/>
            </w:tcMar>
            <w:vAlign w:val="center"/>
          </w:tcPr>
          <w:p>
            <w:pPr>
              <w:pStyle w:val="TableContents"/>
              <w:spacing w:before="0" w:after="283"/>
              <w:rPr/>
            </w:pPr>
            <w:r>
              <w:rPr/>
              <w:t>Plurality of shares present in person or represented by proxy</w:t>
            </w:r>
          </w:p>
        </w:tc>
      </w:tr>
      <w:tr>
        <w:trPr/>
        <w:tc>
          <w:tcPr>
            <w:tcW w:w="275" w:type="dxa"/>
            <w:tcBorders/>
            <w:shd w:fill="auto" w:val="clear"/>
            <w:vAlign w:val="center"/>
          </w:tcPr>
          <w:p>
            <w:pPr>
              <w:pStyle w:val="TableContents"/>
              <w:spacing w:before="0" w:after="283"/>
              <w:rPr>
                <w:sz w:val="4"/>
                <w:szCs w:val="4"/>
              </w:rPr>
            </w:pPr>
            <w:r>
              <w:rPr>
                <w:sz w:val="4"/>
                <w:szCs w:val="4"/>
              </w:rPr>
            </w:r>
          </w:p>
        </w:tc>
        <w:tc>
          <w:tcPr>
            <w:tcW w:w="4942" w:type="dxa"/>
            <w:gridSpan w:val="2"/>
            <w:tcBorders/>
            <w:shd w:fill="auto" w:val="clear"/>
            <w:vAlign w:val="center"/>
          </w:tcPr>
          <w:p>
            <w:pPr>
              <w:pStyle w:val="TableContents"/>
              <w:spacing w:before="0" w:after="283"/>
              <w:rPr>
                <w:sz w:val="4"/>
                <w:szCs w:val="4"/>
              </w:rPr>
            </w:pPr>
            <w:r>
              <w:rPr>
                <w:sz w:val="4"/>
                <w:szCs w:val="4"/>
              </w:rPr>
            </w:r>
          </w:p>
        </w:tc>
        <w:tc>
          <w:tcPr>
            <w:tcW w:w="2600" w:type="dxa"/>
            <w:gridSpan w:val="2"/>
            <w:tcBorders/>
            <w:shd w:fill="auto" w:val="clear"/>
            <w:vAlign w:val="center"/>
          </w:tcPr>
          <w:p>
            <w:pPr>
              <w:pStyle w:val="TableContents"/>
              <w:spacing w:before="0" w:after="283"/>
              <w:rPr>
                <w:sz w:val="4"/>
                <w:szCs w:val="4"/>
              </w:rPr>
            </w:pPr>
            <w:r>
              <w:rPr>
                <w:sz w:val="4"/>
                <w:szCs w:val="4"/>
              </w:rPr>
            </w:r>
          </w:p>
        </w:tc>
        <w:tc>
          <w:tcPr>
            <w:tcW w:w="2388" w:type="dxa"/>
            <w:gridSpan w:val="2"/>
            <w:tcBorders/>
            <w:shd w:fill="auto" w:val="clear"/>
            <w:vAlign w:val="center"/>
          </w:tcPr>
          <w:p>
            <w:pPr>
              <w:pStyle w:val="TableContents"/>
              <w:spacing w:before="0" w:after="283"/>
              <w:rPr>
                <w:sz w:val="4"/>
                <w:szCs w:val="4"/>
              </w:rPr>
            </w:pPr>
            <w:r>
              <w:rPr>
                <w:sz w:val="4"/>
                <w:szCs w:val="4"/>
              </w:rPr>
            </w:r>
          </w:p>
        </w:tc>
      </w:tr>
      <w:tr>
        <w:trPr/>
        <w:tc>
          <w:tcPr>
            <w:tcW w:w="275" w:type="dxa"/>
            <w:tcBorders>
              <w:bottom w:val="single" w:sz="6" w:space="0" w:color="005CB9"/>
            </w:tcBorders>
            <w:shd w:fill="auto" w:val="clear"/>
            <w:tcMar>
              <w:bottom w:w="60" w:type="dxa"/>
            </w:tcMar>
            <w:vAlign w:val="center"/>
          </w:tcPr>
          <w:p>
            <w:pPr>
              <w:pStyle w:val="TableContents"/>
              <w:spacing w:before="0" w:after="0"/>
              <w:jc w:val="right"/>
              <w:rPr/>
            </w:pPr>
            <w:r>
              <w:rPr/>
              <w:t>  </w:t>
            </w:r>
            <w:r>
              <w:rPr>
                <w:rFonts w:ascii="ARIAL" w:hAnsi="ARIAL"/>
                <w:b/>
                <w:sz w:val="19"/>
              </w:rPr>
              <w:t>4:</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4882" w:type="dxa"/>
            <w:tcBorders>
              <w:bottom w:val="single" w:sz="6" w:space="0" w:color="005CB9"/>
            </w:tcBorders>
            <w:shd w:fill="auto" w:val="clear"/>
            <w:tcMar>
              <w:bottom w:w="60" w:type="dxa"/>
            </w:tcMar>
            <w:vAlign w:val="center"/>
          </w:tcPr>
          <w:p>
            <w:pPr>
              <w:pStyle w:val="TableContents"/>
              <w:spacing w:before="0" w:after="283"/>
              <w:rPr/>
            </w:pPr>
            <w:r>
              <w:rPr/>
              <w:t>Ratification of the appointment of PricewaterhouseCoopers LLP as our independent registered public accounting firm for 2023</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2540" w:type="dxa"/>
            <w:tcBorders>
              <w:bottom w:val="single" w:sz="6" w:space="0" w:color="005CB9"/>
            </w:tcBorders>
            <w:shd w:fill="auto" w:val="clear"/>
            <w:tcMar>
              <w:bottom w:w="60" w:type="dxa"/>
            </w:tcMar>
            <w:vAlign w:val="center"/>
          </w:tcPr>
          <w:p>
            <w:pPr>
              <w:pStyle w:val="TableContents"/>
              <w:spacing w:before="0" w:after="283"/>
              <w:rPr>
                <w:b/>
              </w:rPr>
            </w:pPr>
            <w:r>
              <w:rPr>
                <w:b/>
              </w:rPr>
              <w:t>FOR</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2328" w:type="dxa"/>
            <w:tcBorders>
              <w:bottom w:val="single" w:sz="6" w:space="0" w:color="005CB9"/>
            </w:tcBorders>
            <w:shd w:fill="auto" w:val="clear"/>
            <w:tcMar>
              <w:bottom w:w="60" w:type="dxa"/>
            </w:tcMar>
            <w:vAlign w:val="center"/>
          </w:tcPr>
          <w:p>
            <w:pPr>
              <w:pStyle w:val="TableContents"/>
              <w:spacing w:before="0" w:after="283"/>
              <w:rPr/>
            </w:pPr>
            <w:r>
              <w:rPr/>
              <w:t>Majority of shares present in person or represented by proxy</w:t>
            </w:r>
          </w:p>
        </w:tc>
      </w:tr>
      <w:tr>
        <w:trPr/>
        <w:tc>
          <w:tcPr>
            <w:tcW w:w="275" w:type="dxa"/>
            <w:tcBorders/>
            <w:shd w:fill="auto" w:val="clear"/>
            <w:vAlign w:val="center"/>
          </w:tcPr>
          <w:p>
            <w:pPr>
              <w:pStyle w:val="TableContents"/>
              <w:spacing w:before="0" w:after="283"/>
              <w:rPr>
                <w:sz w:val="4"/>
                <w:szCs w:val="4"/>
              </w:rPr>
            </w:pPr>
            <w:r>
              <w:rPr>
                <w:sz w:val="4"/>
                <w:szCs w:val="4"/>
              </w:rPr>
            </w:r>
          </w:p>
        </w:tc>
        <w:tc>
          <w:tcPr>
            <w:tcW w:w="4942" w:type="dxa"/>
            <w:gridSpan w:val="2"/>
            <w:tcBorders/>
            <w:shd w:fill="auto" w:val="clear"/>
            <w:vAlign w:val="center"/>
          </w:tcPr>
          <w:p>
            <w:pPr>
              <w:pStyle w:val="TableContents"/>
              <w:spacing w:before="0" w:after="283"/>
              <w:rPr>
                <w:sz w:val="4"/>
                <w:szCs w:val="4"/>
              </w:rPr>
            </w:pPr>
            <w:r>
              <w:rPr>
                <w:sz w:val="4"/>
                <w:szCs w:val="4"/>
              </w:rPr>
            </w:r>
          </w:p>
        </w:tc>
        <w:tc>
          <w:tcPr>
            <w:tcW w:w="2600" w:type="dxa"/>
            <w:gridSpan w:val="2"/>
            <w:tcBorders/>
            <w:shd w:fill="auto" w:val="clear"/>
            <w:vAlign w:val="center"/>
          </w:tcPr>
          <w:p>
            <w:pPr>
              <w:pStyle w:val="TableContents"/>
              <w:spacing w:before="0" w:after="283"/>
              <w:rPr>
                <w:sz w:val="4"/>
                <w:szCs w:val="4"/>
              </w:rPr>
            </w:pPr>
            <w:r>
              <w:rPr>
                <w:sz w:val="4"/>
                <w:szCs w:val="4"/>
              </w:rPr>
            </w:r>
          </w:p>
        </w:tc>
        <w:tc>
          <w:tcPr>
            <w:tcW w:w="2388" w:type="dxa"/>
            <w:gridSpan w:val="2"/>
            <w:tcBorders/>
            <w:shd w:fill="auto" w:val="clear"/>
            <w:vAlign w:val="center"/>
          </w:tcPr>
          <w:p>
            <w:pPr>
              <w:pStyle w:val="TableContents"/>
              <w:spacing w:before="0" w:after="283"/>
              <w:rPr>
                <w:sz w:val="4"/>
                <w:szCs w:val="4"/>
              </w:rPr>
            </w:pPr>
            <w:r>
              <w:rPr>
                <w:sz w:val="4"/>
                <w:szCs w:val="4"/>
              </w:rPr>
            </w:r>
          </w:p>
        </w:tc>
      </w:tr>
      <w:tr>
        <w:trPr/>
        <w:tc>
          <w:tcPr>
            <w:tcW w:w="275" w:type="dxa"/>
            <w:tcBorders>
              <w:bottom w:val="single" w:sz="6" w:space="0" w:color="005CB9"/>
            </w:tcBorders>
            <w:shd w:fill="auto" w:val="clear"/>
            <w:tcMar>
              <w:bottom w:w="60" w:type="dxa"/>
            </w:tcMar>
            <w:vAlign w:val="center"/>
          </w:tcPr>
          <w:p>
            <w:pPr>
              <w:pStyle w:val="TableContents"/>
              <w:spacing w:before="0" w:after="0"/>
              <w:jc w:val="right"/>
              <w:rPr/>
            </w:pPr>
            <w:r>
              <w:rPr/>
              <w:t>  </w:t>
            </w:r>
            <w:r>
              <w:rPr>
                <w:rFonts w:ascii="ARIAL" w:hAnsi="ARIAL"/>
                <w:b/>
                <w:sz w:val="19"/>
              </w:rPr>
              <w:t>5:</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4882" w:type="dxa"/>
            <w:tcBorders>
              <w:bottom w:val="single" w:sz="6" w:space="0" w:color="005CB9"/>
            </w:tcBorders>
            <w:shd w:fill="auto" w:val="clear"/>
            <w:tcMar>
              <w:bottom w:w="60" w:type="dxa"/>
            </w:tcMar>
            <w:vAlign w:val="center"/>
          </w:tcPr>
          <w:p>
            <w:pPr>
              <w:pStyle w:val="TableContents"/>
              <w:spacing w:before="0" w:after="283"/>
              <w:rPr/>
            </w:pPr>
            <w:r>
              <w:rPr/>
              <w:t>Approval of an amendment to and restatement of our Restated Certificate of Incorporation to permit the exculpation of officers</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2540" w:type="dxa"/>
            <w:tcBorders>
              <w:bottom w:val="single" w:sz="6" w:space="0" w:color="005CB9"/>
            </w:tcBorders>
            <w:shd w:fill="auto" w:val="clear"/>
            <w:tcMar>
              <w:bottom w:w="60" w:type="dxa"/>
            </w:tcMar>
            <w:vAlign w:val="center"/>
          </w:tcPr>
          <w:p>
            <w:pPr>
              <w:pStyle w:val="TableContents"/>
              <w:spacing w:before="0" w:after="283"/>
              <w:rPr>
                <w:b/>
              </w:rPr>
            </w:pPr>
            <w:r>
              <w:rPr>
                <w:b/>
              </w:rPr>
              <w:t>FOR</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2328" w:type="dxa"/>
            <w:tcBorders>
              <w:bottom w:val="single" w:sz="6" w:space="0" w:color="005CB9"/>
            </w:tcBorders>
            <w:shd w:fill="auto" w:val="clear"/>
            <w:tcMar>
              <w:bottom w:w="60" w:type="dxa"/>
            </w:tcMar>
            <w:vAlign w:val="center"/>
          </w:tcPr>
          <w:p>
            <w:pPr>
              <w:pStyle w:val="TableContents"/>
              <w:spacing w:before="0" w:after="283"/>
              <w:rPr/>
            </w:pPr>
            <w:r>
              <w:rPr/>
              <w:t>Majority of shares outstanding</w:t>
            </w:r>
          </w:p>
        </w:tc>
      </w:tr>
    </w:tbl>
    <w:p>
      <w:pPr>
        <w:pStyle w:val="TextBody"/>
        <w:spacing w:before="0" w:after="0"/>
        <w:jc w:val="left"/>
        <w:rPr/>
      </w:pPr>
      <w:r>
        <w:rPr/>
        <w:t> </w:t>
      </w:r>
    </w:p>
    <w:tbl>
      <w:tblPr>
        <w:tblW w:w="601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15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right"/>
              <w:rPr>
                <w:color w:val="005CB9"/>
              </w:rPr>
            </w:pPr>
            <w:r>
              <w:rPr>
                <w:color w:val="005CB9"/>
              </w:rPr>
              <w:t> </w:t>
            </w:r>
            <w:r>
              <w:rPr>
                <w:b/>
                <w:color w:val="005CB9"/>
              </w:rPr>
              <w:t>i</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20"/>
        </w:rPr>
      </w:pPr>
      <w:r>
        <w:rPr>
          <w:rFonts w:ascii="ARIAL" w:hAnsi="ARIAL"/>
          <w:color w:val="005CB9"/>
          <w:sz w:val="20"/>
        </w:rPr>
        <w:t xml:space="preserve">PROXY STATEMENT SUMMARY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ind w:left="0" w:right="0" w:hanging="0"/>
        <w:jc w:val="left"/>
        <w:rPr>
          <w:rFonts w:ascii="ARIAL" w:hAnsi="ARIAL"/>
          <w:b/>
          <w:color w:val="005CB9"/>
          <w:sz w:val="20"/>
          <w:bdr w:val="single" w:sz="8" w:space="1" w:color="005CB9"/>
        </w:rPr>
      </w:pPr>
      <w:r>
        <w:rPr>
          <w:rFonts w:ascii="ARIAL" w:hAnsi="ARIAL"/>
          <w:b/>
          <w:color w:val="005CB9"/>
          <w:sz w:val="20"/>
          <w:bdr w:val="single" w:sz="8" w:space="1" w:color="005CB9"/>
        </w:rPr>
        <w:t xml:space="preserve">2023 DIRECTOR NOMINEES </w:t>
      </w:r>
    </w:p>
    <w:p>
      <w:pPr>
        <w:pStyle w:val="TextBody"/>
        <w:spacing w:before="240" w:after="0"/>
        <w:jc w:val="left"/>
        <w:rPr>
          <w:rFonts w:ascii="ARIAL" w:hAnsi="ARIAL"/>
          <w:sz w:val="19"/>
          <w:bdr w:val="single" w:sz="8" w:space="1" w:color="005CB9"/>
        </w:rPr>
      </w:pPr>
      <w:r>
        <w:rPr>
          <w:rFonts w:ascii="ARIAL" w:hAnsi="ARIAL"/>
          <w:sz w:val="19"/>
          <w:bdr w:val="single" w:sz="8" w:space="1" w:color="005CB9"/>
        </w:rPr>
        <w:t xml:space="preserve">Shareholders are electing all nine director nominees who each will serve for a one-year term expiring at the 2024 Annual Meeting of Shareholders (the “2024 Annual Meeting”). </w:t>
      </w:r>
    </w:p>
    <w:p>
      <w:pPr>
        <w:pStyle w:val="TextBody"/>
        <w:spacing w:before="0" w:after="0"/>
        <w:jc w:val="left"/>
        <w:rPr>
          <w:bdr w:val="single" w:sz="8" w:space="1" w:color="005CB9"/>
        </w:rPr>
      </w:pPr>
      <w:r>
        <w:rPr>
          <w:bdr w:val="single" w:sz="8" w:space="1" w:color="005CB9"/>
        </w:rPr>
        <w:t> </w:t>
      </w:r>
    </w:p>
    <w:tbl>
      <w:tblPr>
        <w:tblW w:w="9740" w:type="dxa"/>
        <w:jc w:val="left"/>
        <w:tblInd w:w="0" w:type="dxa"/>
        <w:tblCellMar>
          <w:top w:w="0" w:type="dxa"/>
          <w:left w:w="0" w:type="dxa"/>
          <w:bottom w:w="0" w:type="dxa"/>
          <w:right w:w="0" w:type="dxa"/>
        </w:tblCellMar>
      </w:tblPr>
      <w:tblGrid>
        <w:gridCol w:w="3095"/>
        <w:gridCol w:w="60"/>
        <w:gridCol w:w="425"/>
        <w:gridCol w:w="60"/>
        <w:gridCol w:w="605"/>
        <w:gridCol w:w="60"/>
        <w:gridCol w:w="1190"/>
        <w:gridCol w:w="60"/>
        <w:gridCol w:w="620"/>
        <w:gridCol w:w="60"/>
        <w:gridCol w:w="1018"/>
        <w:gridCol w:w="98"/>
        <w:gridCol w:w="1019"/>
        <w:gridCol w:w="60"/>
        <w:gridCol w:w="1310"/>
      </w:tblGrid>
      <w:tr>
        <w:trPr/>
        <w:tc>
          <w:tcPr>
            <w:tcW w:w="30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r>
      <w:tr>
        <w:trPr/>
        <w:tc>
          <w:tcPr>
            <w:tcW w:w="30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2135" w:type="dxa"/>
            <w:gridSpan w:val="3"/>
            <w:vMerge w:val="restart"/>
            <w:tcBorders/>
            <w:shd w:fill="auto" w:val="clear"/>
            <w:vAlign w:val="center"/>
          </w:tcPr>
          <w:p>
            <w:pPr>
              <w:pStyle w:val="TableContents"/>
              <w:spacing w:before="0" w:after="283"/>
              <w:jc w:val="center"/>
              <w:rPr>
                <w:color w:val="005CB9"/>
              </w:rPr>
            </w:pPr>
            <w:r>
              <w:rPr>
                <w:color w:val="005CB9"/>
              </w:rPr>
              <w:t>COMMITTEES         </w:t>
            </w:r>
          </w:p>
        </w:tc>
        <w:tc>
          <w:tcPr>
            <w:tcW w:w="6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rPr/>
            </w:pPr>
            <w:r>
              <w:rPr/>
              <w:t> </w:t>
            </w:r>
          </w:p>
        </w:tc>
        <w:tc>
          <w:tcPr>
            <w:tcW w:w="60" w:type="dxa"/>
            <w:tcBorders>
              <w:top w:val="single" w:sz="6" w:space="0" w:color="005CB9"/>
              <w:left w:val="single" w:sz="6" w:space="0" w:color="005CB9"/>
            </w:tcBorders>
            <w:shd w:fill="auto" w:val="clear"/>
            <w:tcMar>
              <w:top w:w="28" w:type="dxa"/>
              <w:left w:w="28" w:type="dxa"/>
            </w:tcMar>
            <w:vAlign w:val="center"/>
          </w:tcPr>
          <w:p>
            <w:pPr>
              <w:pStyle w:val="TableContents"/>
              <w:spacing w:before="0" w:after="283"/>
              <w:rPr/>
            </w:pPr>
            <w:r>
              <w:rPr/>
              <w:t> </w:t>
            </w:r>
          </w:p>
        </w:tc>
        <w:tc>
          <w:tcPr>
            <w:tcW w:w="620" w:type="dxa"/>
            <w:tcBorders>
              <w:top w:val="single" w:sz="6" w:space="0" w:color="005CB9"/>
            </w:tcBorders>
            <w:shd w:fill="auto" w:val="clear"/>
            <w:tcMar>
              <w:top w:w="28" w:type="dxa"/>
            </w:tcM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2135" w:type="dxa"/>
            <w:gridSpan w:val="3"/>
            <w:vMerge w:val="continue"/>
            <w:tcBorders/>
            <w:shd w:fill="auto" w:val="clear"/>
            <w:vAlign w:val="center"/>
          </w:tcPr>
          <w:p>
            <w:pPr>
              <w:pStyle w:val="Normal"/>
              <w:rPr/>
            </w:pPr>
            <w:r>
              <w:rPr/>
            </w:r>
          </w:p>
        </w:tc>
        <w:tc>
          <w:tcPr>
            <w:tcW w:w="60" w:type="dxa"/>
            <w:tcBorders>
              <w:top w:val="single" w:sz="6" w:space="0" w:color="005CB9"/>
            </w:tcBorders>
            <w:shd w:fill="auto" w:val="clear"/>
            <w:tcMar>
              <w:top w:w="28" w:type="dxa"/>
            </w:tcMar>
            <w:vAlign w:val="center"/>
          </w:tcPr>
          <w:p>
            <w:pPr>
              <w:pStyle w:val="TableContents"/>
              <w:spacing w:before="0" w:after="283"/>
              <w:rPr/>
            </w:pPr>
            <w:r>
              <w:rPr/>
              <w:t> </w:t>
            </w:r>
          </w:p>
        </w:tc>
        <w:tc>
          <w:tcPr>
            <w:tcW w:w="1310" w:type="dxa"/>
            <w:tcBorders>
              <w:top w:val="single" w:sz="6" w:space="0" w:color="005CB9"/>
              <w:right w:val="single" w:sz="6" w:space="0" w:color="005CB9"/>
            </w:tcBorders>
            <w:shd w:fill="auto" w:val="clear"/>
            <w:tcMar>
              <w:top w:w="28" w:type="dxa"/>
              <w:right w:w="40" w:type="dxa"/>
            </w:tcMar>
            <w:vAlign w:val="center"/>
          </w:tcPr>
          <w:p>
            <w:pPr>
              <w:pStyle w:val="TableContents"/>
              <w:spacing w:before="0" w:after="283"/>
              <w:rPr/>
            </w:pPr>
            <w:r>
              <w:rPr/>
              <w:t>  </w:t>
            </w:r>
          </w:p>
        </w:tc>
      </w:tr>
      <w:tr>
        <w:trPr/>
        <w:tc>
          <w:tcPr>
            <w:tcW w:w="3095" w:type="dxa"/>
            <w:tcBorders/>
            <w:shd w:fill="005CB9" w:val="clear"/>
            <w:vAlign w:val="center"/>
          </w:tcPr>
          <w:p>
            <w:pPr>
              <w:pStyle w:val="TableContents"/>
              <w:spacing w:before="0" w:after="283"/>
              <w:rPr>
                <w:color w:val="FFFFFF"/>
              </w:rPr>
            </w:pPr>
            <w:r>
              <w:rPr>
                <w:color w:val="FFFFFF"/>
              </w:rPr>
              <w:t>  </w:t>
            </w:r>
            <w:r>
              <w:rPr>
                <w:color w:val="FFFFFF"/>
              </w:rPr>
              <w:t>Name and Primary Occupation</w:t>
            </w:r>
          </w:p>
        </w:tc>
        <w:tc>
          <w:tcPr>
            <w:tcW w:w="60" w:type="dxa"/>
            <w:tcBorders/>
            <w:shd w:fill="005CB9" w:val="clear"/>
            <w:vAlign w:val="center"/>
          </w:tcPr>
          <w:p>
            <w:pPr>
              <w:pStyle w:val="TableContents"/>
              <w:spacing w:before="0" w:after="283"/>
              <w:rPr/>
            </w:pPr>
            <w:r>
              <w:rPr/>
              <w:t> </w:t>
            </w:r>
          </w:p>
        </w:tc>
        <w:tc>
          <w:tcPr>
            <w:tcW w:w="425" w:type="dxa"/>
            <w:tcBorders/>
            <w:shd w:fill="005CB9" w:val="clear"/>
            <w:vAlign w:val="center"/>
          </w:tcPr>
          <w:p>
            <w:pPr>
              <w:pStyle w:val="TableContents"/>
              <w:spacing w:before="0" w:after="283"/>
              <w:jc w:val="center"/>
              <w:rPr>
                <w:color w:val="FFFFFF"/>
              </w:rPr>
            </w:pPr>
            <w:r>
              <w:rPr>
                <w:color w:val="FFFFFF"/>
              </w:rPr>
              <w:t>Age</w:t>
            </w:r>
          </w:p>
        </w:tc>
        <w:tc>
          <w:tcPr>
            <w:tcW w:w="60" w:type="dxa"/>
            <w:tcBorders/>
            <w:shd w:fill="005CB9" w:val="clear"/>
            <w:vAlign w:val="center"/>
          </w:tcPr>
          <w:p>
            <w:pPr>
              <w:pStyle w:val="TableContents"/>
              <w:spacing w:before="0" w:after="283"/>
              <w:rPr/>
            </w:pPr>
            <w:r>
              <w:rPr/>
              <w:t> </w:t>
            </w:r>
          </w:p>
        </w:tc>
        <w:tc>
          <w:tcPr>
            <w:tcW w:w="605" w:type="dxa"/>
            <w:tcBorders/>
            <w:shd w:fill="005CB9" w:val="clear"/>
            <w:vAlign w:val="center"/>
          </w:tcPr>
          <w:p>
            <w:pPr>
              <w:pStyle w:val="TableContents"/>
              <w:spacing w:before="0" w:after="0"/>
              <w:jc w:val="center"/>
              <w:rPr>
                <w:rFonts w:ascii="arial" w:hAnsi="arial"/>
                <w:color w:val="FFFFFF"/>
                <w:sz w:val="16"/>
              </w:rPr>
            </w:pPr>
            <w:r>
              <w:rPr>
                <w:rFonts w:ascii="arial" w:hAnsi="arial"/>
                <w:color w:val="FFFFFF"/>
                <w:sz w:val="16"/>
              </w:rPr>
              <w:t>Director</w:t>
            </w:r>
          </w:p>
          <w:p>
            <w:pPr>
              <w:pStyle w:val="TableContents"/>
              <w:spacing w:before="0" w:after="20"/>
              <w:jc w:val="center"/>
              <w:rPr>
                <w:rFonts w:ascii="arial" w:hAnsi="arial"/>
                <w:color w:val="FFFFFF"/>
                <w:sz w:val="16"/>
              </w:rPr>
            </w:pPr>
            <w:r>
              <w:rPr>
                <w:rFonts w:ascii="arial" w:hAnsi="arial"/>
                <w:color w:val="FFFFFF"/>
                <w:sz w:val="16"/>
              </w:rPr>
              <w:t>Since</w:t>
            </w:r>
          </w:p>
        </w:tc>
        <w:tc>
          <w:tcPr>
            <w:tcW w:w="60" w:type="dxa"/>
            <w:tcBorders/>
            <w:shd w:fill="005CB9" w:val="clear"/>
            <w:vAlign w:val="center"/>
          </w:tcPr>
          <w:p>
            <w:pPr>
              <w:pStyle w:val="TableContents"/>
              <w:spacing w:before="0" w:after="283"/>
              <w:rPr/>
            </w:pPr>
            <w:r>
              <w:rPr/>
              <w:t> </w:t>
            </w:r>
          </w:p>
        </w:tc>
        <w:tc>
          <w:tcPr>
            <w:tcW w:w="1190" w:type="dxa"/>
            <w:tcBorders/>
            <w:shd w:fill="005CB9" w:val="clear"/>
            <w:vAlign w:val="center"/>
          </w:tcPr>
          <w:p>
            <w:pPr>
              <w:pStyle w:val="TableContents"/>
              <w:spacing w:before="0" w:after="283"/>
              <w:jc w:val="center"/>
              <w:rPr>
                <w:color w:val="FFFFFF"/>
              </w:rPr>
            </w:pPr>
            <w:r>
              <w:rPr>
                <w:color w:val="FFFFFF"/>
              </w:rPr>
              <w:t>Independent</w:t>
            </w:r>
          </w:p>
        </w:tc>
        <w:tc>
          <w:tcPr>
            <w:tcW w:w="60" w:type="dxa"/>
            <w:tcBorders/>
            <w:shd w:fill="005CB9" w:val="clear"/>
            <w:vAlign w:val="center"/>
          </w:tcPr>
          <w:p>
            <w:pPr>
              <w:pStyle w:val="TableContents"/>
              <w:spacing w:before="0" w:after="283"/>
              <w:rPr/>
            </w:pPr>
            <w:r>
              <w:rPr/>
              <w:t> </w:t>
            </w:r>
          </w:p>
        </w:tc>
        <w:tc>
          <w:tcPr>
            <w:tcW w:w="620" w:type="dxa"/>
            <w:tcBorders/>
            <w:shd w:fill="005CB9" w:val="clear"/>
            <w:vAlign w:val="center"/>
          </w:tcPr>
          <w:p>
            <w:pPr>
              <w:pStyle w:val="TableContents"/>
              <w:spacing w:before="0" w:after="283"/>
              <w:jc w:val="center"/>
              <w:rPr>
                <w:color w:val="FFFFFF"/>
              </w:rPr>
            </w:pPr>
            <w:r>
              <w:rPr>
                <w:color w:val="FFFFFF"/>
              </w:rPr>
              <w:t>AC</w:t>
            </w:r>
          </w:p>
        </w:tc>
        <w:tc>
          <w:tcPr>
            <w:tcW w:w="60" w:type="dxa"/>
            <w:tcBorders/>
            <w:shd w:fill="005CB9" w:val="clear"/>
            <w:vAlign w:val="center"/>
          </w:tcPr>
          <w:p>
            <w:pPr>
              <w:pStyle w:val="TableContents"/>
              <w:spacing w:before="0" w:after="283"/>
              <w:rPr/>
            </w:pPr>
            <w:r>
              <w:rPr/>
              <w:t> </w:t>
            </w:r>
          </w:p>
        </w:tc>
        <w:tc>
          <w:tcPr>
            <w:tcW w:w="1018" w:type="dxa"/>
            <w:tcBorders/>
            <w:shd w:fill="005CB9" w:val="clear"/>
            <w:vAlign w:val="center"/>
          </w:tcPr>
          <w:p>
            <w:pPr>
              <w:pStyle w:val="TableContents"/>
              <w:spacing w:before="0" w:after="283"/>
              <w:jc w:val="center"/>
              <w:rPr>
                <w:color w:val="FFFFFF"/>
              </w:rPr>
            </w:pPr>
            <w:r>
              <w:rPr>
                <w:color w:val="FFFFFF"/>
              </w:rPr>
              <w:t>CC</w:t>
            </w:r>
          </w:p>
        </w:tc>
        <w:tc>
          <w:tcPr>
            <w:tcW w:w="98" w:type="dxa"/>
            <w:tcBorders/>
            <w:shd w:fill="005CB9" w:val="clear"/>
            <w:vAlign w:val="center"/>
          </w:tcPr>
          <w:p>
            <w:pPr>
              <w:pStyle w:val="TableContents"/>
              <w:spacing w:before="0" w:after="283"/>
              <w:rPr/>
            </w:pPr>
            <w:r>
              <w:rPr/>
              <w:t> </w:t>
            </w:r>
          </w:p>
        </w:tc>
        <w:tc>
          <w:tcPr>
            <w:tcW w:w="1019" w:type="dxa"/>
            <w:tcBorders/>
            <w:shd w:fill="005CB9" w:val="clear"/>
            <w:vAlign w:val="center"/>
          </w:tcPr>
          <w:p>
            <w:pPr>
              <w:pStyle w:val="TableContents"/>
              <w:spacing w:before="0" w:after="283"/>
              <w:jc w:val="center"/>
              <w:rPr>
                <w:color w:val="FFFFFF"/>
              </w:rPr>
            </w:pPr>
            <w:r>
              <w:rPr>
                <w:color w:val="FFFFFF"/>
              </w:rPr>
              <w:t>NGC</w:t>
            </w:r>
          </w:p>
        </w:tc>
        <w:tc>
          <w:tcPr>
            <w:tcW w:w="60" w:type="dxa"/>
            <w:tcBorders/>
            <w:shd w:fill="005CB9" w:val="clear"/>
            <w:vAlign w:val="center"/>
          </w:tcPr>
          <w:p>
            <w:pPr>
              <w:pStyle w:val="TableContents"/>
              <w:spacing w:before="0" w:after="283"/>
              <w:rPr/>
            </w:pPr>
            <w:r>
              <w:rPr/>
              <w:t> </w:t>
            </w:r>
          </w:p>
        </w:tc>
        <w:tc>
          <w:tcPr>
            <w:tcW w:w="1310" w:type="dxa"/>
            <w:tcBorders/>
            <w:shd w:fill="005CB9" w:val="clear"/>
            <w:vAlign w:val="center"/>
          </w:tcPr>
          <w:p>
            <w:pPr>
              <w:pStyle w:val="TableContents"/>
              <w:spacing w:before="0" w:after="283"/>
              <w:jc w:val="center"/>
              <w:rPr>
                <w:color w:val="FFFFFF"/>
              </w:rPr>
            </w:pPr>
            <w:r>
              <w:rPr>
                <w:color w:val="FFFFFF"/>
              </w:rPr>
              <w:t>        </w:t>
            </w:r>
            <w:r>
              <w:rPr>
                <w:color w:val="FFFFFF"/>
              </w:rPr>
              <w:t>EC        </w:t>
            </w:r>
          </w:p>
        </w:tc>
      </w:tr>
      <w:tr>
        <w:trPr/>
        <w:tc>
          <w:tcPr>
            <w:tcW w:w="3095"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665" w:type="dxa"/>
            <w:gridSpan w:val="2"/>
            <w:tcBorders/>
            <w:shd w:fill="auto" w:val="clear"/>
            <w:vAlign w:val="center"/>
          </w:tcPr>
          <w:p>
            <w:pPr>
              <w:pStyle w:val="TableContents"/>
              <w:spacing w:before="0" w:after="283"/>
              <w:rPr>
                <w:sz w:val="4"/>
                <w:szCs w:val="4"/>
              </w:rPr>
            </w:pPr>
            <w:r>
              <w:rPr>
                <w:sz w:val="4"/>
                <w:szCs w:val="4"/>
              </w:rPr>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680" w:type="dxa"/>
            <w:gridSpan w:val="2"/>
            <w:tcBorders/>
            <w:shd w:fill="auto" w:val="clear"/>
            <w:vAlign w:val="center"/>
          </w:tcPr>
          <w:p>
            <w:pPr>
              <w:pStyle w:val="TableContents"/>
              <w:spacing w:before="0" w:after="283"/>
              <w:rPr>
                <w:sz w:val="4"/>
                <w:szCs w:val="4"/>
              </w:rPr>
            </w:pPr>
            <w:r>
              <w:rPr>
                <w:sz w:val="4"/>
                <w:szCs w:val="4"/>
              </w:rPr>
            </w:r>
          </w:p>
        </w:tc>
        <w:tc>
          <w:tcPr>
            <w:tcW w:w="1078"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370" w:type="dxa"/>
            <w:gridSpan w:val="2"/>
            <w:tcBorders/>
            <w:shd w:fill="auto" w:val="clear"/>
            <w:vAlign w:val="center"/>
          </w:tcPr>
          <w:p>
            <w:pPr>
              <w:pStyle w:val="TableContents"/>
              <w:spacing w:before="0" w:after="283"/>
              <w:rPr>
                <w:sz w:val="4"/>
                <w:szCs w:val="4"/>
              </w:rPr>
            </w:pPr>
            <w:r>
              <w:rPr>
                <w:sz w:val="4"/>
                <w:szCs w:val="4"/>
              </w:rPr>
            </w:r>
          </w:p>
        </w:tc>
      </w:tr>
      <w:tr>
        <w:trPr/>
        <w:tc>
          <w:tcPr>
            <w:tcW w:w="3095" w:type="dxa"/>
            <w:tcBorders>
              <w:bottom w:val="single" w:sz="6" w:space="0" w:color="005CB9"/>
            </w:tcBorders>
            <w:shd w:fill="auto" w:val="clear"/>
            <w:tcMar>
              <w:bottom w:w="60" w:type="dxa"/>
            </w:tcMar>
            <w:vAlign w:val="center"/>
          </w:tcPr>
          <w:p>
            <w:pPr>
              <w:pStyle w:val="TableContents"/>
              <w:spacing w:before="0" w:after="0"/>
              <w:rPr/>
            </w:pPr>
            <w:r>
              <w:rPr/>
              <w:t>  </w:t>
            </w:r>
            <w:r>
              <w:rPr>
                <w:rFonts w:ascii="ARIAL" w:hAnsi="ARIAL"/>
                <w:b/>
                <w:sz w:val="16"/>
              </w:rPr>
              <w:t>Shellye L. Archambeau</w:t>
            </w:r>
          </w:p>
          <w:p>
            <w:pPr>
              <w:pStyle w:val="TableContents"/>
              <w:spacing w:before="0" w:after="0"/>
              <w:rPr/>
            </w:pPr>
            <w:r>
              <w:rPr/>
              <w:t>  </w:t>
            </w:r>
            <w:r>
              <w:rPr>
                <w:rFonts w:ascii="ARIAL" w:hAnsi="ARIAL"/>
                <w:sz w:val="16"/>
              </w:rPr>
              <w:t>Former Chief Executive Officer,</w:t>
            </w:r>
          </w:p>
          <w:p>
            <w:pPr>
              <w:pStyle w:val="TableContents"/>
              <w:spacing w:before="0" w:after="20"/>
              <w:rPr/>
            </w:pPr>
            <w:r>
              <w:rPr/>
              <w:t>  </w:t>
            </w:r>
            <w:r>
              <w:rPr>
                <w:rFonts w:ascii="ARIAL" w:hAnsi="ARIAL"/>
                <w:sz w:val="16"/>
              </w:rPr>
              <w:t>MetricStream, Inc.</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425" w:type="dxa"/>
            <w:tcBorders>
              <w:bottom w:val="single" w:sz="6" w:space="0" w:color="005CB9"/>
            </w:tcBorders>
            <w:shd w:fill="auto" w:val="clear"/>
            <w:tcMar>
              <w:bottom w:w="60" w:type="dxa"/>
            </w:tcMar>
            <w:vAlign w:val="center"/>
          </w:tcPr>
          <w:p>
            <w:pPr>
              <w:pStyle w:val="TableContents"/>
              <w:spacing w:before="0" w:after="283"/>
              <w:jc w:val="center"/>
              <w:rPr/>
            </w:pPr>
            <w:r>
              <w:rPr/>
              <w:t>60</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605" w:type="dxa"/>
            <w:tcBorders>
              <w:bottom w:val="single" w:sz="6" w:space="0" w:color="005CB9"/>
            </w:tcBorders>
            <w:shd w:fill="auto" w:val="clear"/>
            <w:tcMar>
              <w:bottom w:w="60" w:type="dxa"/>
            </w:tcMar>
            <w:vAlign w:val="center"/>
          </w:tcPr>
          <w:p>
            <w:pPr>
              <w:pStyle w:val="TableContents"/>
              <w:spacing w:before="0" w:after="283"/>
              <w:jc w:val="center"/>
              <w:rPr/>
            </w:pPr>
            <w:r>
              <w:rPr/>
              <w:t>2018</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190" w:type="dxa"/>
            <w:tcBorders>
              <w:bottom w:val="single" w:sz="6" w:space="0" w:color="005CB9"/>
            </w:tcBorders>
            <w:shd w:fill="auto"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620"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018"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98" w:type="dxa"/>
            <w:tcBorders>
              <w:bottom w:val="single" w:sz="6" w:space="0" w:color="005CB9"/>
            </w:tcBorders>
            <w:shd w:fill="auto" w:val="clear"/>
            <w:tcMar>
              <w:bottom w:w="28" w:type="dxa"/>
            </w:tcMar>
            <w:vAlign w:val="center"/>
          </w:tcPr>
          <w:p>
            <w:pPr>
              <w:pStyle w:val="TableContents"/>
              <w:spacing w:before="0" w:after="283"/>
              <w:rPr/>
            </w:pPr>
            <w:r>
              <w:rPr/>
              <w:t> </w:t>
            </w:r>
          </w:p>
        </w:tc>
        <w:tc>
          <w:tcPr>
            <w:tcW w:w="1019" w:type="dxa"/>
            <w:tcBorders>
              <w:bottom w:val="single" w:sz="6" w:space="0" w:color="005CB9"/>
            </w:tcBorders>
            <w:shd w:fill="auto" w:val="clear"/>
            <w:tcMar>
              <w:bottom w:w="60" w:type="dxa"/>
            </w:tcMar>
            <w:vAlign w:val="center"/>
          </w:tcPr>
          <w:p>
            <w:pPr>
              <w:pStyle w:val="TableContents"/>
              <w:spacing w:before="0" w:after="283"/>
              <w:jc w:val="center"/>
              <w:rPr>
                <w:b/>
                <w:color w:val="005CB9"/>
              </w:rPr>
            </w:pPr>
            <w:r>
              <w:rPr>
                <w:b/>
                <w:color w:val="005CB9"/>
              </w:rPr>
              <w:t>Chair</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310" w:type="dxa"/>
            <w:tcBorders>
              <w:bottom w:val="single" w:sz="6" w:space="0" w:color="005CB9"/>
            </w:tcBorders>
            <w:shd w:fill="auto" w:val="clear"/>
            <w:tcMar>
              <w:bottom w:w="60" w:type="dxa"/>
            </w:tcMar>
            <w:vAlign w:val="center"/>
          </w:tcPr>
          <w:p>
            <w:pPr>
              <w:pStyle w:val="TableContents"/>
              <w:spacing w:before="0" w:after="283"/>
              <w:jc w:val="center"/>
              <w:rPr>
                <w:color w:val="005CB9"/>
              </w:rPr>
            </w:pPr>
            <w:r>
              <w:rPr>
                <w:color w:val="005CB9"/>
              </w:rPr>
              <w:t>🌑</w:t>
            </w:r>
          </w:p>
        </w:tc>
      </w:tr>
      <w:tr>
        <w:trPr/>
        <w:tc>
          <w:tcPr>
            <w:tcW w:w="3095" w:type="dxa"/>
            <w:tcBorders/>
            <w:shd w:fill="CCDEF1" w:val="clear"/>
            <w:vAlign w:val="center"/>
          </w:tcPr>
          <w:p>
            <w:pPr>
              <w:pStyle w:val="TableContents"/>
              <w:spacing w:before="0" w:after="283"/>
              <w:rPr>
                <w:sz w:val="4"/>
                <w:szCs w:val="4"/>
              </w:rPr>
            </w:pPr>
            <w:r>
              <w:rPr>
                <w:sz w:val="4"/>
                <w:szCs w:val="4"/>
              </w:rPr>
            </w:r>
          </w:p>
        </w:tc>
        <w:tc>
          <w:tcPr>
            <w:tcW w:w="485" w:type="dxa"/>
            <w:gridSpan w:val="2"/>
            <w:tcBorders/>
            <w:shd w:fill="CCDEF1" w:val="clear"/>
            <w:vAlign w:val="center"/>
          </w:tcPr>
          <w:p>
            <w:pPr>
              <w:pStyle w:val="TableContents"/>
              <w:spacing w:before="0" w:after="283"/>
              <w:rPr>
                <w:sz w:val="4"/>
                <w:szCs w:val="4"/>
              </w:rPr>
            </w:pPr>
            <w:r>
              <w:rPr>
                <w:sz w:val="4"/>
                <w:szCs w:val="4"/>
              </w:rPr>
            </w:r>
          </w:p>
        </w:tc>
        <w:tc>
          <w:tcPr>
            <w:tcW w:w="665" w:type="dxa"/>
            <w:gridSpan w:val="2"/>
            <w:tcBorders/>
            <w:shd w:fill="CCDEF1" w:val="clear"/>
            <w:vAlign w:val="center"/>
          </w:tcPr>
          <w:p>
            <w:pPr>
              <w:pStyle w:val="TableContents"/>
              <w:spacing w:before="0" w:after="283"/>
              <w:rPr>
                <w:sz w:val="4"/>
                <w:szCs w:val="4"/>
              </w:rPr>
            </w:pPr>
            <w:r>
              <w:rPr>
                <w:sz w:val="4"/>
                <w:szCs w:val="4"/>
              </w:rPr>
            </w:r>
          </w:p>
        </w:tc>
        <w:tc>
          <w:tcPr>
            <w:tcW w:w="1250" w:type="dxa"/>
            <w:gridSpan w:val="2"/>
            <w:tcBorders/>
            <w:shd w:fill="CCDEF1" w:val="clear"/>
            <w:vAlign w:val="center"/>
          </w:tcPr>
          <w:p>
            <w:pPr>
              <w:pStyle w:val="TableContents"/>
              <w:spacing w:before="0" w:after="283"/>
              <w:rPr>
                <w:sz w:val="4"/>
                <w:szCs w:val="4"/>
              </w:rPr>
            </w:pPr>
            <w:r>
              <w:rPr>
                <w:sz w:val="4"/>
                <w:szCs w:val="4"/>
              </w:rPr>
            </w:r>
          </w:p>
        </w:tc>
        <w:tc>
          <w:tcPr>
            <w:tcW w:w="680" w:type="dxa"/>
            <w:gridSpan w:val="2"/>
            <w:tcBorders/>
            <w:shd w:fill="CCDEF1" w:val="clear"/>
            <w:vAlign w:val="center"/>
          </w:tcPr>
          <w:p>
            <w:pPr>
              <w:pStyle w:val="TableContents"/>
              <w:spacing w:before="0" w:after="283"/>
              <w:rPr>
                <w:sz w:val="4"/>
                <w:szCs w:val="4"/>
              </w:rPr>
            </w:pPr>
            <w:r>
              <w:rPr>
                <w:sz w:val="4"/>
                <w:szCs w:val="4"/>
              </w:rPr>
            </w:r>
          </w:p>
        </w:tc>
        <w:tc>
          <w:tcPr>
            <w:tcW w:w="1078" w:type="dxa"/>
            <w:gridSpan w:val="2"/>
            <w:tcBorders/>
            <w:shd w:fill="CCDEF1" w:val="clear"/>
            <w:vAlign w:val="center"/>
          </w:tcPr>
          <w:p>
            <w:pPr>
              <w:pStyle w:val="TableContents"/>
              <w:spacing w:before="0" w:after="283"/>
              <w:rPr>
                <w:sz w:val="4"/>
                <w:szCs w:val="4"/>
              </w:rPr>
            </w:pPr>
            <w:r>
              <w:rPr>
                <w:sz w:val="4"/>
                <w:szCs w:val="4"/>
              </w:rPr>
            </w:r>
          </w:p>
        </w:tc>
        <w:tc>
          <w:tcPr>
            <w:tcW w:w="1117" w:type="dxa"/>
            <w:gridSpan w:val="2"/>
            <w:tcBorders/>
            <w:shd w:fill="CCDEF1" w:val="clear"/>
            <w:vAlign w:val="center"/>
          </w:tcPr>
          <w:p>
            <w:pPr>
              <w:pStyle w:val="TableContents"/>
              <w:spacing w:before="0" w:after="283"/>
              <w:rPr>
                <w:sz w:val="4"/>
                <w:szCs w:val="4"/>
              </w:rPr>
            </w:pPr>
            <w:r>
              <w:rPr>
                <w:sz w:val="4"/>
                <w:szCs w:val="4"/>
              </w:rPr>
            </w:r>
          </w:p>
        </w:tc>
        <w:tc>
          <w:tcPr>
            <w:tcW w:w="1370" w:type="dxa"/>
            <w:gridSpan w:val="2"/>
            <w:tcBorders/>
            <w:shd w:fill="CCDEF1" w:val="clear"/>
            <w:vAlign w:val="center"/>
          </w:tcPr>
          <w:p>
            <w:pPr>
              <w:pStyle w:val="TableContents"/>
              <w:spacing w:before="0" w:after="283"/>
              <w:rPr>
                <w:sz w:val="4"/>
                <w:szCs w:val="4"/>
              </w:rPr>
            </w:pPr>
            <w:r>
              <w:rPr>
                <w:sz w:val="4"/>
                <w:szCs w:val="4"/>
              </w:rPr>
            </w:r>
          </w:p>
        </w:tc>
      </w:tr>
      <w:tr>
        <w:trPr/>
        <w:tc>
          <w:tcPr>
            <w:tcW w:w="3095" w:type="dxa"/>
            <w:tcBorders>
              <w:bottom w:val="single" w:sz="6" w:space="0" w:color="005CB9"/>
            </w:tcBorders>
            <w:shd w:fill="CCDEF1" w:val="clear"/>
            <w:tcMar>
              <w:bottom w:w="60" w:type="dxa"/>
            </w:tcMar>
            <w:vAlign w:val="center"/>
          </w:tcPr>
          <w:p>
            <w:pPr>
              <w:pStyle w:val="TableContents"/>
              <w:spacing w:before="0" w:after="0"/>
              <w:rPr/>
            </w:pPr>
            <w:r>
              <w:rPr/>
              <w:t>  </w:t>
            </w:r>
            <w:r>
              <w:rPr>
                <w:rFonts w:ascii="ARIAL" w:hAnsi="ARIAL"/>
                <w:b/>
                <w:sz w:val="16"/>
              </w:rPr>
              <w:t>Amy Woods Brinkley</w:t>
            </w:r>
          </w:p>
          <w:p>
            <w:pPr>
              <w:pStyle w:val="TableContents"/>
              <w:spacing w:before="0" w:after="0"/>
              <w:rPr/>
            </w:pPr>
            <w:r>
              <w:rPr/>
              <w:t>  </w:t>
            </w:r>
            <w:r>
              <w:rPr>
                <w:rFonts w:ascii="ARIAL" w:hAnsi="ARIAL"/>
                <w:sz w:val="16"/>
              </w:rPr>
              <w:t>Retired Chief Risk Officer, Bank of</w:t>
            </w:r>
          </w:p>
          <w:p>
            <w:pPr>
              <w:pStyle w:val="TableContents"/>
              <w:spacing w:before="0" w:after="20"/>
              <w:rPr/>
            </w:pPr>
            <w:r>
              <w:rPr/>
              <w:t>  </w:t>
            </w:r>
            <w:r>
              <w:rPr>
                <w:rFonts w:ascii="ARIAL" w:hAnsi="ARIAL"/>
                <w:sz w:val="16"/>
              </w:rPr>
              <w:t>America Corp.</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425" w:type="dxa"/>
            <w:tcBorders>
              <w:bottom w:val="single" w:sz="6" w:space="0" w:color="005CB9"/>
            </w:tcBorders>
            <w:shd w:fill="CCDEF1" w:val="clear"/>
            <w:tcMar>
              <w:bottom w:w="60" w:type="dxa"/>
            </w:tcMar>
            <w:vAlign w:val="center"/>
          </w:tcPr>
          <w:p>
            <w:pPr>
              <w:pStyle w:val="TableContents"/>
              <w:spacing w:before="0" w:after="283"/>
              <w:jc w:val="center"/>
              <w:rPr/>
            </w:pPr>
            <w:r>
              <w:rPr/>
              <w:t>67</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605" w:type="dxa"/>
            <w:tcBorders>
              <w:bottom w:val="single" w:sz="6" w:space="0" w:color="005CB9"/>
            </w:tcBorders>
            <w:shd w:fill="CCDEF1" w:val="clear"/>
            <w:tcMar>
              <w:bottom w:w="60" w:type="dxa"/>
            </w:tcMar>
            <w:vAlign w:val="center"/>
          </w:tcPr>
          <w:p>
            <w:pPr>
              <w:pStyle w:val="TableContents"/>
              <w:spacing w:before="0" w:after="283"/>
              <w:jc w:val="center"/>
              <w:rPr/>
            </w:pPr>
            <w:r>
              <w:rPr/>
              <w:t>2015</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1190" w:type="dxa"/>
            <w:tcBorders>
              <w:bottom w:val="single" w:sz="6" w:space="0" w:color="005CB9"/>
            </w:tcBorders>
            <w:shd w:fill="CCDEF1"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620" w:type="dxa"/>
            <w:tcBorders>
              <w:bottom w:val="single" w:sz="6" w:space="0" w:color="005CB9"/>
            </w:tcBorders>
            <w:shd w:fill="CCDEF1"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1018" w:type="dxa"/>
            <w:tcBorders>
              <w:bottom w:val="single" w:sz="6" w:space="0" w:color="005CB9"/>
            </w:tcBorders>
            <w:shd w:fill="CCDEF1"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c>
          <w:tcPr>
            <w:tcW w:w="98" w:type="dxa"/>
            <w:tcBorders>
              <w:bottom w:val="single" w:sz="6" w:space="0" w:color="005CB9"/>
            </w:tcBorders>
            <w:shd w:fill="CCDEF1" w:val="clear"/>
            <w:tcMar>
              <w:bottom w:w="28" w:type="dxa"/>
            </w:tcMar>
            <w:vAlign w:val="center"/>
          </w:tcPr>
          <w:p>
            <w:pPr>
              <w:pStyle w:val="TableContents"/>
              <w:spacing w:before="0" w:after="283"/>
              <w:rPr/>
            </w:pPr>
            <w:r>
              <w:rPr/>
              <w:t> </w:t>
            </w:r>
          </w:p>
        </w:tc>
        <w:tc>
          <w:tcPr>
            <w:tcW w:w="1019" w:type="dxa"/>
            <w:tcBorders>
              <w:bottom w:val="single" w:sz="6" w:space="0" w:color="005CB9"/>
            </w:tcBorders>
            <w:shd w:fill="CCDEF1" w:val="clear"/>
            <w:tcMar>
              <w:bottom w:w="60" w:type="dxa"/>
            </w:tcMar>
            <w:vAlign w:val="center"/>
          </w:tcPr>
          <w:p>
            <w:pPr>
              <w:pStyle w:val="TableContents"/>
              <w:spacing w:before="0" w:after="283"/>
              <w:jc w:val="center"/>
              <w:rPr>
                <w:color w:val="005CB9"/>
              </w:rPr>
            </w:pPr>
            <w:r>
              <w:rPr>
                <w:color w:val="005CB9"/>
              </w:rPr>
              <w:t>🌑</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1310" w:type="dxa"/>
            <w:tcBorders>
              <w:bottom w:val="single" w:sz="6" w:space="0" w:color="005CB9"/>
            </w:tcBorders>
            <w:shd w:fill="CCDEF1" w:val="clear"/>
            <w:tcMar>
              <w:bottom w:w="60" w:type="dxa"/>
            </w:tcMar>
            <w:vAlign w:val="center"/>
          </w:tcPr>
          <w:p>
            <w:pPr>
              <w:pStyle w:val="TableContents"/>
              <w:spacing w:before="0" w:after="283"/>
              <w:jc w:val="center"/>
              <w:rPr>
                <w:b/>
                <w:color w:val="005CB9"/>
              </w:rPr>
            </w:pPr>
            <w:r>
              <w:rPr>
                <w:b/>
                <w:color w:val="005CB9"/>
              </w:rPr>
              <w:t>Chair</w:t>
            </w:r>
          </w:p>
        </w:tc>
      </w:tr>
      <w:tr>
        <w:trPr/>
        <w:tc>
          <w:tcPr>
            <w:tcW w:w="3095"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665" w:type="dxa"/>
            <w:gridSpan w:val="2"/>
            <w:tcBorders/>
            <w:shd w:fill="auto" w:val="clear"/>
            <w:vAlign w:val="center"/>
          </w:tcPr>
          <w:p>
            <w:pPr>
              <w:pStyle w:val="TableContents"/>
              <w:spacing w:before="0" w:after="283"/>
              <w:rPr>
                <w:sz w:val="4"/>
                <w:szCs w:val="4"/>
              </w:rPr>
            </w:pPr>
            <w:r>
              <w:rPr>
                <w:sz w:val="4"/>
                <w:szCs w:val="4"/>
              </w:rPr>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680" w:type="dxa"/>
            <w:gridSpan w:val="2"/>
            <w:tcBorders/>
            <w:shd w:fill="auto" w:val="clear"/>
            <w:vAlign w:val="center"/>
          </w:tcPr>
          <w:p>
            <w:pPr>
              <w:pStyle w:val="TableContents"/>
              <w:spacing w:before="0" w:after="283"/>
              <w:rPr>
                <w:sz w:val="4"/>
                <w:szCs w:val="4"/>
              </w:rPr>
            </w:pPr>
            <w:r>
              <w:rPr>
                <w:sz w:val="4"/>
                <w:szCs w:val="4"/>
              </w:rPr>
            </w:r>
          </w:p>
        </w:tc>
        <w:tc>
          <w:tcPr>
            <w:tcW w:w="1078"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370" w:type="dxa"/>
            <w:gridSpan w:val="2"/>
            <w:tcBorders/>
            <w:shd w:fill="auto" w:val="clear"/>
            <w:vAlign w:val="center"/>
          </w:tcPr>
          <w:p>
            <w:pPr>
              <w:pStyle w:val="TableContents"/>
              <w:spacing w:before="0" w:after="283"/>
              <w:rPr>
                <w:sz w:val="4"/>
                <w:szCs w:val="4"/>
              </w:rPr>
            </w:pPr>
            <w:r>
              <w:rPr>
                <w:sz w:val="4"/>
                <w:szCs w:val="4"/>
              </w:rPr>
            </w:r>
          </w:p>
        </w:tc>
      </w:tr>
      <w:tr>
        <w:trPr/>
        <w:tc>
          <w:tcPr>
            <w:tcW w:w="3095" w:type="dxa"/>
            <w:tcBorders>
              <w:bottom w:val="single" w:sz="6" w:space="0" w:color="005CB9"/>
            </w:tcBorders>
            <w:shd w:fill="auto" w:val="clear"/>
            <w:tcMar>
              <w:bottom w:w="60" w:type="dxa"/>
            </w:tcMar>
            <w:vAlign w:val="center"/>
          </w:tcPr>
          <w:p>
            <w:pPr>
              <w:pStyle w:val="TableContents"/>
              <w:spacing w:before="0" w:after="0"/>
              <w:rPr/>
            </w:pPr>
            <w:r>
              <w:rPr/>
              <w:t>  </w:t>
            </w:r>
            <w:r>
              <w:rPr>
                <w:rFonts w:ascii="ARIAL" w:hAnsi="ARIAL"/>
                <w:b/>
                <w:sz w:val="16"/>
              </w:rPr>
              <w:t>Irene M. Esteves</w:t>
            </w:r>
          </w:p>
          <w:p>
            <w:pPr>
              <w:pStyle w:val="TableContents"/>
              <w:spacing w:before="0" w:after="0"/>
              <w:rPr/>
            </w:pPr>
            <w:r>
              <w:rPr/>
              <w:t>  </w:t>
            </w:r>
            <w:r>
              <w:rPr>
                <w:rFonts w:ascii="ARIAL" w:hAnsi="ARIAL"/>
                <w:sz w:val="16"/>
              </w:rPr>
              <w:t>Former Executive Vice President,</w:t>
            </w:r>
          </w:p>
          <w:p>
            <w:pPr>
              <w:pStyle w:val="TableContents"/>
              <w:spacing w:before="0" w:after="0"/>
              <w:rPr/>
            </w:pPr>
            <w:r>
              <w:rPr/>
              <w:t>  </w:t>
            </w:r>
            <w:r>
              <w:rPr>
                <w:rFonts w:ascii="ARIAL" w:hAnsi="ARIAL"/>
                <w:sz w:val="16"/>
              </w:rPr>
              <w:t>Chief Financial Officer,</w:t>
            </w:r>
          </w:p>
          <w:p>
            <w:pPr>
              <w:pStyle w:val="TableContents"/>
              <w:spacing w:before="0" w:after="20"/>
              <w:rPr/>
            </w:pPr>
            <w:r>
              <w:rPr/>
              <w:t>  </w:t>
            </w:r>
            <w:r>
              <w:rPr>
                <w:rFonts w:ascii="ARIAL" w:hAnsi="ARIAL"/>
                <w:sz w:val="16"/>
              </w:rPr>
              <w:t>Time Warner Cable, Inc.</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425" w:type="dxa"/>
            <w:tcBorders>
              <w:bottom w:val="single" w:sz="6" w:space="0" w:color="005CB9"/>
            </w:tcBorders>
            <w:shd w:fill="auto" w:val="clear"/>
            <w:tcMar>
              <w:bottom w:w="60" w:type="dxa"/>
            </w:tcMar>
            <w:vAlign w:val="center"/>
          </w:tcPr>
          <w:p>
            <w:pPr>
              <w:pStyle w:val="TableContents"/>
              <w:spacing w:before="0" w:after="283"/>
              <w:jc w:val="center"/>
              <w:rPr/>
            </w:pPr>
            <w:r>
              <w:rPr/>
              <w:t>64</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605" w:type="dxa"/>
            <w:tcBorders>
              <w:bottom w:val="single" w:sz="6" w:space="0" w:color="005CB9"/>
            </w:tcBorders>
            <w:shd w:fill="auto" w:val="clear"/>
            <w:tcMar>
              <w:bottom w:w="60" w:type="dxa"/>
            </w:tcMar>
            <w:vAlign w:val="center"/>
          </w:tcPr>
          <w:p>
            <w:pPr>
              <w:pStyle w:val="TableContents"/>
              <w:spacing w:before="0" w:after="283"/>
              <w:jc w:val="center"/>
              <w:rPr/>
            </w:pPr>
            <w:r>
              <w:rPr/>
              <w:t>2021</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190" w:type="dxa"/>
            <w:tcBorders>
              <w:bottom w:val="single" w:sz="6" w:space="0" w:color="005CB9"/>
            </w:tcBorders>
            <w:shd w:fill="auto"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620" w:type="dxa"/>
            <w:tcBorders>
              <w:bottom w:val="single" w:sz="6" w:space="0" w:color="005CB9"/>
            </w:tcBorders>
            <w:shd w:fill="auto"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018"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98" w:type="dxa"/>
            <w:tcBorders>
              <w:bottom w:val="single" w:sz="6" w:space="0" w:color="005CB9"/>
            </w:tcBorders>
            <w:shd w:fill="auto" w:val="clear"/>
            <w:tcMar>
              <w:bottom w:w="28" w:type="dxa"/>
            </w:tcMar>
            <w:vAlign w:val="center"/>
          </w:tcPr>
          <w:p>
            <w:pPr>
              <w:pStyle w:val="TableContents"/>
              <w:spacing w:before="0" w:after="283"/>
              <w:rPr/>
            </w:pPr>
            <w:r>
              <w:rPr/>
              <w:t> </w:t>
            </w:r>
          </w:p>
        </w:tc>
        <w:tc>
          <w:tcPr>
            <w:tcW w:w="1019" w:type="dxa"/>
            <w:tcBorders>
              <w:bottom w:val="single" w:sz="6" w:space="0" w:color="005CB9"/>
            </w:tcBorders>
            <w:shd w:fill="auto" w:val="clear"/>
            <w:tcMar>
              <w:bottom w:w="60" w:type="dxa"/>
            </w:tcMar>
            <w:vAlign w:val="center"/>
          </w:tcPr>
          <w:p>
            <w:pPr>
              <w:pStyle w:val="TableContents"/>
              <w:spacing w:before="0" w:after="283"/>
              <w:jc w:val="center"/>
              <w:rPr>
                <w:color w:val="005CB9"/>
              </w:rPr>
            </w:pPr>
            <w:r>
              <w:rPr>
                <w:color w:val="005CB9"/>
              </w:rPr>
              <w:t>🌑</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310"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095" w:type="dxa"/>
            <w:tcBorders/>
            <w:shd w:fill="CCDEF1" w:val="clear"/>
            <w:vAlign w:val="center"/>
          </w:tcPr>
          <w:p>
            <w:pPr>
              <w:pStyle w:val="TableContents"/>
              <w:spacing w:before="0" w:after="283"/>
              <w:rPr>
                <w:sz w:val="4"/>
                <w:szCs w:val="4"/>
              </w:rPr>
            </w:pPr>
            <w:r>
              <w:rPr>
                <w:sz w:val="4"/>
                <w:szCs w:val="4"/>
              </w:rPr>
            </w:r>
          </w:p>
        </w:tc>
        <w:tc>
          <w:tcPr>
            <w:tcW w:w="485" w:type="dxa"/>
            <w:gridSpan w:val="2"/>
            <w:tcBorders/>
            <w:shd w:fill="CCDEF1" w:val="clear"/>
            <w:vAlign w:val="center"/>
          </w:tcPr>
          <w:p>
            <w:pPr>
              <w:pStyle w:val="TableContents"/>
              <w:spacing w:before="0" w:after="283"/>
              <w:rPr>
                <w:sz w:val="4"/>
                <w:szCs w:val="4"/>
              </w:rPr>
            </w:pPr>
            <w:r>
              <w:rPr>
                <w:sz w:val="4"/>
                <w:szCs w:val="4"/>
              </w:rPr>
            </w:r>
          </w:p>
        </w:tc>
        <w:tc>
          <w:tcPr>
            <w:tcW w:w="665" w:type="dxa"/>
            <w:gridSpan w:val="2"/>
            <w:tcBorders/>
            <w:shd w:fill="CCDEF1" w:val="clear"/>
            <w:vAlign w:val="center"/>
          </w:tcPr>
          <w:p>
            <w:pPr>
              <w:pStyle w:val="TableContents"/>
              <w:spacing w:before="0" w:after="283"/>
              <w:rPr>
                <w:sz w:val="4"/>
                <w:szCs w:val="4"/>
              </w:rPr>
            </w:pPr>
            <w:r>
              <w:rPr>
                <w:sz w:val="4"/>
                <w:szCs w:val="4"/>
              </w:rPr>
            </w:r>
          </w:p>
        </w:tc>
        <w:tc>
          <w:tcPr>
            <w:tcW w:w="1250" w:type="dxa"/>
            <w:gridSpan w:val="2"/>
            <w:tcBorders/>
            <w:shd w:fill="CCDEF1" w:val="clear"/>
            <w:vAlign w:val="center"/>
          </w:tcPr>
          <w:p>
            <w:pPr>
              <w:pStyle w:val="TableContents"/>
              <w:spacing w:before="0" w:after="283"/>
              <w:rPr>
                <w:sz w:val="4"/>
                <w:szCs w:val="4"/>
              </w:rPr>
            </w:pPr>
            <w:r>
              <w:rPr>
                <w:sz w:val="4"/>
                <w:szCs w:val="4"/>
              </w:rPr>
            </w:r>
          </w:p>
        </w:tc>
        <w:tc>
          <w:tcPr>
            <w:tcW w:w="680" w:type="dxa"/>
            <w:gridSpan w:val="2"/>
            <w:tcBorders/>
            <w:shd w:fill="CCDEF1" w:val="clear"/>
            <w:vAlign w:val="center"/>
          </w:tcPr>
          <w:p>
            <w:pPr>
              <w:pStyle w:val="TableContents"/>
              <w:spacing w:before="0" w:after="283"/>
              <w:rPr>
                <w:sz w:val="4"/>
                <w:szCs w:val="4"/>
              </w:rPr>
            </w:pPr>
            <w:r>
              <w:rPr>
                <w:sz w:val="4"/>
                <w:szCs w:val="4"/>
              </w:rPr>
            </w:r>
          </w:p>
        </w:tc>
        <w:tc>
          <w:tcPr>
            <w:tcW w:w="1078" w:type="dxa"/>
            <w:gridSpan w:val="2"/>
            <w:tcBorders/>
            <w:shd w:fill="CCDEF1" w:val="clear"/>
            <w:vAlign w:val="center"/>
          </w:tcPr>
          <w:p>
            <w:pPr>
              <w:pStyle w:val="TableContents"/>
              <w:spacing w:before="0" w:after="283"/>
              <w:rPr>
                <w:sz w:val="4"/>
                <w:szCs w:val="4"/>
              </w:rPr>
            </w:pPr>
            <w:r>
              <w:rPr>
                <w:sz w:val="4"/>
                <w:szCs w:val="4"/>
              </w:rPr>
            </w:r>
          </w:p>
        </w:tc>
        <w:tc>
          <w:tcPr>
            <w:tcW w:w="1117" w:type="dxa"/>
            <w:gridSpan w:val="2"/>
            <w:tcBorders/>
            <w:shd w:fill="CCDEF1" w:val="clear"/>
            <w:vAlign w:val="center"/>
          </w:tcPr>
          <w:p>
            <w:pPr>
              <w:pStyle w:val="TableContents"/>
              <w:spacing w:before="0" w:after="283"/>
              <w:rPr>
                <w:sz w:val="4"/>
                <w:szCs w:val="4"/>
              </w:rPr>
            </w:pPr>
            <w:r>
              <w:rPr>
                <w:sz w:val="4"/>
                <w:szCs w:val="4"/>
              </w:rPr>
            </w:r>
          </w:p>
        </w:tc>
        <w:tc>
          <w:tcPr>
            <w:tcW w:w="1370" w:type="dxa"/>
            <w:gridSpan w:val="2"/>
            <w:tcBorders/>
            <w:shd w:fill="CCDEF1" w:val="clear"/>
            <w:vAlign w:val="center"/>
          </w:tcPr>
          <w:p>
            <w:pPr>
              <w:pStyle w:val="TableContents"/>
              <w:spacing w:before="0" w:after="283"/>
              <w:rPr>
                <w:sz w:val="4"/>
                <w:szCs w:val="4"/>
              </w:rPr>
            </w:pPr>
            <w:r>
              <w:rPr>
                <w:sz w:val="4"/>
                <w:szCs w:val="4"/>
              </w:rPr>
            </w:r>
          </w:p>
        </w:tc>
      </w:tr>
      <w:tr>
        <w:trPr/>
        <w:tc>
          <w:tcPr>
            <w:tcW w:w="3095" w:type="dxa"/>
            <w:tcBorders>
              <w:bottom w:val="single" w:sz="6" w:space="0" w:color="005CB9"/>
            </w:tcBorders>
            <w:shd w:fill="CCDEF1" w:val="clear"/>
            <w:tcMar>
              <w:bottom w:w="60" w:type="dxa"/>
            </w:tcMar>
            <w:vAlign w:val="center"/>
          </w:tcPr>
          <w:p>
            <w:pPr>
              <w:pStyle w:val="TableContents"/>
              <w:spacing w:before="0" w:after="0"/>
              <w:rPr/>
            </w:pPr>
            <w:r>
              <w:rPr/>
              <w:t>  </w:t>
            </w:r>
            <w:r>
              <w:rPr>
                <w:rFonts w:ascii="ARIAL" w:hAnsi="ARIAL"/>
                <w:b/>
                <w:sz w:val="16"/>
              </w:rPr>
              <w:t>L. Neil Hunn</w:t>
            </w:r>
          </w:p>
          <w:p>
            <w:pPr>
              <w:pStyle w:val="TableContents"/>
              <w:spacing w:before="0" w:after="0"/>
              <w:rPr/>
            </w:pPr>
            <w:r>
              <w:rPr/>
              <w:t>  </w:t>
            </w:r>
            <w:r>
              <w:rPr>
                <w:rFonts w:ascii="ARIAL" w:hAnsi="ARIAL"/>
                <w:sz w:val="16"/>
              </w:rPr>
              <w:t>President and Chief Executive Officer,</w:t>
            </w:r>
          </w:p>
          <w:p>
            <w:pPr>
              <w:pStyle w:val="TableContents"/>
              <w:spacing w:before="0" w:after="20"/>
              <w:rPr/>
            </w:pPr>
            <w:r>
              <w:rPr/>
              <w:t>  </w:t>
            </w:r>
            <w:r>
              <w:rPr>
                <w:rFonts w:ascii="ARIAL" w:hAnsi="ARIAL"/>
                <w:sz w:val="16"/>
              </w:rPr>
              <w:t>Roper Technologies, Inc.</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425" w:type="dxa"/>
            <w:tcBorders>
              <w:bottom w:val="single" w:sz="6" w:space="0" w:color="005CB9"/>
            </w:tcBorders>
            <w:shd w:fill="CCDEF1" w:val="clear"/>
            <w:tcMar>
              <w:bottom w:w="60" w:type="dxa"/>
            </w:tcMar>
            <w:vAlign w:val="center"/>
          </w:tcPr>
          <w:p>
            <w:pPr>
              <w:pStyle w:val="TableContents"/>
              <w:spacing w:before="0" w:after="283"/>
              <w:jc w:val="center"/>
              <w:rPr/>
            </w:pPr>
            <w:r>
              <w:rPr/>
              <w:t>51</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605" w:type="dxa"/>
            <w:tcBorders>
              <w:bottom w:val="single" w:sz="6" w:space="0" w:color="005CB9"/>
            </w:tcBorders>
            <w:shd w:fill="CCDEF1" w:val="clear"/>
            <w:tcMar>
              <w:bottom w:w="60" w:type="dxa"/>
            </w:tcMar>
            <w:vAlign w:val="center"/>
          </w:tcPr>
          <w:p>
            <w:pPr>
              <w:pStyle w:val="TableContents"/>
              <w:spacing w:before="0" w:after="283"/>
              <w:jc w:val="center"/>
              <w:rPr/>
            </w:pPr>
            <w:r>
              <w:rPr/>
              <w:t>2018</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1190" w:type="dxa"/>
            <w:tcBorders>
              <w:bottom w:val="single" w:sz="6" w:space="0" w:color="005CB9"/>
            </w:tcBorders>
            <w:shd w:fill="CCDEF1"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620" w:type="dxa"/>
            <w:tcBorders>
              <w:bottom w:val="single" w:sz="6" w:space="0" w:color="005CB9"/>
            </w:tcBorders>
            <w:shd w:fill="CCDEF1"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1018" w:type="dxa"/>
            <w:tcBorders>
              <w:bottom w:val="single" w:sz="6" w:space="0" w:color="005CB9"/>
            </w:tcBorders>
            <w:shd w:fill="CCDEF1" w:val="clear"/>
            <w:tcMar>
              <w:bottom w:w="28" w:type="dxa"/>
            </w:tcMar>
            <w:vAlign w:val="center"/>
          </w:tcPr>
          <w:p>
            <w:pPr>
              <w:pStyle w:val="TableContents"/>
              <w:rPr/>
            </w:pPr>
            <w:r>
              <w:rPr/>
              <w:t xml:space="preserve">  </w:t>
            </w:r>
          </w:p>
          <w:p>
            <w:pPr>
              <w:pStyle w:val="TableContents"/>
              <w:spacing w:before="0" w:after="0"/>
              <w:rPr/>
            </w:pPr>
            <w:r>
              <w:rPr/>
              <w:t> </w:t>
            </w:r>
          </w:p>
        </w:tc>
        <w:tc>
          <w:tcPr>
            <w:tcW w:w="98" w:type="dxa"/>
            <w:tcBorders>
              <w:bottom w:val="single" w:sz="6" w:space="0" w:color="005CB9"/>
            </w:tcBorders>
            <w:shd w:fill="CCDEF1" w:val="clear"/>
            <w:tcMar>
              <w:bottom w:w="28" w:type="dxa"/>
            </w:tcMar>
            <w:vAlign w:val="center"/>
          </w:tcPr>
          <w:p>
            <w:pPr>
              <w:pStyle w:val="TableContents"/>
              <w:spacing w:before="0" w:after="283"/>
              <w:rPr/>
            </w:pPr>
            <w:r>
              <w:rPr/>
              <w:t> </w:t>
            </w:r>
          </w:p>
        </w:tc>
        <w:tc>
          <w:tcPr>
            <w:tcW w:w="1019" w:type="dxa"/>
            <w:tcBorders>
              <w:bottom w:val="single" w:sz="6" w:space="0" w:color="005CB9"/>
            </w:tcBorders>
            <w:shd w:fill="CCDEF1"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1310" w:type="dxa"/>
            <w:tcBorders>
              <w:bottom w:val="single" w:sz="6" w:space="0" w:color="005CB9"/>
            </w:tcBorders>
            <w:shd w:fill="CCDEF1" w:val="clear"/>
            <w:tcMar>
              <w:bottom w:w="28" w:type="dxa"/>
            </w:tcMar>
            <w:vAlign w:val="center"/>
          </w:tcPr>
          <w:p>
            <w:pPr>
              <w:pStyle w:val="TableContents"/>
              <w:rPr/>
            </w:pPr>
            <w:r>
              <w:rPr/>
              <w:t xml:space="preserve">  </w:t>
            </w:r>
          </w:p>
          <w:p>
            <w:pPr>
              <w:pStyle w:val="TableContents"/>
              <w:spacing w:before="0" w:after="0"/>
              <w:rPr/>
            </w:pPr>
            <w:r>
              <w:rPr/>
              <w:t> </w:t>
            </w:r>
          </w:p>
        </w:tc>
      </w:tr>
      <w:tr>
        <w:trPr/>
        <w:tc>
          <w:tcPr>
            <w:tcW w:w="3095"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665" w:type="dxa"/>
            <w:gridSpan w:val="2"/>
            <w:tcBorders/>
            <w:shd w:fill="auto" w:val="clear"/>
            <w:vAlign w:val="center"/>
          </w:tcPr>
          <w:p>
            <w:pPr>
              <w:pStyle w:val="TableContents"/>
              <w:spacing w:before="0" w:after="283"/>
              <w:rPr>
                <w:sz w:val="4"/>
                <w:szCs w:val="4"/>
              </w:rPr>
            </w:pPr>
            <w:r>
              <w:rPr>
                <w:sz w:val="4"/>
                <w:szCs w:val="4"/>
              </w:rPr>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680" w:type="dxa"/>
            <w:gridSpan w:val="2"/>
            <w:tcBorders/>
            <w:shd w:fill="auto" w:val="clear"/>
            <w:vAlign w:val="center"/>
          </w:tcPr>
          <w:p>
            <w:pPr>
              <w:pStyle w:val="TableContents"/>
              <w:spacing w:before="0" w:after="283"/>
              <w:rPr>
                <w:sz w:val="4"/>
                <w:szCs w:val="4"/>
              </w:rPr>
            </w:pPr>
            <w:r>
              <w:rPr>
                <w:sz w:val="4"/>
                <w:szCs w:val="4"/>
              </w:rPr>
            </w:r>
          </w:p>
        </w:tc>
        <w:tc>
          <w:tcPr>
            <w:tcW w:w="1078"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370" w:type="dxa"/>
            <w:gridSpan w:val="2"/>
            <w:tcBorders/>
            <w:shd w:fill="auto" w:val="clear"/>
            <w:vAlign w:val="center"/>
          </w:tcPr>
          <w:p>
            <w:pPr>
              <w:pStyle w:val="TableContents"/>
              <w:spacing w:before="0" w:after="283"/>
              <w:rPr>
                <w:sz w:val="4"/>
                <w:szCs w:val="4"/>
              </w:rPr>
            </w:pPr>
            <w:r>
              <w:rPr>
                <w:sz w:val="4"/>
                <w:szCs w:val="4"/>
              </w:rPr>
            </w:r>
          </w:p>
        </w:tc>
      </w:tr>
      <w:tr>
        <w:trPr/>
        <w:tc>
          <w:tcPr>
            <w:tcW w:w="3095" w:type="dxa"/>
            <w:tcBorders>
              <w:bottom w:val="single" w:sz="6" w:space="0" w:color="005CB9"/>
            </w:tcBorders>
            <w:shd w:fill="auto" w:val="clear"/>
            <w:tcMar>
              <w:bottom w:w="60" w:type="dxa"/>
            </w:tcMar>
            <w:vAlign w:val="center"/>
          </w:tcPr>
          <w:p>
            <w:pPr>
              <w:pStyle w:val="TableContents"/>
              <w:spacing w:before="0" w:after="0"/>
              <w:rPr/>
            </w:pPr>
            <w:r>
              <w:rPr/>
              <w:t>  </w:t>
            </w:r>
            <w:r>
              <w:rPr>
                <w:rFonts w:ascii="ARIAL" w:hAnsi="ARIAL"/>
                <w:b/>
                <w:sz w:val="16"/>
              </w:rPr>
              <w:t>Robert D. Johnson</w:t>
            </w:r>
          </w:p>
          <w:p>
            <w:pPr>
              <w:pStyle w:val="TableContents"/>
              <w:spacing w:before="0" w:after="0"/>
              <w:rPr/>
            </w:pPr>
            <w:r>
              <w:rPr/>
              <w:t>  </w:t>
            </w:r>
            <w:r>
              <w:rPr>
                <w:rFonts w:ascii="ARIAL" w:hAnsi="ARIAL"/>
                <w:sz w:val="16"/>
              </w:rPr>
              <w:t>Chairman, Spirit AeroSystems Holdings,</w:t>
            </w:r>
          </w:p>
          <w:p>
            <w:pPr>
              <w:pStyle w:val="TableContents"/>
              <w:spacing w:before="0" w:after="20"/>
              <w:rPr/>
            </w:pPr>
            <w:r>
              <w:rPr/>
              <w:t>  </w:t>
            </w:r>
            <w:r>
              <w:rPr>
                <w:rFonts w:ascii="ARIAL" w:hAnsi="ARIAL"/>
                <w:sz w:val="16"/>
              </w:rPr>
              <w:t>Inc.</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425" w:type="dxa"/>
            <w:tcBorders>
              <w:bottom w:val="single" w:sz="6" w:space="0" w:color="005CB9"/>
            </w:tcBorders>
            <w:shd w:fill="auto" w:val="clear"/>
            <w:tcMar>
              <w:bottom w:w="60" w:type="dxa"/>
            </w:tcMar>
            <w:vAlign w:val="center"/>
          </w:tcPr>
          <w:p>
            <w:pPr>
              <w:pStyle w:val="TableContents"/>
              <w:spacing w:before="0" w:after="283"/>
              <w:jc w:val="center"/>
              <w:rPr/>
            </w:pPr>
            <w:r>
              <w:rPr/>
              <w:t>75</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605" w:type="dxa"/>
            <w:tcBorders>
              <w:bottom w:val="single" w:sz="6" w:space="0" w:color="005CB9"/>
            </w:tcBorders>
            <w:shd w:fill="auto" w:val="clear"/>
            <w:tcMar>
              <w:bottom w:w="60" w:type="dxa"/>
            </w:tcMar>
            <w:vAlign w:val="center"/>
          </w:tcPr>
          <w:p>
            <w:pPr>
              <w:pStyle w:val="TableContents"/>
              <w:spacing w:before="0" w:after="283"/>
              <w:jc w:val="center"/>
              <w:rPr/>
            </w:pPr>
            <w:r>
              <w:rPr/>
              <w:t>2005</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190" w:type="dxa"/>
            <w:tcBorders>
              <w:bottom w:val="single" w:sz="6" w:space="0" w:color="005CB9"/>
            </w:tcBorders>
            <w:shd w:fill="auto"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620"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018" w:type="dxa"/>
            <w:tcBorders>
              <w:bottom w:val="single" w:sz="6" w:space="0" w:color="005CB9"/>
            </w:tcBorders>
            <w:shd w:fill="auto"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c>
          <w:tcPr>
            <w:tcW w:w="98" w:type="dxa"/>
            <w:tcBorders>
              <w:bottom w:val="single" w:sz="6" w:space="0" w:color="005CB9"/>
            </w:tcBorders>
            <w:shd w:fill="auto" w:val="clear"/>
            <w:tcMar>
              <w:bottom w:w="28" w:type="dxa"/>
            </w:tcMar>
            <w:vAlign w:val="center"/>
          </w:tcPr>
          <w:p>
            <w:pPr>
              <w:pStyle w:val="TableContents"/>
              <w:spacing w:before="0" w:after="283"/>
              <w:rPr/>
            </w:pPr>
            <w:r>
              <w:rPr/>
              <w:t> </w:t>
            </w:r>
          </w:p>
        </w:tc>
        <w:tc>
          <w:tcPr>
            <w:tcW w:w="1019" w:type="dxa"/>
            <w:tcBorders>
              <w:bottom w:val="single" w:sz="6" w:space="0" w:color="005CB9"/>
            </w:tcBorders>
            <w:shd w:fill="auto"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310"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095" w:type="dxa"/>
            <w:tcBorders/>
            <w:shd w:fill="CCDEF1" w:val="clear"/>
            <w:vAlign w:val="center"/>
          </w:tcPr>
          <w:p>
            <w:pPr>
              <w:pStyle w:val="TableContents"/>
              <w:spacing w:before="0" w:after="283"/>
              <w:rPr>
                <w:sz w:val="4"/>
                <w:szCs w:val="4"/>
              </w:rPr>
            </w:pPr>
            <w:r>
              <w:rPr>
                <w:sz w:val="4"/>
                <w:szCs w:val="4"/>
              </w:rPr>
            </w:r>
          </w:p>
        </w:tc>
        <w:tc>
          <w:tcPr>
            <w:tcW w:w="485" w:type="dxa"/>
            <w:gridSpan w:val="2"/>
            <w:tcBorders/>
            <w:shd w:fill="CCDEF1" w:val="clear"/>
            <w:vAlign w:val="center"/>
          </w:tcPr>
          <w:p>
            <w:pPr>
              <w:pStyle w:val="TableContents"/>
              <w:spacing w:before="0" w:after="283"/>
              <w:rPr>
                <w:sz w:val="4"/>
                <w:szCs w:val="4"/>
              </w:rPr>
            </w:pPr>
            <w:r>
              <w:rPr>
                <w:sz w:val="4"/>
                <w:szCs w:val="4"/>
              </w:rPr>
            </w:r>
          </w:p>
        </w:tc>
        <w:tc>
          <w:tcPr>
            <w:tcW w:w="665" w:type="dxa"/>
            <w:gridSpan w:val="2"/>
            <w:tcBorders/>
            <w:shd w:fill="CCDEF1" w:val="clear"/>
            <w:vAlign w:val="center"/>
          </w:tcPr>
          <w:p>
            <w:pPr>
              <w:pStyle w:val="TableContents"/>
              <w:spacing w:before="0" w:after="283"/>
              <w:rPr>
                <w:sz w:val="4"/>
                <w:szCs w:val="4"/>
              </w:rPr>
            </w:pPr>
            <w:r>
              <w:rPr>
                <w:sz w:val="4"/>
                <w:szCs w:val="4"/>
              </w:rPr>
            </w:r>
          </w:p>
        </w:tc>
        <w:tc>
          <w:tcPr>
            <w:tcW w:w="1250" w:type="dxa"/>
            <w:gridSpan w:val="2"/>
            <w:tcBorders/>
            <w:shd w:fill="CCDEF1" w:val="clear"/>
            <w:vAlign w:val="center"/>
          </w:tcPr>
          <w:p>
            <w:pPr>
              <w:pStyle w:val="TableContents"/>
              <w:spacing w:before="0" w:after="283"/>
              <w:rPr>
                <w:sz w:val="4"/>
                <w:szCs w:val="4"/>
              </w:rPr>
            </w:pPr>
            <w:r>
              <w:rPr>
                <w:sz w:val="4"/>
                <w:szCs w:val="4"/>
              </w:rPr>
            </w:r>
          </w:p>
        </w:tc>
        <w:tc>
          <w:tcPr>
            <w:tcW w:w="680" w:type="dxa"/>
            <w:gridSpan w:val="2"/>
            <w:tcBorders/>
            <w:shd w:fill="CCDEF1" w:val="clear"/>
            <w:vAlign w:val="center"/>
          </w:tcPr>
          <w:p>
            <w:pPr>
              <w:pStyle w:val="TableContents"/>
              <w:spacing w:before="0" w:after="283"/>
              <w:rPr>
                <w:sz w:val="4"/>
                <w:szCs w:val="4"/>
              </w:rPr>
            </w:pPr>
            <w:r>
              <w:rPr>
                <w:sz w:val="4"/>
                <w:szCs w:val="4"/>
              </w:rPr>
            </w:r>
          </w:p>
        </w:tc>
        <w:tc>
          <w:tcPr>
            <w:tcW w:w="1078" w:type="dxa"/>
            <w:gridSpan w:val="2"/>
            <w:tcBorders/>
            <w:shd w:fill="CCDEF1" w:val="clear"/>
            <w:vAlign w:val="center"/>
          </w:tcPr>
          <w:p>
            <w:pPr>
              <w:pStyle w:val="TableContents"/>
              <w:spacing w:before="0" w:after="283"/>
              <w:rPr>
                <w:sz w:val="4"/>
                <w:szCs w:val="4"/>
              </w:rPr>
            </w:pPr>
            <w:r>
              <w:rPr>
                <w:sz w:val="4"/>
                <w:szCs w:val="4"/>
              </w:rPr>
            </w:r>
          </w:p>
        </w:tc>
        <w:tc>
          <w:tcPr>
            <w:tcW w:w="1117" w:type="dxa"/>
            <w:gridSpan w:val="2"/>
            <w:tcBorders/>
            <w:shd w:fill="CCDEF1" w:val="clear"/>
            <w:vAlign w:val="center"/>
          </w:tcPr>
          <w:p>
            <w:pPr>
              <w:pStyle w:val="TableContents"/>
              <w:spacing w:before="0" w:after="283"/>
              <w:rPr>
                <w:sz w:val="4"/>
                <w:szCs w:val="4"/>
              </w:rPr>
            </w:pPr>
            <w:r>
              <w:rPr>
                <w:sz w:val="4"/>
                <w:szCs w:val="4"/>
              </w:rPr>
            </w:r>
          </w:p>
        </w:tc>
        <w:tc>
          <w:tcPr>
            <w:tcW w:w="1370" w:type="dxa"/>
            <w:gridSpan w:val="2"/>
            <w:tcBorders/>
            <w:shd w:fill="CCDEF1" w:val="clear"/>
            <w:vAlign w:val="center"/>
          </w:tcPr>
          <w:p>
            <w:pPr>
              <w:pStyle w:val="TableContents"/>
              <w:spacing w:before="0" w:after="283"/>
              <w:rPr>
                <w:sz w:val="4"/>
                <w:szCs w:val="4"/>
              </w:rPr>
            </w:pPr>
            <w:r>
              <w:rPr>
                <w:sz w:val="4"/>
                <w:szCs w:val="4"/>
              </w:rPr>
            </w:r>
          </w:p>
        </w:tc>
      </w:tr>
      <w:tr>
        <w:trPr/>
        <w:tc>
          <w:tcPr>
            <w:tcW w:w="3095" w:type="dxa"/>
            <w:tcBorders>
              <w:bottom w:val="single" w:sz="6" w:space="0" w:color="005CB9"/>
            </w:tcBorders>
            <w:shd w:fill="CCDEF1" w:val="clear"/>
            <w:tcMar>
              <w:bottom w:w="60" w:type="dxa"/>
            </w:tcMar>
            <w:vAlign w:val="center"/>
          </w:tcPr>
          <w:p>
            <w:pPr>
              <w:pStyle w:val="TableContents"/>
              <w:spacing w:before="0" w:after="0"/>
              <w:rPr/>
            </w:pPr>
            <w:r>
              <w:rPr/>
              <w:t>  </w:t>
            </w:r>
            <w:r>
              <w:rPr>
                <w:rFonts w:ascii="ARIAL" w:hAnsi="ARIAL"/>
                <w:b/>
                <w:sz w:val="16"/>
              </w:rPr>
              <w:t>Thomas P. Joyce, Jr.</w:t>
            </w:r>
          </w:p>
          <w:p>
            <w:pPr>
              <w:pStyle w:val="TableContents"/>
              <w:spacing w:before="0" w:after="0"/>
              <w:rPr/>
            </w:pPr>
            <w:r>
              <w:rPr/>
              <w:t>  </w:t>
            </w:r>
            <w:r>
              <w:rPr>
                <w:rFonts w:ascii="ARIAL" w:hAnsi="ARIAL"/>
                <w:sz w:val="16"/>
              </w:rPr>
              <w:t>Retired President and Chief Executive</w:t>
            </w:r>
          </w:p>
          <w:p>
            <w:pPr>
              <w:pStyle w:val="TableContents"/>
              <w:spacing w:before="0" w:after="20"/>
              <w:rPr/>
            </w:pPr>
            <w:r>
              <w:rPr/>
              <w:t>  </w:t>
            </w:r>
            <w:r>
              <w:rPr>
                <w:rFonts w:ascii="ARIAL" w:hAnsi="ARIAL"/>
                <w:sz w:val="16"/>
              </w:rPr>
              <w:t>Officer, Danaher Corporation</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425" w:type="dxa"/>
            <w:tcBorders>
              <w:bottom w:val="single" w:sz="6" w:space="0" w:color="005CB9"/>
            </w:tcBorders>
            <w:shd w:fill="CCDEF1" w:val="clear"/>
            <w:tcMar>
              <w:bottom w:w="60" w:type="dxa"/>
            </w:tcMar>
            <w:vAlign w:val="center"/>
          </w:tcPr>
          <w:p>
            <w:pPr>
              <w:pStyle w:val="TableContents"/>
              <w:spacing w:before="0" w:after="283"/>
              <w:jc w:val="center"/>
              <w:rPr/>
            </w:pPr>
            <w:r>
              <w:rPr/>
              <w:t>62</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605" w:type="dxa"/>
            <w:tcBorders>
              <w:bottom w:val="single" w:sz="6" w:space="0" w:color="005CB9"/>
            </w:tcBorders>
            <w:shd w:fill="CCDEF1" w:val="clear"/>
            <w:tcMar>
              <w:bottom w:w="60" w:type="dxa"/>
            </w:tcMar>
            <w:vAlign w:val="center"/>
          </w:tcPr>
          <w:p>
            <w:pPr>
              <w:pStyle w:val="TableContents"/>
              <w:spacing w:before="0" w:after="283"/>
              <w:jc w:val="center"/>
              <w:rPr/>
            </w:pPr>
            <w:r>
              <w:rPr/>
              <w:t>2021</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1190" w:type="dxa"/>
            <w:tcBorders>
              <w:bottom w:val="single" w:sz="6" w:space="0" w:color="005CB9"/>
            </w:tcBorders>
            <w:shd w:fill="CCDEF1"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620" w:type="dxa"/>
            <w:tcBorders>
              <w:bottom w:val="single" w:sz="6" w:space="0" w:color="005CB9"/>
            </w:tcBorders>
            <w:shd w:fill="CCDEF1"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1018" w:type="dxa"/>
            <w:tcBorders>
              <w:bottom w:val="single" w:sz="6" w:space="0" w:color="005CB9"/>
            </w:tcBorders>
            <w:shd w:fill="CCDEF1" w:val="clear"/>
            <w:tcMar>
              <w:bottom w:w="60" w:type="dxa"/>
            </w:tcMar>
            <w:vAlign w:val="center"/>
          </w:tcPr>
          <w:p>
            <w:pPr>
              <w:pStyle w:val="TableContents"/>
              <w:spacing w:before="0" w:after="283"/>
              <w:jc w:val="center"/>
              <w:rPr>
                <w:color w:val="005CB9"/>
              </w:rPr>
            </w:pPr>
            <w:r>
              <w:rPr>
                <w:color w:val="005CB9"/>
              </w:rPr>
              <w:t>🌑</w:t>
            </w:r>
          </w:p>
        </w:tc>
        <w:tc>
          <w:tcPr>
            <w:tcW w:w="98" w:type="dxa"/>
            <w:tcBorders>
              <w:bottom w:val="single" w:sz="6" w:space="0" w:color="005CB9"/>
            </w:tcBorders>
            <w:shd w:fill="CCDEF1" w:val="clear"/>
            <w:tcMar>
              <w:bottom w:w="28" w:type="dxa"/>
            </w:tcMar>
            <w:vAlign w:val="center"/>
          </w:tcPr>
          <w:p>
            <w:pPr>
              <w:pStyle w:val="TableContents"/>
              <w:spacing w:before="0" w:after="283"/>
              <w:rPr/>
            </w:pPr>
            <w:r>
              <w:rPr/>
              <w:t> </w:t>
            </w:r>
          </w:p>
        </w:tc>
        <w:tc>
          <w:tcPr>
            <w:tcW w:w="1019" w:type="dxa"/>
            <w:tcBorders>
              <w:bottom w:val="single" w:sz="6" w:space="0" w:color="005CB9"/>
            </w:tcBorders>
            <w:shd w:fill="CCDEF1"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1310" w:type="dxa"/>
            <w:tcBorders>
              <w:bottom w:val="single" w:sz="6" w:space="0" w:color="005CB9"/>
            </w:tcBorders>
            <w:shd w:fill="CCDEF1" w:val="clear"/>
            <w:tcMar>
              <w:bottom w:w="28" w:type="dxa"/>
            </w:tcMar>
            <w:vAlign w:val="center"/>
          </w:tcPr>
          <w:p>
            <w:pPr>
              <w:pStyle w:val="TableContents"/>
              <w:rPr/>
            </w:pPr>
            <w:r>
              <w:rPr/>
              <w:t xml:space="preserve">  </w:t>
            </w:r>
          </w:p>
          <w:p>
            <w:pPr>
              <w:pStyle w:val="TableContents"/>
              <w:spacing w:before="0" w:after="0"/>
              <w:rPr/>
            </w:pPr>
            <w:r>
              <w:rPr/>
              <w:t> </w:t>
            </w:r>
          </w:p>
        </w:tc>
      </w:tr>
      <w:tr>
        <w:trPr/>
        <w:tc>
          <w:tcPr>
            <w:tcW w:w="3095"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665" w:type="dxa"/>
            <w:gridSpan w:val="2"/>
            <w:tcBorders/>
            <w:shd w:fill="auto" w:val="clear"/>
            <w:vAlign w:val="center"/>
          </w:tcPr>
          <w:p>
            <w:pPr>
              <w:pStyle w:val="TableContents"/>
              <w:spacing w:before="0" w:after="283"/>
              <w:rPr>
                <w:sz w:val="4"/>
                <w:szCs w:val="4"/>
              </w:rPr>
            </w:pPr>
            <w:r>
              <w:rPr>
                <w:sz w:val="4"/>
                <w:szCs w:val="4"/>
              </w:rPr>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680" w:type="dxa"/>
            <w:gridSpan w:val="2"/>
            <w:tcBorders/>
            <w:shd w:fill="auto" w:val="clear"/>
            <w:vAlign w:val="center"/>
          </w:tcPr>
          <w:p>
            <w:pPr>
              <w:pStyle w:val="TableContents"/>
              <w:spacing w:before="0" w:after="283"/>
              <w:rPr>
                <w:sz w:val="4"/>
                <w:szCs w:val="4"/>
              </w:rPr>
            </w:pPr>
            <w:r>
              <w:rPr>
                <w:sz w:val="4"/>
                <w:szCs w:val="4"/>
              </w:rPr>
            </w:r>
          </w:p>
        </w:tc>
        <w:tc>
          <w:tcPr>
            <w:tcW w:w="1078"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370" w:type="dxa"/>
            <w:gridSpan w:val="2"/>
            <w:tcBorders/>
            <w:shd w:fill="auto" w:val="clear"/>
            <w:vAlign w:val="center"/>
          </w:tcPr>
          <w:p>
            <w:pPr>
              <w:pStyle w:val="TableContents"/>
              <w:spacing w:before="0" w:after="283"/>
              <w:rPr>
                <w:sz w:val="4"/>
                <w:szCs w:val="4"/>
              </w:rPr>
            </w:pPr>
            <w:r>
              <w:rPr>
                <w:sz w:val="4"/>
                <w:szCs w:val="4"/>
              </w:rPr>
            </w:r>
          </w:p>
        </w:tc>
      </w:tr>
      <w:tr>
        <w:trPr/>
        <w:tc>
          <w:tcPr>
            <w:tcW w:w="3095" w:type="dxa"/>
            <w:tcBorders>
              <w:bottom w:val="single" w:sz="6" w:space="0" w:color="005CB9"/>
            </w:tcBorders>
            <w:shd w:fill="auto" w:val="clear"/>
            <w:tcMar>
              <w:bottom w:w="60" w:type="dxa"/>
            </w:tcMar>
            <w:vAlign w:val="center"/>
          </w:tcPr>
          <w:p>
            <w:pPr>
              <w:pStyle w:val="TableContents"/>
              <w:spacing w:before="0" w:after="0"/>
              <w:rPr/>
            </w:pPr>
            <w:r>
              <w:rPr/>
              <w:t>  </w:t>
            </w:r>
            <w:r>
              <w:rPr>
                <w:rFonts w:ascii="ARIAL" w:hAnsi="ARIAL"/>
                <w:b/>
                <w:sz w:val="16"/>
              </w:rPr>
              <w:t>Laura G. Thatcher</w:t>
            </w:r>
          </w:p>
          <w:p>
            <w:pPr>
              <w:pStyle w:val="TableContents"/>
              <w:spacing w:before="0" w:after="0"/>
              <w:rPr/>
            </w:pPr>
            <w:r>
              <w:rPr/>
              <w:t>  </w:t>
            </w:r>
            <w:r>
              <w:rPr>
                <w:rFonts w:ascii="ARIAL" w:hAnsi="ARIAL"/>
                <w:sz w:val="16"/>
              </w:rPr>
              <w:t>Retired Head of Executive</w:t>
            </w:r>
          </w:p>
          <w:p>
            <w:pPr>
              <w:pStyle w:val="TableContents"/>
              <w:spacing w:before="0" w:after="0"/>
              <w:rPr/>
            </w:pPr>
            <w:r>
              <w:rPr/>
              <w:t>  </w:t>
            </w:r>
            <w:r>
              <w:rPr>
                <w:rFonts w:ascii="ARIAL" w:hAnsi="ARIAL"/>
                <w:sz w:val="16"/>
              </w:rPr>
              <w:t>Compensation Practice, Alston &amp; Bird</w:t>
            </w:r>
          </w:p>
          <w:p>
            <w:pPr>
              <w:pStyle w:val="TableContents"/>
              <w:spacing w:before="0" w:after="20"/>
              <w:rPr/>
            </w:pPr>
            <w:r>
              <w:rPr/>
              <w:t>  </w:t>
            </w:r>
            <w:r>
              <w:rPr>
                <w:rFonts w:ascii="ARIAL" w:hAnsi="ARIAL"/>
                <w:sz w:val="16"/>
              </w:rPr>
              <w:t>LLP</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425" w:type="dxa"/>
            <w:tcBorders>
              <w:bottom w:val="single" w:sz="6" w:space="0" w:color="005CB9"/>
            </w:tcBorders>
            <w:shd w:fill="auto" w:val="clear"/>
            <w:tcMar>
              <w:bottom w:w="60" w:type="dxa"/>
            </w:tcMar>
            <w:vAlign w:val="center"/>
          </w:tcPr>
          <w:p>
            <w:pPr>
              <w:pStyle w:val="TableContents"/>
              <w:spacing w:before="0" w:after="283"/>
              <w:jc w:val="center"/>
              <w:rPr/>
            </w:pPr>
            <w:r>
              <w:rPr/>
              <w:t>67</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605" w:type="dxa"/>
            <w:tcBorders>
              <w:bottom w:val="single" w:sz="6" w:space="0" w:color="005CB9"/>
            </w:tcBorders>
            <w:shd w:fill="auto" w:val="clear"/>
            <w:tcMar>
              <w:bottom w:w="60" w:type="dxa"/>
            </w:tcMar>
            <w:vAlign w:val="center"/>
          </w:tcPr>
          <w:p>
            <w:pPr>
              <w:pStyle w:val="TableContents"/>
              <w:spacing w:before="0" w:after="283"/>
              <w:jc w:val="center"/>
              <w:rPr/>
            </w:pPr>
            <w:r>
              <w:rPr/>
              <w:t>2015</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190" w:type="dxa"/>
            <w:tcBorders>
              <w:bottom w:val="single" w:sz="6" w:space="0" w:color="005CB9"/>
            </w:tcBorders>
            <w:shd w:fill="auto"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620"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018" w:type="dxa"/>
            <w:tcBorders>
              <w:bottom w:val="single" w:sz="6" w:space="0" w:color="005CB9"/>
            </w:tcBorders>
            <w:shd w:fill="auto" w:val="clear"/>
            <w:tcMar>
              <w:bottom w:w="60" w:type="dxa"/>
            </w:tcMar>
            <w:vAlign w:val="center"/>
          </w:tcPr>
          <w:p>
            <w:pPr>
              <w:pStyle w:val="TableContents"/>
              <w:spacing w:before="0" w:after="283"/>
              <w:jc w:val="center"/>
              <w:rPr>
                <w:b/>
                <w:color w:val="005CB9"/>
              </w:rPr>
            </w:pPr>
            <w:r>
              <w:rPr>
                <w:b/>
                <w:color w:val="005CB9"/>
              </w:rPr>
              <w:t>Chair</w:t>
            </w:r>
          </w:p>
        </w:tc>
        <w:tc>
          <w:tcPr>
            <w:tcW w:w="98" w:type="dxa"/>
            <w:tcBorders>
              <w:bottom w:val="single" w:sz="6" w:space="0" w:color="005CB9"/>
            </w:tcBorders>
            <w:shd w:fill="auto" w:val="clear"/>
            <w:tcMar>
              <w:bottom w:w="28" w:type="dxa"/>
            </w:tcMar>
            <w:vAlign w:val="center"/>
          </w:tcPr>
          <w:p>
            <w:pPr>
              <w:pStyle w:val="TableContents"/>
              <w:spacing w:before="0" w:after="283"/>
              <w:rPr/>
            </w:pPr>
            <w:r>
              <w:rPr/>
              <w:t> </w:t>
            </w:r>
          </w:p>
        </w:tc>
        <w:tc>
          <w:tcPr>
            <w:tcW w:w="1019"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310" w:type="dxa"/>
            <w:tcBorders>
              <w:bottom w:val="single" w:sz="6" w:space="0" w:color="005CB9"/>
            </w:tcBorders>
            <w:shd w:fill="auto"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r>
      <w:tr>
        <w:trPr/>
        <w:tc>
          <w:tcPr>
            <w:tcW w:w="3095" w:type="dxa"/>
            <w:tcBorders/>
            <w:shd w:fill="CCDEF1" w:val="clear"/>
            <w:vAlign w:val="center"/>
          </w:tcPr>
          <w:p>
            <w:pPr>
              <w:pStyle w:val="TableContents"/>
              <w:spacing w:before="0" w:after="283"/>
              <w:rPr>
                <w:sz w:val="4"/>
                <w:szCs w:val="4"/>
              </w:rPr>
            </w:pPr>
            <w:r>
              <w:rPr>
                <w:sz w:val="4"/>
                <w:szCs w:val="4"/>
              </w:rPr>
            </w:r>
          </w:p>
        </w:tc>
        <w:tc>
          <w:tcPr>
            <w:tcW w:w="485" w:type="dxa"/>
            <w:gridSpan w:val="2"/>
            <w:tcBorders/>
            <w:shd w:fill="CCDEF1" w:val="clear"/>
            <w:vAlign w:val="center"/>
          </w:tcPr>
          <w:p>
            <w:pPr>
              <w:pStyle w:val="TableContents"/>
              <w:spacing w:before="0" w:after="283"/>
              <w:rPr>
                <w:sz w:val="4"/>
                <w:szCs w:val="4"/>
              </w:rPr>
            </w:pPr>
            <w:r>
              <w:rPr>
                <w:sz w:val="4"/>
                <w:szCs w:val="4"/>
              </w:rPr>
            </w:r>
          </w:p>
        </w:tc>
        <w:tc>
          <w:tcPr>
            <w:tcW w:w="665" w:type="dxa"/>
            <w:gridSpan w:val="2"/>
            <w:tcBorders/>
            <w:shd w:fill="CCDEF1" w:val="clear"/>
            <w:vAlign w:val="center"/>
          </w:tcPr>
          <w:p>
            <w:pPr>
              <w:pStyle w:val="TableContents"/>
              <w:spacing w:before="0" w:after="283"/>
              <w:rPr>
                <w:sz w:val="4"/>
                <w:szCs w:val="4"/>
              </w:rPr>
            </w:pPr>
            <w:r>
              <w:rPr>
                <w:sz w:val="4"/>
                <w:szCs w:val="4"/>
              </w:rPr>
            </w:r>
          </w:p>
        </w:tc>
        <w:tc>
          <w:tcPr>
            <w:tcW w:w="1250" w:type="dxa"/>
            <w:gridSpan w:val="2"/>
            <w:tcBorders/>
            <w:shd w:fill="CCDEF1" w:val="clear"/>
            <w:vAlign w:val="center"/>
          </w:tcPr>
          <w:p>
            <w:pPr>
              <w:pStyle w:val="TableContents"/>
              <w:spacing w:before="0" w:after="283"/>
              <w:rPr>
                <w:sz w:val="4"/>
                <w:szCs w:val="4"/>
              </w:rPr>
            </w:pPr>
            <w:r>
              <w:rPr>
                <w:sz w:val="4"/>
                <w:szCs w:val="4"/>
              </w:rPr>
            </w:r>
          </w:p>
        </w:tc>
        <w:tc>
          <w:tcPr>
            <w:tcW w:w="680" w:type="dxa"/>
            <w:gridSpan w:val="2"/>
            <w:tcBorders/>
            <w:shd w:fill="CCDEF1" w:val="clear"/>
            <w:vAlign w:val="center"/>
          </w:tcPr>
          <w:p>
            <w:pPr>
              <w:pStyle w:val="TableContents"/>
              <w:spacing w:before="0" w:after="283"/>
              <w:rPr>
                <w:sz w:val="4"/>
                <w:szCs w:val="4"/>
              </w:rPr>
            </w:pPr>
            <w:r>
              <w:rPr>
                <w:sz w:val="4"/>
                <w:szCs w:val="4"/>
              </w:rPr>
            </w:r>
          </w:p>
        </w:tc>
        <w:tc>
          <w:tcPr>
            <w:tcW w:w="1078" w:type="dxa"/>
            <w:gridSpan w:val="2"/>
            <w:tcBorders/>
            <w:shd w:fill="CCDEF1" w:val="clear"/>
            <w:vAlign w:val="center"/>
          </w:tcPr>
          <w:p>
            <w:pPr>
              <w:pStyle w:val="TableContents"/>
              <w:spacing w:before="0" w:after="283"/>
              <w:rPr>
                <w:sz w:val="4"/>
                <w:szCs w:val="4"/>
              </w:rPr>
            </w:pPr>
            <w:r>
              <w:rPr>
                <w:sz w:val="4"/>
                <w:szCs w:val="4"/>
              </w:rPr>
            </w:r>
          </w:p>
        </w:tc>
        <w:tc>
          <w:tcPr>
            <w:tcW w:w="1117" w:type="dxa"/>
            <w:gridSpan w:val="2"/>
            <w:tcBorders/>
            <w:shd w:fill="CCDEF1" w:val="clear"/>
            <w:vAlign w:val="center"/>
          </w:tcPr>
          <w:p>
            <w:pPr>
              <w:pStyle w:val="TableContents"/>
              <w:spacing w:before="0" w:after="283"/>
              <w:rPr>
                <w:sz w:val="4"/>
                <w:szCs w:val="4"/>
              </w:rPr>
            </w:pPr>
            <w:r>
              <w:rPr>
                <w:sz w:val="4"/>
                <w:szCs w:val="4"/>
              </w:rPr>
            </w:r>
          </w:p>
        </w:tc>
        <w:tc>
          <w:tcPr>
            <w:tcW w:w="1370" w:type="dxa"/>
            <w:gridSpan w:val="2"/>
            <w:tcBorders/>
            <w:shd w:fill="CCDEF1" w:val="clear"/>
            <w:vAlign w:val="center"/>
          </w:tcPr>
          <w:p>
            <w:pPr>
              <w:pStyle w:val="TableContents"/>
              <w:spacing w:before="0" w:after="283"/>
              <w:rPr>
                <w:sz w:val="4"/>
                <w:szCs w:val="4"/>
              </w:rPr>
            </w:pPr>
            <w:r>
              <w:rPr>
                <w:sz w:val="4"/>
                <w:szCs w:val="4"/>
              </w:rPr>
            </w:r>
          </w:p>
        </w:tc>
      </w:tr>
      <w:tr>
        <w:trPr/>
        <w:tc>
          <w:tcPr>
            <w:tcW w:w="3095" w:type="dxa"/>
            <w:tcBorders>
              <w:bottom w:val="single" w:sz="6" w:space="0" w:color="005CB9"/>
            </w:tcBorders>
            <w:shd w:fill="CCDEF1" w:val="clear"/>
            <w:tcMar>
              <w:bottom w:w="60" w:type="dxa"/>
            </w:tcMar>
            <w:vAlign w:val="center"/>
          </w:tcPr>
          <w:p>
            <w:pPr>
              <w:pStyle w:val="TableContents"/>
              <w:spacing w:before="0" w:after="0"/>
              <w:rPr/>
            </w:pPr>
            <w:r>
              <w:rPr/>
              <w:t>  </w:t>
            </w:r>
            <w:r>
              <w:rPr>
                <w:rFonts w:ascii="ARIAL" w:hAnsi="ARIAL"/>
                <w:b/>
                <w:sz w:val="16"/>
              </w:rPr>
              <w:t>Richard F. Wallman</w:t>
            </w:r>
          </w:p>
          <w:p>
            <w:pPr>
              <w:pStyle w:val="TableContents"/>
              <w:spacing w:before="0" w:after="0"/>
              <w:rPr/>
            </w:pPr>
            <w:r>
              <w:rPr/>
              <w:t>  </w:t>
            </w:r>
            <w:r>
              <w:rPr>
                <w:rFonts w:ascii="ARIAL" w:hAnsi="ARIAL"/>
                <w:sz w:val="16"/>
              </w:rPr>
              <w:t>Retired Chief Financial Officer and</w:t>
            </w:r>
          </w:p>
          <w:p>
            <w:pPr>
              <w:pStyle w:val="TableContents"/>
              <w:spacing w:before="0" w:after="0"/>
              <w:rPr/>
            </w:pPr>
            <w:r>
              <w:rPr/>
              <w:t>  </w:t>
            </w:r>
            <w:r>
              <w:rPr>
                <w:rFonts w:ascii="ARIAL" w:hAnsi="ARIAL"/>
                <w:sz w:val="16"/>
              </w:rPr>
              <w:t>Senior Vice President, Honeywell</w:t>
            </w:r>
          </w:p>
          <w:p>
            <w:pPr>
              <w:pStyle w:val="TableContents"/>
              <w:spacing w:before="0" w:after="20"/>
              <w:rPr/>
            </w:pPr>
            <w:r>
              <w:rPr/>
              <w:t>  </w:t>
            </w:r>
            <w:r>
              <w:rPr>
                <w:rFonts w:ascii="ARIAL" w:hAnsi="ARIAL"/>
                <w:sz w:val="16"/>
              </w:rPr>
              <w:t>International Inc.</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425" w:type="dxa"/>
            <w:tcBorders>
              <w:bottom w:val="single" w:sz="6" w:space="0" w:color="005CB9"/>
            </w:tcBorders>
            <w:shd w:fill="CCDEF1" w:val="clear"/>
            <w:tcMar>
              <w:bottom w:w="60" w:type="dxa"/>
            </w:tcMar>
            <w:vAlign w:val="center"/>
          </w:tcPr>
          <w:p>
            <w:pPr>
              <w:pStyle w:val="TableContents"/>
              <w:spacing w:before="0" w:after="283"/>
              <w:jc w:val="center"/>
              <w:rPr/>
            </w:pPr>
            <w:r>
              <w:rPr/>
              <w:t>72</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605" w:type="dxa"/>
            <w:tcBorders>
              <w:bottom w:val="single" w:sz="6" w:space="0" w:color="005CB9"/>
            </w:tcBorders>
            <w:shd w:fill="CCDEF1" w:val="clear"/>
            <w:tcMar>
              <w:bottom w:w="60" w:type="dxa"/>
            </w:tcMar>
            <w:vAlign w:val="center"/>
          </w:tcPr>
          <w:p>
            <w:pPr>
              <w:pStyle w:val="TableContents"/>
              <w:spacing w:before="0" w:after="283"/>
              <w:jc w:val="center"/>
              <w:rPr/>
            </w:pPr>
            <w:r>
              <w:rPr/>
              <w:t>2007</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1190" w:type="dxa"/>
            <w:tcBorders>
              <w:bottom w:val="single" w:sz="6" w:space="0" w:color="005CB9"/>
            </w:tcBorders>
            <w:shd w:fill="CCDEF1"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620" w:type="dxa"/>
            <w:tcBorders>
              <w:bottom w:val="single" w:sz="6" w:space="0" w:color="005CB9"/>
            </w:tcBorders>
            <w:shd w:fill="CCDEF1" w:val="clear"/>
            <w:tcMar>
              <w:bottom w:w="60" w:type="dxa"/>
            </w:tcMar>
            <w:vAlign w:val="center"/>
          </w:tcPr>
          <w:p>
            <w:pPr>
              <w:pStyle w:val="TableContents"/>
              <w:spacing w:before="0" w:after="283"/>
              <w:jc w:val="center"/>
              <w:rPr>
                <w:b/>
                <w:color w:val="005CB9"/>
              </w:rPr>
            </w:pPr>
            <w:r>
              <w:rPr>
                <w:b/>
                <w:color w:val="005CB9"/>
              </w:rPr>
              <w:t>Chair</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1018" w:type="dxa"/>
            <w:tcBorders>
              <w:bottom w:val="single" w:sz="6" w:space="0" w:color="005CB9"/>
            </w:tcBorders>
            <w:shd w:fill="CCDEF1" w:val="clear"/>
            <w:tcMar>
              <w:bottom w:w="28" w:type="dxa"/>
            </w:tcMar>
            <w:vAlign w:val="center"/>
          </w:tcPr>
          <w:p>
            <w:pPr>
              <w:pStyle w:val="TableContents"/>
              <w:rPr/>
            </w:pPr>
            <w:r>
              <w:rPr/>
              <w:t xml:space="preserve">  </w:t>
            </w:r>
          </w:p>
          <w:p>
            <w:pPr>
              <w:pStyle w:val="TableContents"/>
              <w:spacing w:before="0" w:after="0"/>
              <w:rPr/>
            </w:pPr>
            <w:r>
              <w:rPr/>
              <w:t> </w:t>
            </w:r>
          </w:p>
        </w:tc>
        <w:tc>
          <w:tcPr>
            <w:tcW w:w="98" w:type="dxa"/>
            <w:tcBorders>
              <w:bottom w:val="single" w:sz="6" w:space="0" w:color="005CB9"/>
            </w:tcBorders>
            <w:shd w:fill="CCDEF1" w:val="clear"/>
            <w:tcMar>
              <w:bottom w:w="28" w:type="dxa"/>
            </w:tcMar>
            <w:vAlign w:val="center"/>
          </w:tcPr>
          <w:p>
            <w:pPr>
              <w:pStyle w:val="TableContents"/>
              <w:spacing w:before="0" w:after="283"/>
              <w:rPr/>
            </w:pPr>
            <w:r>
              <w:rPr/>
              <w:t> </w:t>
            </w:r>
          </w:p>
        </w:tc>
        <w:tc>
          <w:tcPr>
            <w:tcW w:w="1019" w:type="dxa"/>
            <w:tcBorders>
              <w:bottom w:val="single" w:sz="6" w:space="0" w:color="005CB9"/>
            </w:tcBorders>
            <w:shd w:fill="CCDEF1"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5CB9"/>
            </w:tcBorders>
            <w:shd w:fill="CCDEF1" w:val="clear"/>
            <w:tcMar>
              <w:bottom w:w="28" w:type="dxa"/>
            </w:tcMar>
            <w:vAlign w:val="center"/>
          </w:tcPr>
          <w:p>
            <w:pPr>
              <w:pStyle w:val="TableContents"/>
              <w:spacing w:before="0" w:after="283"/>
              <w:rPr/>
            </w:pPr>
            <w:r>
              <w:rPr/>
              <w:t> </w:t>
            </w:r>
          </w:p>
        </w:tc>
        <w:tc>
          <w:tcPr>
            <w:tcW w:w="1310" w:type="dxa"/>
            <w:tcBorders>
              <w:bottom w:val="single" w:sz="6" w:space="0" w:color="005CB9"/>
            </w:tcBorders>
            <w:shd w:fill="CCDEF1"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r>
      <w:tr>
        <w:trPr/>
        <w:tc>
          <w:tcPr>
            <w:tcW w:w="3095"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665" w:type="dxa"/>
            <w:gridSpan w:val="2"/>
            <w:tcBorders/>
            <w:shd w:fill="auto" w:val="clear"/>
            <w:vAlign w:val="center"/>
          </w:tcPr>
          <w:p>
            <w:pPr>
              <w:pStyle w:val="TableContents"/>
              <w:spacing w:before="0" w:after="283"/>
              <w:rPr>
                <w:sz w:val="4"/>
                <w:szCs w:val="4"/>
              </w:rPr>
            </w:pPr>
            <w:r>
              <w:rPr>
                <w:sz w:val="4"/>
                <w:szCs w:val="4"/>
              </w:rPr>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680" w:type="dxa"/>
            <w:gridSpan w:val="2"/>
            <w:tcBorders/>
            <w:shd w:fill="auto" w:val="clear"/>
            <w:vAlign w:val="center"/>
          </w:tcPr>
          <w:p>
            <w:pPr>
              <w:pStyle w:val="TableContents"/>
              <w:spacing w:before="0" w:after="283"/>
              <w:rPr>
                <w:sz w:val="4"/>
                <w:szCs w:val="4"/>
              </w:rPr>
            </w:pPr>
            <w:r>
              <w:rPr>
                <w:sz w:val="4"/>
                <w:szCs w:val="4"/>
              </w:rPr>
            </w:r>
          </w:p>
        </w:tc>
        <w:tc>
          <w:tcPr>
            <w:tcW w:w="1078"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370" w:type="dxa"/>
            <w:gridSpan w:val="2"/>
            <w:tcBorders/>
            <w:shd w:fill="auto" w:val="clear"/>
            <w:vAlign w:val="center"/>
          </w:tcPr>
          <w:p>
            <w:pPr>
              <w:pStyle w:val="TableContents"/>
              <w:spacing w:before="0" w:after="283"/>
              <w:rPr>
                <w:sz w:val="4"/>
                <w:szCs w:val="4"/>
              </w:rPr>
            </w:pPr>
            <w:r>
              <w:rPr>
                <w:sz w:val="4"/>
                <w:szCs w:val="4"/>
              </w:rPr>
            </w:r>
          </w:p>
        </w:tc>
      </w:tr>
      <w:tr>
        <w:trPr/>
        <w:tc>
          <w:tcPr>
            <w:tcW w:w="3095" w:type="dxa"/>
            <w:tcBorders>
              <w:bottom w:val="single" w:sz="6" w:space="0" w:color="005CB9"/>
            </w:tcBorders>
            <w:shd w:fill="auto" w:val="clear"/>
            <w:tcMar>
              <w:bottom w:w="60" w:type="dxa"/>
            </w:tcMar>
            <w:vAlign w:val="center"/>
          </w:tcPr>
          <w:p>
            <w:pPr>
              <w:pStyle w:val="TableContents"/>
              <w:spacing w:before="0" w:after="0"/>
              <w:rPr/>
            </w:pPr>
            <w:r>
              <w:rPr/>
              <w:t>  </w:t>
            </w:r>
            <w:r>
              <w:rPr>
                <w:rFonts w:ascii="ARIAL" w:hAnsi="ARIAL"/>
                <w:b/>
                <w:sz w:val="16"/>
              </w:rPr>
              <w:t>Christopher Wright</w:t>
            </w:r>
          </w:p>
          <w:p>
            <w:pPr>
              <w:pStyle w:val="TableContents"/>
              <w:spacing w:before="0" w:after="20"/>
              <w:rPr/>
            </w:pPr>
            <w:r>
              <w:rPr/>
              <w:t>  </w:t>
            </w:r>
            <w:r>
              <w:rPr>
                <w:rFonts w:ascii="ARIAL" w:hAnsi="ARIAL"/>
                <w:sz w:val="16"/>
              </w:rPr>
              <w:t>Director, Merifin Capital</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425" w:type="dxa"/>
            <w:tcBorders>
              <w:bottom w:val="single" w:sz="6" w:space="0" w:color="005CB9"/>
            </w:tcBorders>
            <w:shd w:fill="auto" w:val="clear"/>
            <w:tcMar>
              <w:bottom w:w="60" w:type="dxa"/>
            </w:tcMar>
            <w:vAlign w:val="center"/>
          </w:tcPr>
          <w:p>
            <w:pPr>
              <w:pStyle w:val="TableContents"/>
              <w:spacing w:before="0" w:after="283"/>
              <w:jc w:val="center"/>
              <w:rPr/>
            </w:pPr>
            <w:r>
              <w:rPr/>
              <w:t>65</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605" w:type="dxa"/>
            <w:tcBorders>
              <w:bottom w:val="single" w:sz="6" w:space="0" w:color="005CB9"/>
            </w:tcBorders>
            <w:shd w:fill="auto" w:val="clear"/>
            <w:tcMar>
              <w:bottom w:w="60" w:type="dxa"/>
            </w:tcMar>
            <w:vAlign w:val="center"/>
          </w:tcPr>
          <w:p>
            <w:pPr>
              <w:pStyle w:val="TableContents"/>
              <w:spacing w:before="0" w:after="283"/>
              <w:jc w:val="center"/>
              <w:rPr/>
            </w:pPr>
            <w:r>
              <w:rPr/>
              <w:t>1991</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190" w:type="dxa"/>
            <w:tcBorders>
              <w:bottom w:val="single" w:sz="6" w:space="0" w:color="005CB9"/>
            </w:tcBorders>
            <w:shd w:fill="auto"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620" w:type="dxa"/>
            <w:tcBorders>
              <w:bottom w:val="single" w:sz="6" w:space="0" w:color="005CB9"/>
            </w:tcBorders>
            <w:shd w:fill="auto"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018" w:type="dxa"/>
            <w:tcBorders>
              <w:bottom w:val="single" w:sz="6" w:space="0" w:color="005CB9"/>
            </w:tcBorders>
            <w:shd w:fill="auto" w:val="clear"/>
            <w:tcMar>
              <w:bottom w:w="60" w:type="dxa"/>
            </w:tcMar>
            <w:vAlign w:val="center"/>
          </w:tcPr>
          <w:p>
            <w:pPr>
              <w:pStyle w:val="TableContents"/>
              <w:spacing w:before="0" w:after="283"/>
              <w:jc w:val="center"/>
              <w:rPr>
                <w:rFonts w:ascii="WINGDINGS" w:hAnsi="WINGDINGS"/>
                <w:color w:val="005CB9"/>
              </w:rPr>
            </w:pPr>
            <w:r>
              <w:rPr>
                <w:rFonts w:ascii="WINGDINGS" w:hAnsi="WINGDINGS"/>
                <w:color w:val="005CB9"/>
              </w:rPr>
              <w:t>l</w:t>
            </w:r>
          </w:p>
        </w:tc>
        <w:tc>
          <w:tcPr>
            <w:tcW w:w="98" w:type="dxa"/>
            <w:tcBorders>
              <w:bottom w:val="single" w:sz="6" w:space="0" w:color="005CB9"/>
            </w:tcBorders>
            <w:shd w:fill="auto" w:val="clear"/>
            <w:tcMar>
              <w:bottom w:w="28" w:type="dxa"/>
            </w:tcMar>
            <w:vAlign w:val="center"/>
          </w:tcPr>
          <w:p>
            <w:pPr>
              <w:pStyle w:val="TableContents"/>
              <w:spacing w:before="0" w:after="283"/>
              <w:rPr/>
            </w:pPr>
            <w:r>
              <w:rPr/>
              <w:t> </w:t>
            </w:r>
          </w:p>
        </w:tc>
        <w:tc>
          <w:tcPr>
            <w:tcW w:w="1019"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310"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r>
    </w:tbl>
    <w:p>
      <w:pPr>
        <w:pStyle w:val="TextBody"/>
        <w:spacing w:before="120" w:after="0"/>
        <w:jc w:val="left"/>
        <w:rPr>
          <w:rFonts w:ascii="ARIAL" w:hAnsi="ARIAL"/>
          <w:sz w:val="16"/>
          <w:bdr w:val="single" w:sz="8" w:space="1" w:color="005CB9"/>
        </w:rPr>
      </w:pPr>
      <w:r>
        <w:rPr>
          <w:rFonts w:ascii="ARIAL" w:hAnsi="ARIAL"/>
          <w:b/>
          <w:sz w:val="16"/>
          <w:bdr w:val="single" w:sz="8" w:space="1" w:color="005CB9"/>
        </w:rPr>
        <w:t>AC</w:t>
      </w:r>
      <w:r>
        <w:rPr>
          <w:rFonts w:ascii="ARIAL" w:hAnsi="ARIAL"/>
          <w:sz w:val="16"/>
          <w:bdr w:val="single" w:sz="8" w:space="1" w:color="005CB9"/>
        </w:rPr>
        <w:t xml:space="preserve"> = Audit Committee  </w:t>
      </w:r>
      <w:r>
        <w:rPr>
          <w:rFonts w:ascii="ARIAL" w:hAnsi="ARIAL"/>
          <w:b/>
          <w:sz w:val="16"/>
          <w:bdr w:val="single" w:sz="8" w:space="1" w:color="005CB9"/>
        </w:rPr>
        <w:t>CC</w:t>
      </w:r>
      <w:r>
        <w:rPr>
          <w:rFonts w:ascii="ARIAL" w:hAnsi="ARIAL"/>
          <w:sz w:val="16"/>
          <w:bdr w:val="single" w:sz="8" w:space="1" w:color="005CB9"/>
        </w:rPr>
        <w:t xml:space="preserve"> = Compensation Committee  </w:t>
      </w:r>
      <w:r>
        <w:rPr>
          <w:rFonts w:ascii="ARIAL" w:hAnsi="ARIAL"/>
          <w:b/>
          <w:sz w:val="16"/>
          <w:bdr w:val="single" w:sz="8" w:space="1" w:color="005CB9"/>
        </w:rPr>
        <w:t>NGC</w:t>
      </w:r>
      <w:r>
        <w:rPr>
          <w:rFonts w:ascii="ARIAL" w:hAnsi="ARIAL"/>
          <w:sz w:val="16"/>
          <w:bdr w:val="single" w:sz="8" w:space="1" w:color="005CB9"/>
        </w:rPr>
        <w:t xml:space="preserve"> = Nominating and Governance Committee  </w:t>
      </w:r>
      <w:r>
        <w:rPr>
          <w:rFonts w:ascii="ARIAL" w:hAnsi="ARIAL"/>
          <w:b/>
          <w:sz w:val="16"/>
          <w:bdr w:val="single" w:sz="8" w:space="1" w:color="005CB9"/>
        </w:rPr>
        <w:t>EC</w:t>
      </w:r>
      <w:r>
        <w:rPr>
          <w:rFonts w:ascii="ARIAL" w:hAnsi="ARIAL"/>
          <w:sz w:val="16"/>
          <w:bdr w:val="single" w:sz="8" w:space="1" w:color="005CB9"/>
        </w:rPr>
        <w:t xml:space="preserve"> = Executive Committee </w:t>
      </w:r>
    </w:p>
    <w:p>
      <w:pPr>
        <w:pStyle w:val="TextBody"/>
        <w:spacing w:before="240" w:after="0"/>
        <w:jc w:val="left"/>
        <w:rPr>
          <w:rFonts w:ascii="ARIAL" w:hAnsi="ARIAL"/>
          <w:b/>
          <w:color w:val="005CB9"/>
          <w:sz w:val="20"/>
          <w:bdr w:val="single" w:sz="8" w:space="1" w:color="005CB9"/>
        </w:rPr>
      </w:pPr>
      <w:r>
        <w:rPr>
          <w:rFonts w:ascii="ARIAL" w:hAnsi="ARIAL"/>
          <w:b/>
          <w:color w:val="005CB9"/>
          <w:sz w:val="20"/>
          <w:bdr w:val="single" w:sz="8" w:space="1" w:color="005CB9"/>
        </w:rPr>
        <w:t xml:space="preserve">CORPORATE GOVERNANCE </w:t>
      </w:r>
    </w:p>
    <w:p>
      <w:pPr>
        <w:pStyle w:val="TextBody"/>
        <w:spacing w:before="240" w:after="0"/>
        <w:jc w:val="left"/>
        <w:rPr>
          <w:rFonts w:ascii="ARIAL" w:hAnsi="ARIAL"/>
          <w:sz w:val="19"/>
          <w:bdr w:val="single" w:sz="8" w:space="1" w:color="005CB9"/>
        </w:rPr>
      </w:pPr>
      <w:r>
        <w:rPr>
          <w:rFonts w:ascii="ARIAL" w:hAnsi="ARIAL"/>
          <w:sz w:val="19"/>
          <w:bdr w:val="single" w:sz="8" w:space="1" w:color="005CB9"/>
        </w:rPr>
        <w:t xml:space="preserve">We strive to maintain effective corporate governance practices and policies, including: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Shareholder Outreach:</w:t>
      </w:r>
      <w:r>
        <w:rPr>
          <w:rFonts w:ascii="ARIAL" w:hAnsi="ARIAL"/>
          <w:sz w:val="19"/>
          <w:bdr w:val="single" w:sz="8" w:space="1" w:color="005CB9"/>
        </w:rPr>
        <w:t xml:space="preserve"> We regularly engage our shareholders for feedback to learn their views on the Company’s strategy and performance, ESG program, as well as any other governance matters of concern.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One-Year Terms for Directors:</w:t>
      </w:r>
      <w:r>
        <w:rPr>
          <w:rFonts w:ascii="ARIAL" w:hAnsi="ARIAL"/>
          <w:sz w:val="19"/>
          <w:bdr w:val="single" w:sz="8" w:space="1" w:color="005CB9"/>
        </w:rPr>
        <w:t xml:space="preserve"> All of our directors serve one-year terms.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Independent Directors:</w:t>
      </w:r>
      <w:r>
        <w:rPr>
          <w:rFonts w:ascii="ARIAL" w:hAnsi="ARIAL"/>
          <w:sz w:val="19"/>
          <w:bdr w:val="single" w:sz="8" w:space="1" w:color="005CB9"/>
        </w:rPr>
        <w:t xml:space="preserve"> All of our directors except our CEO are independent, as is each member of the Audit, Compensation, Executive, and Nominating and Governance Committees.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Independent Chair of the Board:</w:t>
      </w:r>
      <w:r>
        <w:rPr>
          <w:rFonts w:ascii="ARIAL" w:hAnsi="ARIAL"/>
          <w:sz w:val="19"/>
          <w:bdr w:val="single" w:sz="8" w:space="1" w:color="005CB9"/>
        </w:rPr>
        <w:t xml:space="preserve"> Our Chair of the Board is independent. </w:t>
      </w:r>
    </w:p>
    <w:p>
      <w:pPr>
        <w:pStyle w:val="TextBody"/>
        <w:spacing w:before="0" w:after="0"/>
        <w:jc w:val="left"/>
        <w:rPr/>
      </w:pPr>
      <w:r>
        <w:rPr/>
        <w:t> </w:t>
      </w:r>
    </w:p>
    <w:tbl>
      <w:tblPr>
        <w:tblW w:w="5935" w:type="dxa"/>
        <w:jc w:val="left"/>
        <w:tblInd w:w="0" w:type="dxa"/>
        <w:tblCellMar>
          <w:top w:w="0" w:type="dxa"/>
          <w:left w:w="0" w:type="dxa"/>
          <w:bottom w:w="0" w:type="dxa"/>
          <w:right w:w="0" w:type="dxa"/>
        </w:tblCellMar>
      </w:tblPr>
      <w:tblGrid>
        <w:gridCol w:w="155"/>
        <w:gridCol w:w="60"/>
        <w:gridCol w:w="240"/>
        <w:gridCol w:w="60"/>
        <w:gridCol w:w="255"/>
        <w:gridCol w:w="60"/>
        <w:gridCol w:w="5105"/>
      </w:tblGrid>
      <w:tr>
        <w:trPr/>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before="0" w:after="283"/>
              <w:rPr>
                <w:b/>
                <w:color w:val="005CB9"/>
              </w:rPr>
            </w:pPr>
            <w:r>
              <w:rPr>
                <w:b/>
                <w:color w:val="005CB9"/>
              </w:rPr>
              <w:t>ii</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PROXY STATEMENT SUMMARY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ind w:left="0" w:right="0" w:hanging="0"/>
        <w:jc w:val="left"/>
        <w:rPr>
          <w:rFonts w:ascii="ARIAL" w:hAnsi="ARIAL"/>
          <w:sz w:val="19"/>
          <w:bdr w:val="single" w:sz="8" w:space="1" w:color="005CB9"/>
        </w:rPr>
      </w:pPr>
      <w:r>
        <w:rPr>
          <w:rFonts w:ascii="ARIAL" w:hAnsi="ARIAL"/>
          <w:b/>
          <w:sz w:val="19"/>
          <w:bdr w:val="single" w:sz="8" w:space="1" w:color="005CB9"/>
        </w:rPr>
        <w:t>Majority Voting Standards for Uncontested Director Elections:</w:t>
      </w:r>
      <w:r>
        <w:rPr>
          <w:rFonts w:ascii="ARIAL" w:hAnsi="ARIAL"/>
          <w:sz w:val="19"/>
          <w:bdr w:val="single" w:sz="8" w:space="1" w:color="005CB9"/>
        </w:rPr>
        <w:t xml:space="preserve"> We require any incumbent director who fails to obtain a majority vote in uncontested elections to tender his or her resignation.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 xml:space="preserve">Proxy Access: </w:t>
      </w:r>
      <w:r>
        <w:rPr>
          <w:rFonts w:ascii="ARIAL" w:hAnsi="ARIAL"/>
          <w:sz w:val="19"/>
          <w:bdr w:val="single" w:sz="8" w:space="1" w:color="005CB9"/>
        </w:rPr>
        <w:t xml:space="preserve">In March 2016, we amended our By-laws to implement proxy access for eligible shareholders. Our proxy access provision permits a shareholder, or a group of up to 20 shareholders, that has owned at least 3% of our outstanding common stock continuously for at least three years to nominate and include in our proxy materials up to the greater of two directors or 20% of the number of our directors then in office, provided that the shareholders and the nominees satisfy the requirements set forth in the By-laws.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Shareholder Engagement:</w:t>
      </w:r>
      <w:r>
        <w:rPr>
          <w:rFonts w:ascii="ARIAL" w:hAnsi="ARIAL"/>
          <w:sz w:val="19"/>
          <w:bdr w:val="single" w:sz="8" w:space="1" w:color="005CB9"/>
        </w:rPr>
        <w:t xml:space="preserve"> We highly value feedback from our shareholders. In addition to our traditional Investor Relations engagement efforts, we have had discussions with numerous shareholders on ESG topics including climate change, cybersecurity, data privacy, diversity and inclusion, and talent management. These discussions have been extremely helpful in identifying issues of importance to our investors as we develop and evolve our ESG program. We also shared feedback received during these discussions with our Compensation Committee and Nominating and Governance Committee, informing their decision-making.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 xml:space="preserve">Anti-Hedging and Anti-Pledging Policy: </w:t>
      </w:r>
      <w:r>
        <w:rPr>
          <w:rFonts w:ascii="ARIAL" w:hAnsi="ARIAL"/>
          <w:sz w:val="19"/>
          <w:bdr w:val="single" w:sz="8" w:space="1" w:color="005CB9"/>
        </w:rPr>
        <w:t xml:space="preserve">We have both anti-hedging and anti-pledging policies.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Board Refreshment/Term Limits:</w:t>
      </w:r>
      <w:r>
        <w:rPr>
          <w:rFonts w:ascii="ARIAL" w:hAnsi="ARIAL"/>
          <w:sz w:val="19"/>
          <w:bdr w:val="single" w:sz="8" w:space="1" w:color="005CB9"/>
        </w:rPr>
        <w:t xml:space="preserve"> The mandatory retirement age for directors joining the Board prior to 2020 is 80. Directors joining our Board after January 1, 2020 are required to retire upon the earlier of (i) the attainment of age 80, and (ii) the 15-year anniversary of the first annual shareholders meeting following the date the director joined the Board. </w:t>
      </w:r>
    </w:p>
    <w:p>
      <w:pPr>
        <w:pStyle w:val="TextBody"/>
        <w:spacing w:before="0" w:after="0"/>
        <w:jc w:val="left"/>
        <w:rPr/>
      </w:pPr>
      <w:r>
        <w:rPr/>
        <w:t> </w:t>
      </w:r>
    </w:p>
    <w:tbl>
      <w:tblPr>
        <w:tblW w:w="6175" w:type="dxa"/>
        <w:jc w:val="left"/>
        <w:tblInd w:w="0" w:type="dxa"/>
        <w:tblCellMar>
          <w:top w:w="0" w:type="dxa"/>
          <w:left w:w="0" w:type="dxa"/>
          <w:bottom w:w="0" w:type="dxa"/>
          <w:right w:w="0" w:type="dxa"/>
        </w:tblCellMar>
      </w:tblPr>
      <w:tblGrid>
        <w:gridCol w:w="75"/>
        <w:gridCol w:w="60"/>
        <w:gridCol w:w="255"/>
        <w:gridCol w:w="60"/>
        <w:gridCol w:w="5090"/>
        <w:gridCol w:w="60"/>
        <w:gridCol w:w="240"/>
        <w:gridCol w:w="60"/>
        <w:gridCol w:w="27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color w:val="005CB9"/>
              </w:rPr>
            </w:pPr>
            <w:r>
              <w:rPr>
                <w:color w:val="005CB9"/>
              </w:rPr>
              <w:t> </w:t>
            </w:r>
            <w:r>
              <w:rPr>
                <w:b/>
                <w:color w:val="005CB9"/>
              </w:rPr>
              <w:t>iii</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PROXY STATEMENT SUMMARY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ind w:left="0" w:right="0" w:hanging="0"/>
        <w:jc w:val="left"/>
        <w:rPr>
          <w:rFonts w:ascii="ARIAL" w:hAnsi="ARIAL"/>
          <w:b/>
          <w:color w:val="005CB9"/>
          <w:sz w:val="20"/>
          <w:bdr w:val="single" w:sz="8" w:space="1" w:color="005CB9"/>
        </w:rPr>
      </w:pPr>
      <w:r>
        <w:rPr>
          <w:rFonts w:ascii="ARIAL" w:hAnsi="ARIAL"/>
          <w:b/>
          <w:color w:val="005CB9"/>
          <w:sz w:val="20"/>
          <w:bdr w:val="single" w:sz="8" w:space="1" w:color="005CB9"/>
        </w:rPr>
        <w:t xml:space="preserve">BOARD SNAPSHOT </w:t>
      </w:r>
    </w:p>
    <w:p>
      <w:pPr>
        <w:pStyle w:val="TextBody"/>
        <w:spacing w:before="0" w:after="0"/>
        <w:jc w:val="left"/>
        <w:rPr>
          <w:bdr w:val="single" w:sz="8" w:space="1" w:color="005CB9"/>
        </w:rPr>
      </w:pPr>
      <w:r>
        <w:rPr>
          <w:bdr w:val="single" w:sz="8" w:space="1" w:color="005CB9"/>
        </w:rPr>
        <w:t> </w:t>
      </w:r>
    </w:p>
    <w:p>
      <w:pPr>
        <w:pStyle w:val="TextBody"/>
        <w:spacing w:before="0" w:after="0"/>
        <w:jc w:val="left"/>
        <w:rPr>
          <w:bdr w:val="single" w:sz="8" w:space="1" w:color="005CB9"/>
        </w:rPr>
      </w:pPr>
      <w:r>
        <w:rPr>
          <w:bdr w:val="single" w:sz="8" w:space="1" w:color="005CB9"/>
        </w:rPr>
        <w:t> </w:t>
      </w:r>
    </w:p>
    <w:tbl>
      <w:tblPr>
        <w:tblW w:w="998" w:type="dxa"/>
        <w:jc w:val="left"/>
        <w:tblInd w:w="0" w:type="dxa"/>
        <w:tblCellMar>
          <w:top w:w="0" w:type="dxa"/>
          <w:left w:w="0" w:type="dxa"/>
          <w:bottom w:w="0" w:type="dxa"/>
          <w:right w:w="0" w:type="dxa"/>
        </w:tblCellMar>
      </w:tblPr>
      <w:tblGrid>
        <w:gridCol w:w="469"/>
        <w:gridCol w:w="120"/>
        <w:gridCol w:w="409"/>
      </w:tblGrid>
      <w:tr>
        <w:trPr/>
        <w:tc>
          <w:tcPr>
            <w:tcW w:w="46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r>
      <w:tr>
        <w:trPr/>
        <w:tc>
          <w:tcPr>
            <w:tcW w:w="469" w:type="dxa"/>
            <w:tcBorders/>
            <w:shd w:fill="auto" w:val="clear"/>
            <w:vAlign w:val="center"/>
          </w:tcPr>
          <w:p>
            <w:pPr>
              <w:pStyle w:val="TableContents"/>
              <w:spacing w:before="0" w:after="283"/>
              <w:jc w:val="center"/>
              <w:rPr/>
            </w:pPr>
            <w:r>
              <w:rPr/>
              <w:drawing>
                <wp:inline distT="0" distB="0" distL="0" distR="0">
                  <wp:extent cx="250190" cy="24701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250190" cy="24701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jc w:val="center"/>
              <w:rPr/>
            </w:pPr>
            <w:r>
              <w:rPr/>
              <w:drawing>
                <wp:inline distT="0" distB="0" distL="0" distR="0">
                  <wp:extent cx="212090" cy="24701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212090" cy="247015"/>
                          </a:xfrm>
                          <a:prstGeom prst="rect">
                            <a:avLst/>
                          </a:prstGeom>
                        </pic:spPr>
                      </pic:pic>
                    </a:graphicData>
                  </a:graphic>
                </wp:inline>
              </w:drawing>
            </w:r>
            <w:r>
              <w:rPr/>
              <w:t xml:space="preserve"> </w:t>
            </w:r>
          </w:p>
        </w:tc>
      </w:tr>
    </w:tbl>
    <w:p>
      <w:pPr>
        <w:pStyle w:val="TextBody"/>
        <w:spacing w:before="0" w:after="0"/>
        <w:jc w:val="left"/>
        <w:rPr>
          <w:bdr w:val="single" w:sz="8" w:space="1" w:color="005CB9"/>
        </w:rPr>
      </w:pPr>
      <w:r>
        <w:rPr>
          <w:bdr w:val="single" w:sz="8" w:space="1" w:color="005CB9"/>
        </w:rPr>
        <w:t> </w:t>
      </w:r>
    </w:p>
    <w:p>
      <w:pPr>
        <w:pStyle w:val="TextBody"/>
        <w:spacing w:before="0" w:after="0"/>
        <w:jc w:val="center"/>
        <w:rPr>
          <w:bdr w:val="single" w:sz="8" w:space="1" w:color="005CB9"/>
        </w:rPr>
      </w:pPr>
      <w:r>
        <w:rPr>
          <w:bdr w:val="single" w:sz="8" w:space="1" w:color="005CB9"/>
        </w:rPr>
        <w:drawing>
          <wp:inline distT="0" distB="0" distL="0" distR="0">
            <wp:extent cx="542925" cy="15176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542925" cy="151765"/>
                    </a:xfrm>
                    <a:prstGeom prst="rect">
                      <a:avLst/>
                    </a:prstGeom>
                  </pic:spPr>
                </pic:pic>
              </a:graphicData>
            </a:graphic>
          </wp:inline>
        </w:drawing>
      </w:r>
      <w:r>
        <w:rPr>
          <w:bdr w:val="single" w:sz="8" w:space="1" w:color="005CB9"/>
        </w:rPr>
        <w:t xml:space="preserve"> </w:t>
      </w:r>
    </w:p>
    <w:p>
      <w:pPr>
        <w:pStyle w:val="TextBody"/>
        <w:spacing w:before="0" w:after="0"/>
        <w:jc w:val="left"/>
        <w:rPr/>
      </w:pPr>
      <w:r>
        <w:rPr/>
        <w:t> </w:t>
      </w:r>
    </w:p>
    <w:tbl>
      <w:tblPr>
        <w:tblW w:w="5995" w:type="dxa"/>
        <w:jc w:val="left"/>
        <w:tblInd w:w="0" w:type="dxa"/>
        <w:tblCellMar>
          <w:top w:w="0" w:type="dxa"/>
          <w:left w:w="0" w:type="dxa"/>
          <w:bottom w:w="0" w:type="dxa"/>
          <w:right w:w="0" w:type="dxa"/>
        </w:tblCellMar>
      </w:tblPr>
      <w:tblGrid>
        <w:gridCol w:w="215"/>
        <w:gridCol w:w="60"/>
        <w:gridCol w:w="240"/>
        <w:gridCol w:w="60"/>
        <w:gridCol w:w="255"/>
        <w:gridCol w:w="60"/>
        <w:gridCol w:w="5105"/>
      </w:tblGrid>
      <w:tr>
        <w:trPr/>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rPr>
                <w:b/>
                <w:color w:val="005CB9"/>
              </w:rPr>
            </w:pPr>
            <w:r>
              <w:rPr>
                <w:b/>
                <w:color w:val="005CB9"/>
              </w:rPr>
              <w:t>iv</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PROXY STATEMENT SUMMARY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ind w:left="0" w:right="0" w:hanging="0"/>
        <w:jc w:val="left"/>
        <w:rPr>
          <w:rFonts w:ascii="ARIAL" w:hAnsi="ARIAL"/>
          <w:b/>
          <w:color w:val="005CB9"/>
          <w:sz w:val="20"/>
          <w:bdr w:val="single" w:sz="8" w:space="1" w:color="005CB9"/>
        </w:rPr>
      </w:pPr>
      <w:r>
        <w:rPr>
          <w:rFonts w:ascii="ARIAL" w:hAnsi="ARIAL"/>
          <w:b/>
          <w:color w:val="005CB9"/>
          <w:sz w:val="20"/>
          <w:bdr w:val="single" w:sz="8" w:space="1" w:color="005CB9"/>
        </w:rPr>
        <w:t xml:space="preserve">BUSINESS HIGHLIGHTS </w:t>
      </w:r>
    </w:p>
    <w:p>
      <w:pPr>
        <w:pStyle w:val="TextBody"/>
        <w:spacing w:before="240" w:after="0"/>
        <w:jc w:val="left"/>
        <w:rPr>
          <w:rFonts w:ascii="ARIAL" w:hAnsi="ARIAL"/>
          <w:sz w:val="19"/>
          <w:bdr w:val="single" w:sz="8" w:space="1" w:color="005CB9"/>
        </w:rPr>
      </w:pPr>
      <w:r>
        <w:rPr>
          <w:rFonts w:ascii="ARIAL" w:hAnsi="ARIAL"/>
          <w:sz w:val="19"/>
          <w:bdr w:val="single" w:sz="8" w:space="1" w:color="005CB9"/>
        </w:rPr>
        <w:t xml:space="preserve">We achieved another year of strong results in 2022 despite the challenging macroeconomic environment: (1) </w:t>
      </w:r>
    </w:p>
    <w:p>
      <w:pPr>
        <w:pStyle w:val="TextBody"/>
        <w:spacing w:before="0" w:after="0"/>
        <w:jc w:val="left"/>
        <w:rPr>
          <w:bdr w:val="single" w:sz="8" w:space="1" w:color="005CB9"/>
        </w:rPr>
      </w:pPr>
      <w:r>
        <w:rPr>
          <w:bdr w:val="single" w:sz="8" w:space="1" w:color="005CB9"/>
        </w:rPr>
        <w:t> </w:t>
      </w:r>
    </w:p>
    <w:tbl>
      <w:tblPr>
        <w:tblW w:w="9265" w:type="dxa"/>
        <w:jc w:val="left"/>
        <w:tblInd w:w="0" w:type="dxa"/>
        <w:tblCellMar>
          <w:top w:w="0" w:type="dxa"/>
          <w:left w:w="0" w:type="dxa"/>
          <w:bottom w:w="0" w:type="dxa"/>
          <w:right w:w="0" w:type="dxa"/>
        </w:tblCellMar>
      </w:tblPr>
      <w:tblGrid>
        <w:gridCol w:w="75"/>
        <w:gridCol w:w="110"/>
        <w:gridCol w:w="60"/>
        <w:gridCol w:w="8945"/>
        <w:gridCol w:w="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45" w:type="dxa"/>
            <w:tcBorders/>
            <w:shd w:fill="auto" w:val="clear"/>
            <w:vAlign w:val="center"/>
          </w:tcPr>
          <w:p>
            <w:pPr>
              <w:pStyle w:val="TableContents"/>
              <w:spacing w:before="0" w:after="0"/>
              <w:jc w:val="left"/>
              <w:rPr>
                <w:rFonts w:ascii="ARIAL" w:hAnsi="ARIAL"/>
                <w:sz w:val="19"/>
              </w:rPr>
            </w:pPr>
            <w:r>
              <w:rPr>
                <w:rFonts w:ascii="ARIAL" w:hAnsi="ARIAL"/>
                <w:sz w:val="19"/>
              </w:rPr>
              <w:t xml:space="preserve">Annual shareholder return of negative 11.6%, compared to a return of negative 18.1% for the S&amp;P 500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bdr w:val="single" w:sz="8" w:space="1" w:color="005CB9"/>
        </w:rPr>
      </w:pPr>
      <w:r>
        <w:rPr>
          <w:bdr w:val="single" w:sz="8" w:space="1" w:color="005CB9"/>
        </w:rPr>
        <w:t> </w:t>
      </w:r>
    </w:p>
    <w:tbl>
      <w:tblPr>
        <w:tblW w:w="7435" w:type="dxa"/>
        <w:jc w:val="left"/>
        <w:tblInd w:w="0" w:type="dxa"/>
        <w:tblCellMar>
          <w:top w:w="0" w:type="dxa"/>
          <w:left w:w="0" w:type="dxa"/>
          <w:bottom w:w="0" w:type="dxa"/>
          <w:right w:w="0" w:type="dxa"/>
        </w:tblCellMar>
      </w:tblPr>
      <w:tblGrid>
        <w:gridCol w:w="75"/>
        <w:gridCol w:w="110"/>
        <w:gridCol w:w="60"/>
        <w:gridCol w:w="7115"/>
        <w:gridCol w:w="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15" w:type="dxa"/>
            <w:tcBorders/>
            <w:shd w:fill="auto" w:val="clear"/>
            <w:vAlign w:val="center"/>
          </w:tcPr>
          <w:p>
            <w:pPr>
              <w:pStyle w:val="TableContents"/>
              <w:spacing w:before="0" w:after="0"/>
              <w:jc w:val="left"/>
              <w:rPr>
                <w:rFonts w:ascii="ARIAL" w:hAnsi="ARIAL"/>
                <w:sz w:val="19"/>
              </w:rPr>
            </w:pPr>
            <w:r>
              <w:rPr>
                <w:rFonts w:ascii="ARIAL" w:hAnsi="ARIAL"/>
                <w:sz w:val="19"/>
              </w:rPr>
              <w:t xml:space="preserve">GAAP revenue increased 11% to $5.37 billion and organic revenue increased 9%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bdr w:val="single" w:sz="8" w:space="1" w:color="005CB9"/>
        </w:rPr>
      </w:pPr>
      <w:r>
        <w:rPr>
          <w:bdr w:val="single" w:sz="8" w:space="1" w:color="005CB9"/>
        </w:rPr>
        <w:t> </w:t>
      </w:r>
    </w:p>
    <w:tbl>
      <w:tblPr>
        <w:tblW w:w="10205" w:type="dxa"/>
        <w:jc w:val="left"/>
        <w:tblInd w:w="0" w:type="dxa"/>
        <w:tblCellMar>
          <w:top w:w="0" w:type="dxa"/>
          <w:left w:w="0" w:type="dxa"/>
          <w:bottom w:w="0" w:type="dxa"/>
          <w:right w:w="0" w:type="dxa"/>
        </w:tblCellMar>
      </w:tblPr>
      <w:tblGrid>
        <w:gridCol w:w="75"/>
        <w:gridCol w:w="110"/>
        <w:gridCol w:w="60"/>
        <w:gridCol w:w="9885"/>
        <w:gridCol w:w="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85" w:type="dxa"/>
            <w:tcBorders/>
            <w:shd w:fill="auto" w:val="clear"/>
            <w:vAlign w:val="center"/>
          </w:tcPr>
          <w:p>
            <w:pPr>
              <w:pStyle w:val="TableContents"/>
              <w:spacing w:before="0" w:after="0"/>
              <w:jc w:val="left"/>
              <w:rPr>
                <w:rFonts w:ascii="ARIAL" w:hAnsi="ARIAL"/>
                <w:sz w:val="19"/>
              </w:rPr>
            </w:pPr>
            <w:r>
              <w:rPr>
                <w:rFonts w:ascii="ARIAL" w:hAnsi="ARIAL"/>
                <w:sz w:val="19"/>
              </w:rPr>
              <w:t xml:space="preserve">GAAP net earnings were $986 million, adjusted EBITDA increased 12% to $2.17 billion and adjusted EBITDA margin improved 20 basis points to 40.4%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bdr w:val="single" w:sz="8" w:space="1" w:color="005CB9"/>
        </w:rPr>
      </w:pPr>
      <w:r>
        <w:rPr>
          <w:bdr w:val="single" w:sz="8" w:space="1" w:color="005CB9"/>
        </w:rPr>
        <w:t> </w:t>
      </w:r>
    </w:p>
    <w:tbl>
      <w:tblPr>
        <w:tblW w:w="10205" w:type="dxa"/>
        <w:jc w:val="left"/>
        <w:tblInd w:w="0" w:type="dxa"/>
        <w:tblCellMar>
          <w:top w:w="0" w:type="dxa"/>
          <w:left w:w="0" w:type="dxa"/>
          <w:bottom w:w="0" w:type="dxa"/>
          <w:right w:w="0" w:type="dxa"/>
        </w:tblCellMar>
      </w:tblPr>
      <w:tblGrid>
        <w:gridCol w:w="75"/>
        <w:gridCol w:w="110"/>
        <w:gridCol w:w="60"/>
        <w:gridCol w:w="9885"/>
        <w:gridCol w:w="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85" w:type="dxa"/>
            <w:tcBorders/>
            <w:shd w:fill="auto" w:val="clear"/>
            <w:vAlign w:val="center"/>
          </w:tcPr>
          <w:p>
            <w:pPr>
              <w:pStyle w:val="TableContents"/>
              <w:spacing w:before="0" w:after="0"/>
              <w:jc w:val="left"/>
              <w:rPr>
                <w:rFonts w:ascii="ARIAL" w:hAnsi="ARIAL"/>
                <w:sz w:val="19"/>
              </w:rPr>
            </w:pPr>
            <w:r>
              <w:rPr>
                <w:rFonts w:ascii="ARIAL" w:hAnsi="ARIAL"/>
                <w:sz w:val="19"/>
              </w:rPr>
              <w:t xml:space="preserve">We successfully executed our divestiture strategy to reduce the cyclicality and asset intensity of our enterprise, selling a majority stake in our Alpha, AMOT, CCC, Cornell, Dynisco, FTI, Hansen, Hardy, Logitech, Metrix, PAC, Roper Pump, Struers, Technolog, Uson, and Viatran businesses and closing of the sale of our TransCore and Zetec businesses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bdr w:val="single" w:sz="8" w:space="1" w:color="005CB9"/>
        </w:rPr>
      </w:pPr>
      <w:r>
        <w:rPr>
          <w:bdr w:val="single" w:sz="8" w:space="1" w:color="005CB9"/>
        </w:rPr>
        <w:t> </w:t>
      </w:r>
    </w:p>
    <w:tbl>
      <w:tblPr>
        <w:tblW w:w="10205" w:type="dxa"/>
        <w:jc w:val="left"/>
        <w:tblInd w:w="0" w:type="dxa"/>
        <w:tblCellMar>
          <w:top w:w="0" w:type="dxa"/>
          <w:left w:w="0" w:type="dxa"/>
          <w:bottom w:w="0" w:type="dxa"/>
          <w:right w:w="0" w:type="dxa"/>
        </w:tblCellMar>
      </w:tblPr>
      <w:tblGrid>
        <w:gridCol w:w="75"/>
        <w:gridCol w:w="110"/>
        <w:gridCol w:w="60"/>
        <w:gridCol w:w="9885"/>
        <w:gridCol w:w="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85" w:type="dxa"/>
            <w:tcBorders/>
            <w:shd w:fill="auto" w:val="clear"/>
            <w:vAlign w:val="center"/>
          </w:tcPr>
          <w:p>
            <w:pPr>
              <w:pStyle w:val="TableContents"/>
              <w:spacing w:before="0" w:after="0"/>
              <w:jc w:val="left"/>
              <w:rPr>
                <w:rFonts w:ascii="ARIAL" w:hAnsi="ARIAL"/>
                <w:sz w:val="19"/>
              </w:rPr>
            </w:pPr>
            <w:r>
              <w:rPr>
                <w:rFonts w:ascii="ARIAL" w:hAnsi="ARIAL"/>
                <w:sz w:val="19"/>
              </w:rPr>
              <w:t xml:space="preserve">We continued to execute on our capital deployment strategy through the purchase of Frontline Education, a provider of cloud-based software platforms of administrative solutions that are purpose-built for K-12 education, for approximately $3.74 billion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bdr w:val="single" w:sz="8" w:space="1" w:color="005CB9"/>
        </w:rPr>
      </w:pPr>
      <w:r>
        <w:rPr>
          <w:bdr w:val="single" w:sz="8" w:space="1" w:color="005CB9"/>
        </w:rPr>
        <w:t> </w:t>
      </w:r>
    </w:p>
    <w:tbl>
      <w:tblPr>
        <w:tblW w:w="7345" w:type="dxa"/>
        <w:jc w:val="left"/>
        <w:tblInd w:w="0" w:type="dxa"/>
        <w:tblCellMar>
          <w:top w:w="0" w:type="dxa"/>
          <w:left w:w="0" w:type="dxa"/>
          <w:bottom w:w="0" w:type="dxa"/>
          <w:right w:w="0" w:type="dxa"/>
        </w:tblCellMar>
      </w:tblPr>
      <w:tblGrid>
        <w:gridCol w:w="75"/>
        <w:gridCol w:w="110"/>
        <w:gridCol w:w="60"/>
        <w:gridCol w:w="7025"/>
        <w:gridCol w:w="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25" w:type="dxa"/>
            <w:tcBorders/>
            <w:shd w:fill="auto" w:val="clear"/>
            <w:vAlign w:val="center"/>
          </w:tcPr>
          <w:p>
            <w:pPr>
              <w:pStyle w:val="TableContents"/>
              <w:spacing w:before="0" w:after="0"/>
              <w:jc w:val="left"/>
              <w:rPr>
                <w:rFonts w:ascii="ARIAL" w:hAnsi="ARIAL"/>
                <w:sz w:val="19"/>
              </w:rPr>
            </w:pPr>
            <w:r>
              <w:rPr>
                <w:rFonts w:ascii="ARIAL" w:hAnsi="ARIAL"/>
                <w:sz w:val="19"/>
              </w:rPr>
              <w:t xml:space="preserve">Our annual dividend increased by 10%, increasing for the 30th consecutive year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bdr w:val="single" w:sz="8" w:space="1" w:color="005CB9"/>
        </w:rPr>
      </w:pPr>
      <w:r>
        <w:rPr>
          <w:bdr w:val="single" w:sz="8" w:space="1" w:color="005CB9"/>
        </w:rPr>
        <w:t> </w:t>
      </w:r>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283"/>
              <w:jc w:val="left"/>
              <w:rPr>
                <w:i/>
              </w:rPr>
            </w:pPr>
            <w:r>
              <w:rPr>
                <w:i/>
              </w:rPr>
              <w:t>(1) </w:t>
            </w:r>
          </w:p>
        </w:tc>
        <w:tc>
          <w:tcPr>
            <w:tcW w:w="9913" w:type="dxa"/>
            <w:tcBorders/>
            <w:shd w:fill="auto" w:val="clear"/>
            <w:vAlign w:val="center"/>
          </w:tcPr>
          <w:p>
            <w:pPr>
              <w:pStyle w:val="TableContents"/>
              <w:spacing w:before="0" w:after="0"/>
              <w:jc w:val="left"/>
              <w:rPr>
                <w:rFonts w:ascii="ARIAL" w:hAnsi="ARIAL"/>
                <w:i/>
                <w:sz w:val="16"/>
              </w:rPr>
            </w:pPr>
            <w:r>
              <w:rPr>
                <w:rFonts w:ascii="ARIAL" w:hAnsi="ARIAL"/>
                <w:i/>
                <w:sz w:val="16"/>
              </w:rPr>
              <w:t xml:space="preserve">This financial information is presented on a continuing operations basis and an adjusted (non-GAAP) basis. A reconciliation from non-GAAP financial measures to the most comparable GAAP measure and other related information is available in “Appendix A—Reconciliations.” </w:t>
            </w:r>
          </w:p>
        </w:tc>
      </w:tr>
    </w:tbl>
    <w:p>
      <w:pPr>
        <w:pStyle w:val="TextBody"/>
        <w:spacing w:before="240" w:after="0"/>
        <w:jc w:val="left"/>
        <w:rPr>
          <w:rFonts w:ascii="ARIAL" w:hAnsi="ARIAL"/>
          <w:b/>
          <w:color w:val="005CB9"/>
          <w:sz w:val="20"/>
          <w:bdr w:val="single" w:sz="8" w:space="1" w:color="005CB9"/>
        </w:rPr>
      </w:pPr>
      <w:r>
        <w:rPr>
          <w:rFonts w:ascii="ARIAL" w:hAnsi="ARIAL"/>
          <w:b/>
          <w:color w:val="005CB9"/>
          <w:sz w:val="20"/>
          <w:bdr w:val="single" w:sz="8" w:space="1" w:color="005CB9"/>
        </w:rPr>
        <w:t xml:space="preserve">COMPENSATION HIGHLIGHTS </w:t>
      </w:r>
    </w:p>
    <w:p>
      <w:pPr>
        <w:pStyle w:val="TextBody"/>
        <w:spacing w:before="240" w:after="0"/>
        <w:jc w:val="left"/>
        <w:rPr>
          <w:rFonts w:ascii="ARIAL" w:hAnsi="ARIAL"/>
          <w:sz w:val="19"/>
          <w:bdr w:val="single" w:sz="8" w:space="1" w:color="005CB9"/>
        </w:rPr>
      </w:pPr>
      <w:r>
        <w:rPr>
          <w:rFonts w:ascii="ARIAL" w:hAnsi="ARIAL"/>
          <w:sz w:val="19"/>
          <w:bdr w:val="single" w:sz="8" w:space="1" w:color="005CB9"/>
        </w:rPr>
        <w:t xml:space="preserve">The creation of shareholder value is the foundation and driver of our executive compensation program. Aspects of our program that closely align the compensation of our executive officers with the long-term interests of our shareholders include the following: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Pay for Performance:</w:t>
      </w:r>
      <w:r>
        <w:rPr>
          <w:rFonts w:ascii="ARIAL" w:hAnsi="ARIAL"/>
          <w:sz w:val="19"/>
          <w:bdr w:val="single" w:sz="8" w:space="1" w:color="005CB9"/>
        </w:rPr>
        <w:t xml:space="preserve"> Almost all of our executive officer compensation is tied to pre-set, objective performance criteria and long-term shareholder value creation. In 2022, total direct compensation at target that was at risk and tied to stock price and performance objectives was 95% for our CEO, and 88% on average for our other named executive officers.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Performance-Based Equity:</w:t>
      </w:r>
      <w:r>
        <w:rPr>
          <w:rFonts w:ascii="ARIAL" w:hAnsi="ARIAL"/>
          <w:sz w:val="19"/>
          <w:bdr w:val="single" w:sz="8" w:space="1" w:color="005CB9"/>
        </w:rPr>
        <w:t xml:space="preserve"> All restricted stock awards to our executive officers are subject to satisfaction of performance criteria (no awards are solely time-based).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 xml:space="preserve">Double Trigger Vesting: </w:t>
      </w:r>
      <w:r>
        <w:rPr>
          <w:rFonts w:ascii="ARIAL" w:hAnsi="ARIAL"/>
          <w:sz w:val="19"/>
          <w:bdr w:val="single" w:sz="8" w:space="1" w:color="005CB9"/>
        </w:rPr>
        <w:t xml:space="preserve">“Double trigger” vesting of equity awards if a change in control occurs; no excise tax gross-ups for change-in-control payments.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Three Year Vesting for Equity Awards:</w:t>
      </w:r>
      <w:r>
        <w:rPr>
          <w:rFonts w:ascii="ARIAL" w:hAnsi="ARIAL"/>
          <w:sz w:val="19"/>
          <w:bdr w:val="single" w:sz="8" w:space="1" w:color="005CB9"/>
        </w:rPr>
        <w:t xml:space="preserve"> Beginning in 2022, equity awards made to all named executive officers may vest only at the end of a three-year period. Previously only awards made to the CEO were subject to vesting at the end of a three-year period.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Stock Ownership Guidelines:</w:t>
      </w:r>
      <w:r>
        <w:rPr>
          <w:rFonts w:ascii="ARIAL" w:hAnsi="ARIAL"/>
          <w:sz w:val="19"/>
          <w:bdr w:val="single" w:sz="8" w:space="1" w:color="005CB9"/>
        </w:rPr>
        <w:t xml:space="preserve"> Substantial share ownership and retention guidelines for our executive officers and non-employee directors.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Clawback Policy:</w:t>
      </w:r>
      <w:r>
        <w:rPr>
          <w:rFonts w:ascii="ARIAL" w:hAnsi="ARIAL"/>
          <w:sz w:val="19"/>
          <w:bdr w:val="single" w:sz="8" w:space="1" w:color="005CB9"/>
        </w:rPr>
        <w:t xml:space="preserve"> We have a clawback policy to recoup erroneously paid cash and equity compensation.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 xml:space="preserve">Dividends Only on Shares Earned: </w:t>
      </w:r>
      <w:r>
        <w:rPr>
          <w:rFonts w:ascii="ARIAL" w:hAnsi="ARIAL"/>
          <w:sz w:val="19"/>
          <w:bdr w:val="single" w:sz="8" w:space="1" w:color="005CB9"/>
        </w:rPr>
        <w:t xml:space="preserve">Dividends on executive officers’ restricted shares are paid only if the shares are earned.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Annual Bonus Caps:</w:t>
      </w:r>
      <w:r>
        <w:rPr>
          <w:rFonts w:ascii="ARIAL" w:hAnsi="ARIAL"/>
          <w:sz w:val="19"/>
          <w:bdr w:val="single" w:sz="8" w:space="1" w:color="005CB9"/>
        </w:rPr>
        <w:t xml:space="preserve"> We have caps on annual bonuses to avoid an excessive short-term focus and potentially adverse risk-taking. </w:t>
      </w:r>
    </w:p>
    <w:p>
      <w:pPr>
        <w:pStyle w:val="TextBody"/>
        <w:spacing w:before="0" w:after="0"/>
        <w:jc w:val="left"/>
        <w:rPr/>
      </w:pPr>
      <w:r>
        <w:rPr/>
        <w:t> </w:t>
      </w:r>
    </w:p>
    <w:tbl>
      <w:tblPr>
        <w:tblW w:w="6115" w:type="dxa"/>
        <w:jc w:val="left"/>
        <w:tblInd w:w="0" w:type="dxa"/>
        <w:tblCellMar>
          <w:top w:w="0" w:type="dxa"/>
          <w:left w:w="0" w:type="dxa"/>
          <w:bottom w:w="0" w:type="dxa"/>
          <w:right w:w="0" w:type="dxa"/>
        </w:tblCellMar>
      </w:tblPr>
      <w:tblGrid>
        <w:gridCol w:w="75"/>
        <w:gridCol w:w="60"/>
        <w:gridCol w:w="255"/>
        <w:gridCol w:w="60"/>
        <w:gridCol w:w="5090"/>
        <w:gridCol w:w="60"/>
        <w:gridCol w:w="240"/>
        <w:gridCol w:w="60"/>
        <w:gridCol w:w="21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color w:val="005CB9"/>
              </w:rPr>
            </w:pPr>
            <w:r>
              <w:rPr>
                <w:color w:val="005CB9"/>
              </w:rPr>
              <w:t> </w:t>
            </w:r>
            <w:r>
              <w:rPr>
                <w:b/>
                <w:color w:val="005CB9"/>
              </w:rPr>
              <w:t>v</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PROXY STATEMENT SUMMARY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ind w:left="0" w:right="0" w:hanging="0"/>
        <w:jc w:val="left"/>
        <w:rPr>
          <w:rFonts w:ascii="ARIAL" w:hAnsi="ARIAL"/>
          <w:sz w:val="19"/>
          <w:bdr w:val="single" w:sz="8" w:space="1" w:color="005CB9"/>
        </w:rPr>
      </w:pPr>
      <w:r>
        <w:rPr>
          <w:rFonts w:ascii="ARIAL" w:hAnsi="ARIAL"/>
          <w:b/>
          <w:sz w:val="19"/>
          <w:bdr w:val="single" w:sz="8" w:space="1" w:color="005CB9"/>
        </w:rPr>
        <w:t>No Repricing:</w:t>
      </w:r>
      <w:r>
        <w:rPr>
          <w:rFonts w:ascii="ARIAL" w:hAnsi="ARIAL"/>
          <w:sz w:val="19"/>
          <w:bdr w:val="single" w:sz="8" w:space="1" w:color="005CB9"/>
        </w:rPr>
        <w:t xml:space="preserve"> Repricing of stock options absent shareholder approval is prohibited. </w:t>
      </w:r>
    </w:p>
    <w:p>
      <w:pPr>
        <w:pStyle w:val="TextBody"/>
        <w:spacing w:before="240" w:after="0"/>
        <w:jc w:val="left"/>
        <w:rPr>
          <w:rFonts w:ascii="ARIAL" w:hAnsi="ARIAL"/>
          <w:b/>
          <w:color w:val="005CB9"/>
          <w:sz w:val="20"/>
          <w:bdr w:val="single" w:sz="8" w:space="1" w:color="005CB9"/>
        </w:rPr>
      </w:pPr>
      <w:r>
        <w:rPr>
          <w:rFonts w:ascii="ARIAL" w:hAnsi="ARIAL"/>
          <w:b/>
          <w:color w:val="005CB9"/>
          <w:sz w:val="20"/>
          <w:bdr w:val="single" w:sz="8" w:space="1" w:color="005CB9"/>
        </w:rPr>
        <w:t xml:space="preserve">ESG HIGHLIGHTS </w:t>
      </w:r>
    </w:p>
    <w:p>
      <w:pPr>
        <w:pStyle w:val="TextBody"/>
        <w:spacing w:before="240" w:after="0"/>
        <w:jc w:val="left"/>
        <w:rPr>
          <w:rFonts w:ascii="ARIAL" w:hAnsi="ARIAL"/>
          <w:sz w:val="19"/>
          <w:bdr w:val="single" w:sz="8" w:space="1" w:color="005CB9"/>
        </w:rPr>
      </w:pPr>
      <w:r>
        <w:rPr>
          <w:rFonts w:ascii="ARIAL" w:hAnsi="ARIAL"/>
          <w:sz w:val="19"/>
          <w:bdr w:val="single" w:sz="8" w:space="1" w:color="005CB9"/>
        </w:rPr>
        <w:t xml:space="preserve">We are committed to conducting business in an ethically and socially responsible manner. We are in the early stages of our long-term, committed ESG journey and have taken the following steps to enhance our ESG program: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ESG Program Development:</w:t>
      </w:r>
      <w:r>
        <w:rPr>
          <w:rFonts w:ascii="ARIAL" w:hAnsi="ARIAL"/>
          <w:sz w:val="19"/>
          <w:bdr w:val="single" w:sz="8" w:space="1" w:color="005CB9"/>
        </w:rPr>
        <w:t xml:space="preserve"> In 2022, we continued to develop and enhance our ESG program. We made our first submission to the Carbon Disclosure Project (CDP) and increased collaboration with our businesses to better understand their unique ESG priorities and opportunities. As we continue to make progress, we are mindful of the differing ESG maturity profiles of our businesses and endeavor to foster cross-collaborative efforts to increase the maturity of the overall enterprise. </w:t>
      </w:r>
    </w:p>
    <w:p>
      <w:pPr>
        <w:pStyle w:val="TextBody"/>
        <w:spacing w:before="120" w:after="0"/>
        <w:jc w:val="left"/>
        <w:rPr>
          <w:rFonts w:ascii="ARIAL" w:hAnsi="ARIAL"/>
          <w:sz w:val="19"/>
          <w:bdr w:val="single" w:sz="8" w:space="1" w:color="005CB9"/>
        </w:rPr>
      </w:pPr>
      <w:r>
        <w:rPr>
          <w:rFonts w:ascii="ARIAL" w:hAnsi="ARIAL"/>
          <w:b/>
          <w:sz w:val="19"/>
          <w:bdr w:val="single" w:sz="8" w:space="1" w:color="005CB9"/>
        </w:rPr>
        <w:t>ESG Update Report</w:t>
      </w:r>
      <w:r>
        <w:rPr>
          <w:rFonts w:ascii="ARIAL" w:hAnsi="ARIAL"/>
          <w:sz w:val="19"/>
          <w:bdr w:val="single" w:sz="8" w:space="1" w:color="005CB9"/>
        </w:rPr>
        <w:t xml:space="preserve">: In April 2022, we published our first comprehensive enterprise-wide ESG Report. In [April 2023] we published an ESG update report which includes a more comprehensive greenhouse gas inventory of our businesses. This greenhouse gas baseline will enable us to assess and develop appropriate emission reduction targets in collaboration with our twenty-seven (27) businesses which we expect to rollout in the coming year. We have also begun to collect and disclose data with respect to our water usage. </w:t>
      </w:r>
    </w:p>
    <w:p>
      <w:pPr>
        <w:pStyle w:val="TextBody"/>
        <w:spacing w:before="0" w:after="0"/>
        <w:jc w:val="left"/>
        <w:rPr>
          <w:bdr w:val="single" w:sz="8" w:space="1" w:color="005CB9"/>
        </w:rPr>
      </w:pPr>
      <w:r>
        <w:rPr>
          <w:bdr w:val="single" w:sz="8" w:space="1" w:color="005CB9"/>
        </w:rPr>
        <w:t> </w:t>
      </w:r>
    </w:p>
    <w:p>
      <w:pPr>
        <w:pStyle w:val="TextBody"/>
        <w:spacing w:before="0" w:after="0"/>
        <w:jc w:val="left"/>
        <w:rPr/>
      </w:pPr>
      <w:r>
        <w:rPr/>
        <w:t> </w:t>
      </w:r>
    </w:p>
    <w:tbl>
      <w:tblPr>
        <w:tblW w:w="5995" w:type="dxa"/>
        <w:jc w:val="left"/>
        <w:tblInd w:w="0" w:type="dxa"/>
        <w:tblCellMar>
          <w:top w:w="0" w:type="dxa"/>
          <w:left w:w="0" w:type="dxa"/>
          <w:bottom w:w="0" w:type="dxa"/>
          <w:right w:w="0" w:type="dxa"/>
        </w:tblCellMar>
      </w:tblPr>
      <w:tblGrid>
        <w:gridCol w:w="215"/>
        <w:gridCol w:w="60"/>
        <w:gridCol w:w="240"/>
        <w:gridCol w:w="60"/>
        <w:gridCol w:w="255"/>
        <w:gridCol w:w="60"/>
        <w:gridCol w:w="5105"/>
      </w:tblGrid>
      <w:tr>
        <w:trPr/>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rPr>
                <w:b/>
                <w:color w:val="005CB9"/>
              </w:rPr>
            </w:pPr>
            <w:r>
              <w:rPr>
                <w:b/>
                <w:color w:val="005CB9"/>
              </w:rPr>
              <w:t>vi</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32"/>
        </w:rPr>
      </w:pPr>
      <w:bookmarkStart w:id="4" w:name="toc356364_2"/>
      <w:bookmarkEnd w:id="4"/>
      <w:r>
        <w:rPr>
          <w:rFonts w:ascii="ARIAL" w:hAnsi="ARIAL"/>
          <w:color w:val="005CB9"/>
          <w:sz w:val="32"/>
        </w:rPr>
        <w:t xml:space="preserve">PROPOSAL 1: ELECTION OF DIRECTORS </w:t>
      </w:r>
    </w:p>
    <w:p>
      <w:pPr>
        <w:pStyle w:val="TextBody"/>
        <w:spacing w:before="360" w:after="0"/>
        <w:jc w:val="left"/>
        <w:rPr>
          <w:rFonts w:ascii="ARIAL" w:hAnsi="ARIAL"/>
          <w:sz w:val="19"/>
        </w:rPr>
      </w:pPr>
      <w:r>
        <w:rPr>
          <w:rFonts w:ascii="ARIAL" w:hAnsi="ARIAL"/>
          <w:sz w:val="19"/>
        </w:rPr>
        <w:t xml:space="preserve">Our Certificate of Incorporation provides that the Board of Directors of the Company (the “Board of Directors” or the “Board”) will consist of a number of members to be fixed, from time to time, by the Board of Directors, but not less than the minimum number required under Delaware law. The Board of Directors is currently comprised of nine directors who are elected on an annual basis. </w:t>
      </w:r>
    </w:p>
    <w:p>
      <w:pPr>
        <w:pStyle w:val="TextBody"/>
        <w:spacing w:before="240" w:after="0"/>
        <w:jc w:val="left"/>
        <w:rPr>
          <w:rFonts w:ascii="ARIAL" w:hAnsi="ARIAL"/>
          <w:sz w:val="19"/>
        </w:rPr>
      </w:pPr>
      <w:r>
        <w:rPr>
          <w:rFonts w:ascii="ARIAL" w:hAnsi="ARIAL"/>
          <w:sz w:val="19"/>
        </w:rPr>
        <w:t xml:space="preserve">Our Board unanimously recommended each incumbent director for reelection at the 2023 Annual Meeting. If reelected, the director nominees will serve until the 2024 Annual Meeting and until their successors have been duly elected and qualified. Certain information about our director nominees is set forth under “Board of Directors.” This information includes the business experience, qualifications, attributes and skills that each individual brings to our Board. </w:t>
      </w:r>
    </w:p>
    <w:p>
      <w:pPr>
        <w:pStyle w:val="TextBody"/>
        <w:spacing w:before="240" w:after="0"/>
        <w:jc w:val="left"/>
        <w:rPr>
          <w:rFonts w:ascii="ARIAL" w:hAnsi="ARIAL"/>
          <w:sz w:val="19"/>
        </w:rPr>
      </w:pPr>
      <w:r>
        <w:rPr>
          <w:rFonts w:ascii="ARIAL" w:hAnsi="ARIAL"/>
          <w:sz w:val="19"/>
        </w:rPr>
        <w:t xml:space="preserve">Although not anticipated, if prior to the meeting a director nominee is unable to serve, the proxy will be voted for a substitute nominee selected by the Board of Directors or the Board may choose to reduce its size. </w:t>
      </w:r>
    </w:p>
    <w:p>
      <w:pPr>
        <w:pStyle w:val="TextBody"/>
        <w:spacing w:before="0" w:after="0"/>
        <w:jc w:val="left"/>
        <w:rPr/>
      </w:pPr>
      <w:r>
        <w:rPr/>
        <w:t> </w:t>
      </w:r>
    </w:p>
    <w:p>
      <w:pPr>
        <w:pStyle w:val="TextBody"/>
        <w:spacing w:before="0" w:after="0"/>
        <w:jc w:val="left"/>
        <w:rPr>
          <w:highlight w:val="blue"/>
        </w:rPr>
      </w:pPr>
      <w:r>
        <w:rPr>
          <w:highlight w:val="blue"/>
        </w:rPr>
        <w:t> </w:t>
      </w:r>
    </w:p>
    <w:p>
      <w:pPr>
        <w:pStyle w:val="TextBody"/>
        <w:pBdr/>
        <w:spacing w:before="0" w:after="60"/>
        <w:jc w:val="left"/>
        <w:rPr>
          <w:rFonts w:ascii="ARIAL" w:hAnsi="ARIAL"/>
          <w:b/>
          <w:sz w:val="20"/>
          <w:highlight w:val="blue"/>
        </w:rPr>
      </w:pPr>
      <w:r>
        <w:rPr>
          <w:rFonts w:ascii="ARIAL" w:hAnsi="ARIAL"/>
          <w:b/>
          <w:sz w:val="20"/>
          <w:highlight w:val="blue"/>
        </w:rPr>
        <w:t xml:space="preserve">The Board of Directors recommends a vote “FOR” the election to the Board of Directors of each of the following director nominees: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60"/>
        <w:gridCol w:w="120"/>
        <w:gridCol w:w="425"/>
        <w:gridCol w:w="60"/>
        <w:gridCol w:w="800"/>
        <w:gridCol w:w="60"/>
        <w:gridCol w:w="1190"/>
        <w:gridCol w:w="120"/>
        <w:gridCol w:w="5370"/>
      </w:tblGrid>
      <w:tr>
        <w:trPr/>
        <w:tc>
          <w:tcPr>
            <w:tcW w:w="20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370" w:type="dxa"/>
            <w:tcBorders/>
            <w:shd w:fill="auto" w:val="clear"/>
            <w:vAlign w:val="center"/>
          </w:tcPr>
          <w:p>
            <w:pPr>
              <w:pStyle w:val="TableContents"/>
              <w:spacing w:before="0" w:after="283"/>
              <w:rPr>
                <w:sz w:val="4"/>
                <w:szCs w:val="4"/>
              </w:rPr>
            </w:pPr>
            <w:r>
              <w:rPr>
                <w:sz w:val="4"/>
                <w:szCs w:val="4"/>
              </w:rPr>
            </w:r>
          </w:p>
        </w:tc>
      </w:tr>
      <w:tr>
        <w:trPr/>
        <w:tc>
          <w:tcPr>
            <w:tcW w:w="2060" w:type="dxa"/>
            <w:tcBorders/>
            <w:shd w:fill="005CB9" w:val="clear"/>
            <w:vAlign w:val="center"/>
          </w:tcPr>
          <w:p>
            <w:pPr>
              <w:pStyle w:val="TableContents"/>
              <w:spacing w:before="0" w:after="283"/>
              <w:jc w:val="center"/>
              <w:rPr>
                <w:color w:val="FFFFFF"/>
              </w:rPr>
            </w:pPr>
            <w:r>
              <w:rPr>
                <w:color w:val="FFFFFF"/>
              </w:rPr>
              <w:t>Name</w:t>
            </w:r>
          </w:p>
        </w:tc>
        <w:tc>
          <w:tcPr>
            <w:tcW w:w="120" w:type="dxa"/>
            <w:tcBorders/>
            <w:shd w:fill="005CB9" w:val="clear"/>
            <w:vAlign w:val="center"/>
          </w:tcPr>
          <w:p>
            <w:pPr>
              <w:pStyle w:val="TableContents"/>
              <w:spacing w:before="0" w:after="283"/>
              <w:rPr/>
            </w:pPr>
            <w:r>
              <w:rPr/>
              <w:t>  </w:t>
            </w:r>
          </w:p>
        </w:tc>
        <w:tc>
          <w:tcPr>
            <w:tcW w:w="425" w:type="dxa"/>
            <w:tcBorders/>
            <w:shd w:fill="005CB9" w:val="clear"/>
            <w:vAlign w:val="center"/>
          </w:tcPr>
          <w:p>
            <w:pPr>
              <w:pStyle w:val="TableContents"/>
              <w:spacing w:before="0" w:after="283"/>
              <w:jc w:val="center"/>
              <w:rPr>
                <w:color w:val="FFFFFF"/>
              </w:rPr>
            </w:pPr>
            <w:r>
              <w:rPr>
                <w:color w:val="FFFFFF"/>
              </w:rPr>
              <w:t>Age</w:t>
            </w:r>
          </w:p>
        </w:tc>
        <w:tc>
          <w:tcPr>
            <w:tcW w:w="60" w:type="dxa"/>
            <w:tcBorders/>
            <w:shd w:fill="005CB9" w:val="clear"/>
            <w:vAlign w:val="center"/>
          </w:tcPr>
          <w:p>
            <w:pPr>
              <w:pStyle w:val="TableContents"/>
              <w:spacing w:before="0" w:after="283"/>
              <w:rPr/>
            </w:pPr>
            <w:r>
              <w:rPr/>
              <w:t> </w:t>
            </w:r>
          </w:p>
        </w:tc>
        <w:tc>
          <w:tcPr>
            <w:tcW w:w="800" w:type="dxa"/>
            <w:tcBorders/>
            <w:shd w:fill="005CB9" w:val="clear"/>
            <w:vAlign w:val="center"/>
          </w:tcPr>
          <w:p>
            <w:pPr>
              <w:pStyle w:val="TableContents"/>
              <w:spacing w:before="0" w:after="283"/>
              <w:jc w:val="center"/>
              <w:rPr>
                <w:color w:val="FFFFFF"/>
              </w:rPr>
            </w:pPr>
            <w:r>
              <w:rPr>
                <w:color w:val="FFFFFF"/>
              </w:rPr>
              <w:t>Director</w:t>
              <w:br/>
              <w:t>Since</w:t>
            </w:r>
          </w:p>
        </w:tc>
        <w:tc>
          <w:tcPr>
            <w:tcW w:w="60" w:type="dxa"/>
            <w:tcBorders/>
            <w:shd w:fill="005CB9" w:val="clear"/>
            <w:vAlign w:val="center"/>
          </w:tcPr>
          <w:p>
            <w:pPr>
              <w:pStyle w:val="TableContents"/>
              <w:spacing w:before="0" w:after="283"/>
              <w:rPr/>
            </w:pPr>
            <w:r>
              <w:rPr/>
              <w:t> </w:t>
            </w:r>
          </w:p>
        </w:tc>
        <w:tc>
          <w:tcPr>
            <w:tcW w:w="1190" w:type="dxa"/>
            <w:tcBorders/>
            <w:shd w:fill="005CB9" w:val="clear"/>
            <w:vAlign w:val="center"/>
          </w:tcPr>
          <w:p>
            <w:pPr>
              <w:pStyle w:val="TableContents"/>
              <w:spacing w:before="0" w:after="283"/>
              <w:jc w:val="center"/>
              <w:rPr>
                <w:color w:val="FFFFFF"/>
              </w:rPr>
            </w:pPr>
            <w:r>
              <w:rPr>
                <w:color w:val="FFFFFF"/>
              </w:rPr>
              <w:t>Independent</w:t>
            </w:r>
          </w:p>
        </w:tc>
        <w:tc>
          <w:tcPr>
            <w:tcW w:w="120" w:type="dxa"/>
            <w:tcBorders/>
            <w:shd w:fill="005CB9" w:val="clear"/>
            <w:vAlign w:val="center"/>
          </w:tcPr>
          <w:p>
            <w:pPr>
              <w:pStyle w:val="TableContents"/>
              <w:spacing w:before="0" w:after="283"/>
              <w:rPr/>
            </w:pPr>
            <w:r>
              <w:rPr/>
              <w:t>  </w:t>
            </w:r>
          </w:p>
        </w:tc>
        <w:tc>
          <w:tcPr>
            <w:tcW w:w="5370" w:type="dxa"/>
            <w:tcBorders/>
            <w:shd w:fill="005CB9" w:val="clear"/>
            <w:vAlign w:val="center"/>
          </w:tcPr>
          <w:p>
            <w:pPr>
              <w:pStyle w:val="TableContents"/>
              <w:spacing w:before="0" w:after="283"/>
              <w:jc w:val="center"/>
              <w:rPr>
                <w:color w:val="FFFFFF"/>
              </w:rPr>
            </w:pPr>
            <w:r>
              <w:rPr>
                <w:color w:val="FFFFFF"/>
              </w:rPr>
              <w:t>Primary Occupation</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5490" w:type="dxa"/>
            <w:gridSpan w:val="2"/>
            <w:tcBorders/>
            <w:shd w:fill="auto" w:val="clear"/>
            <w:vAlign w:val="center"/>
          </w:tcPr>
          <w:p>
            <w:pPr>
              <w:pStyle w:val="TableContents"/>
              <w:spacing w:before="0" w:after="283"/>
              <w:rPr>
                <w:sz w:val="4"/>
                <w:szCs w:val="4"/>
              </w:rPr>
            </w:pPr>
            <w:r>
              <w:rPr>
                <w:sz w:val="4"/>
                <w:szCs w:val="4"/>
              </w:rPr>
            </w:r>
          </w:p>
        </w:tc>
      </w:tr>
      <w:tr>
        <w:trPr/>
        <w:tc>
          <w:tcPr>
            <w:tcW w:w="2060" w:type="dxa"/>
            <w:tcBorders>
              <w:bottom w:val="single" w:sz="6" w:space="0" w:color="005CB9"/>
            </w:tcBorders>
            <w:shd w:fill="auto" w:val="clear"/>
            <w:tcMar>
              <w:bottom w:w="60" w:type="dxa"/>
            </w:tcMar>
            <w:vAlign w:val="center"/>
          </w:tcPr>
          <w:p>
            <w:pPr>
              <w:pStyle w:val="TableContents"/>
              <w:spacing w:before="0" w:after="0"/>
              <w:rPr>
                <w:rFonts w:ascii="ARIAL" w:hAnsi="ARIAL"/>
                <w:color w:val="005CB9"/>
                <w:sz w:val="19"/>
              </w:rPr>
            </w:pPr>
            <w:r>
              <w:rPr>
                <w:rFonts w:ascii="ARIAL" w:hAnsi="ARIAL"/>
                <w:color w:val="005CB9"/>
                <w:sz w:val="19"/>
              </w:rPr>
              <w:t>Shellye L. Archambeau</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425" w:type="dxa"/>
            <w:tcBorders>
              <w:bottom w:val="single" w:sz="6" w:space="0" w:color="005CB9"/>
            </w:tcBorders>
            <w:shd w:fill="auto" w:val="clear"/>
            <w:tcMar>
              <w:bottom w:w="60" w:type="dxa"/>
            </w:tcMar>
            <w:vAlign w:val="center"/>
          </w:tcPr>
          <w:p>
            <w:pPr>
              <w:pStyle w:val="TableContents"/>
              <w:spacing w:before="0" w:after="283"/>
              <w:jc w:val="center"/>
              <w:rPr/>
            </w:pPr>
            <w:r>
              <w:rPr/>
              <w:t>60</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800" w:type="dxa"/>
            <w:tcBorders>
              <w:bottom w:val="single" w:sz="6" w:space="0" w:color="005CB9"/>
            </w:tcBorders>
            <w:shd w:fill="auto" w:val="clear"/>
            <w:tcMar>
              <w:bottom w:w="60" w:type="dxa"/>
            </w:tcMar>
            <w:vAlign w:val="center"/>
          </w:tcPr>
          <w:p>
            <w:pPr>
              <w:pStyle w:val="TableContents"/>
              <w:spacing w:before="0" w:after="283"/>
              <w:jc w:val="center"/>
              <w:rPr/>
            </w:pPr>
            <w:r>
              <w:rPr/>
              <w:t>2018</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190" w:type="dxa"/>
            <w:tcBorders>
              <w:bottom w:val="single" w:sz="6" w:space="0" w:color="005CB9"/>
            </w:tcBorders>
            <w:shd w:fill="auto" w:val="clear"/>
            <w:tcMar>
              <w:bottom w:w="60" w:type="dxa"/>
            </w:tcMar>
            <w:vAlign w:val="center"/>
          </w:tcPr>
          <w:p>
            <w:pPr>
              <w:pStyle w:val="TableContents"/>
              <w:spacing w:before="0" w:after="283"/>
              <w:jc w:val="center"/>
              <w:rPr/>
            </w:pPr>
            <w:r>
              <w:rPr/>
              <w:t>Yes</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370" w:type="dxa"/>
            <w:tcBorders>
              <w:bottom w:val="single" w:sz="6" w:space="0" w:color="005CB9"/>
            </w:tcBorders>
            <w:shd w:fill="auto" w:val="clear"/>
            <w:tcMar>
              <w:bottom w:w="60" w:type="dxa"/>
            </w:tcMar>
            <w:vAlign w:val="center"/>
          </w:tcPr>
          <w:p>
            <w:pPr>
              <w:pStyle w:val="TableContents"/>
              <w:spacing w:before="0" w:after="283"/>
              <w:rPr/>
            </w:pPr>
            <w:r>
              <w:rPr/>
              <w:t>Former Chief Executive Officer, MetricStream, Inc.</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5490" w:type="dxa"/>
            <w:gridSpan w:val="2"/>
            <w:tcBorders/>
            <w:shd w:fill="auto" w:val="clear"/>
            <w:vAlign w:val="center"/>
          </w:tcPr>
          <w:p>
            <w:pPr>
              <w:pStyle w:val="TableContents"/>
              <w:spacing w:before="0" w:after="283"/>
              <w:rPr>
                <w:sz w:val="4"/>
                <w:szCs w:val="4"/>
              </w:rPr>
            </w:pPr>
            <w:r>
              <w:rPr>
                <w:sz w:val="4"/>
                <w:szCs w:val="4"/>
              </w:rPr>
            </w:r>
          </w:p>
        </w:tc>
      </w:tr>
      <w:tr>
        <w:trPr/>
        <w:tc>
          <w:tcPr>
            <w:tcW w:w="2060" w:type="dxa"/>
            <w:tcBorders>
              <w:bottom w:val="single" w:sz="6" w:space="0" w:color="005CB9"/>
            </w:tcBorders>
            <w:shd w:fill="auto" w:val="clear"/>
            <w:tcMar>
              <w:bottom w:w="60" w:type="dxa"/>
            </w:tcMar>
            <w:vAlign w:val="center"/>
          </w:tcPr>
          <w:p>
            <w:pPr>
              <w:pStyle w:val="TableContents"/>
              <w:spacing w:before="0" w:after="0"/>
              <w:rPr>
                <w:rFonts w:ascii="ARIAL" w:hAnsi="ARIAL"/>
                <w:color w:val="005CB9"/>
                <w:sz w:val="19"/>
              </w:rPr>
            </w:pPr>
            <w:r>
              <w:rPr>
                <w:rFonts w:ascii="ARIAL" w:hAnsi="ARIAL"/>
                <w:color w:val="005CB9"/>
                <w:sz w:val="19"/>
              </w:rPr>
              <w:t>Amy Woods Brinkley</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425" w:type="dxa"/>
            <w:tcBorders>
              <w:bottom w:val="single" w:sz="6" w:space="0" w:color="005CB9"/>
            </w:tcBorders>
            <w:shd w:fill="auto" w:val="clear"/>
            <w:tcMar>
              <w:bottom w:w="60" w:type="dxa"/>
            </w:tcMar>
            <w:vAlign w:val="center"/>
          </w:tcPr>
          <w:p>
            <w:pPr>
              <w:pStyle w:val="TableContents"/>
              <w:spacing w:before="0" w:after="283"/>
              <w:jc w:val="center"/>
              <w:rPr/>
            </w:pPr>
            <w:r>
              <w:rPr/>
              <w:t>67</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800" w:type="dxa"/>
            <w:tcBorders>
              <w:bottom w:val="single" w:sz="6" w:space="0" w:color="005CB9"/>
            </w:tcBorders>
            <w:shd w:fill="auto" w:val="clear"/>
            <w:tcMar>
              <w:bottom w:w="60" w:type="dxa"/>
            </w:tcMar>
            <w:vAlign w:val="center"/>
          </w:tcPr>
          <w:p>
            <w:pPr>
              <w:pStyle w:val="TableContents"/>
              <w:spacing w:before="0" w:after="283"/>
              <w:jc w:val="center"/>
              <w:rPr/>
            </w:pPr>
            <w:r>
              <w:rPr/>
              <w:t>2015</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190" w:type="dxa"/>
            <w:tcBorders>
              <w:bottom w:val="single" w:sz="6" w:space="0" w:color="005CB9"/>
            </w:tcBorders>
            <w:shd w:fill="auto" w:val="clear"/>
            <w:tcMar>
              <w:bottom w:w="60" w:type="dxa"/>
            </w:tcMar>
            <w:vAlign w:val="center"/>
          </w:tcPr>
          <w:p>
            <w:pPr>
              <w:pStyle w:val="TableContents"/>
              <w:spacing w:before="0" w:after="283"/>
              <w:jc w:val="center"/>
              <w:rPr/>
            </w:pPr>
            <w:r>
              <w:rPr/>
              <w:t>Yes</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370" w:type="dxa"/>
            <w:tcBorders>
              <w:bottom w:val="single" w:sz="6" w:space="0" w:color="005CB9"/>
            </w:tcBorders>
            <w:shd w:fill="auto" w:val="clear"/>
            <w:tcMar>
              <w:bottom w:w="60" w:type="dxa"/>
            </w:tcMar>
            <w:vAlign w:val="center"/>
          </w:tcPr>
          <w:p>
            <w:pPr>
              <w:pStyle w:val="TableContents"/>
              <w:spacing w:before="0" w:after="283"/>
              <w:rPr/>
            </w:pPr>
            <w:r>
              <w:rPr/>
              <w:t>Retired Chief Risk Officer, Bank of America Corp.</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5490" w:type="dxa"/>
            <w:gridSpan w:val="2"/>
            <w:tcBorders/>
            <w:shd w:fill="auto" w:val="clear"/>
            <w:vAlign w:val="center"/>
          </w:tcPr>
          <w:p>
            <w:pPr>
              <w:pStyle w:val="TableContents"/>
              <w:spacing w:before="0" w:after="283"/>
              <w:rPr>
                <w:sz w:val="4"/>
                <w:szCs w:val="4"/>
              </w:rPr>
            </w:pPr>
            <w:r>
              <w:rPr>
                <w:sz w:val="4"/>
                <w:szCs w:val="4"/>
              </w:rPr>
            </w:r>
          </w:p>
        </w:tc>
      </w:tr>
      <w:tr>
        <w:trPr/>
        <w:tc>
          <w:tcPr>
            <w:tcW w:w="2060" w:type="dxa"/>
            <w:tcBorders>
              <w:bottom w:val="single" w:sz="6" w:space="0" w:color="005CB9"/>
            </w:tcBorders>
            <w:shd w:fill="auto" w:val="clear"/>
            <w:tcMar>
              <w:bottom w:w="60" w:type="dxa"/>
            </w:tcMar>
            <w:vAlign w:val="center"/>
          </w:tcPr>
          <w:p>
            <w:pPr>
              <w:pStyle w:val="TableContents"/>
              <w:spacing w:before="0" w:after="0"/>
              <w:rPr>
                <w:rFonts w:ascii="ARIAL" w:hAnsi="ARIAL"/>
                <w:color w:val="005CB9"/>
                <w:sz w:val="19"/>
              </w:rPr>
            </w:pPr>
            <w:r>
              <w:rPr>
                <w:rFonts w:ascii="ARIAL" w:hAnsi="ARIAL"/>
                <w:color w:val="005CB9"/>
                <w:sz w:val="19"/>
              </w:rPr>
              <w:t>Irene M. Esteves</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425" w:type="dxa"/>
            <w:tcBorders>
              <w:bottom w:val="single" w:sz="6" w:space="0" w:color="005CB9"/>
            </w:tcBorders>
            <w:shd w:fill="auto" w:val="clear"/>
            <w:tcMar>
              <w:bottom w:w="60" w:type="dxa"/>
            </w:tcMar>
            <w:vAlign w:val="center"/>
          </w:tcPr>
          <w:p>
            <w:pPr>
              <w:pStyle w:val="TableContents"/>
              <w:spacing w:before="0" w:after="283"/>
              <w:jc w:val="center"/>
              <w:rPr/>
            </w:pPr>
            <w:r>
              <w:rPr/>
              <w:t>64</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800" w:type="dxa"/>
            <w:tcBorders>
              <w:bottom w:val="single" w:sz="6" w:space="0" w:color="005CB9"/>
            </w:tcBorders>
            <w:shd w:fill="auto" w:val="clear"/>
            <w:tcMar>
              <w:bottom w:w="60" w:type="dxa"/>
            </w:tcMar>
            <w:vAlign w:val="center"/>
          </w:tcPr>
          <w:p>
            <w:pPr>
              <w:pStyle w:val="TableContents"/>
              <w:spacing w:before="0" w:after="283"/>
              <w:jc w:val="center"/>
              <w:rPr/>
            </w:pPr>
            <w:r>
              <w:rPr/>
              <w:t>2021</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190" w:type="dxa"/>
            <w:tcBorders>
              <w:bottom w:val="single" w:sz="6" w:space="0" w:color="005CB9"/>
            </w:tcBorders>
            <w:shd w:fill="auto" w:val="clear"/>
            <w:tcMar>
              <w:bottom w:w="60" w:type="dxa"/>
            </w:tcMar>
            <w:vAlign w:val="center"/>
          </w:tcPr>
          <w:p>
            <w:pPr>
              <w:pStyle w:val="TableContents"/>
              <w:spacing w:before="0" w:after="283"/>
              <w:jc w:val="center"/>
              <w:rPr/>
            </w:pPr>
            <w:r>
              <w:rPr/>
              <w:t>Yes</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370" w:type="dxa"/>
            <w:tcBorders>
              <w:bottom w:val="single" w:sz="6" w:space="0" w:color="005CB9"/>
            </w:tcBorders>
            <w:shd w:fill="auto" w:val="clear"/>
            <w:tcMar>
              <w:bottom w:w="60" w:type="dxa"/>
            </w:tcMar>
            <w:vAlign w:val="center"/>
          </w:tcPr>
          <w:p>
            <w:pPr>
              <w:pStyle w:val="TableContents"/>
              <w:spacing w:before="0" w:after="283"/>
              <w:rPr/>
            </w:pPr>
            <w:r>
              <w:rPr/>
              <w:t>Former Chief Financial Officer, Time Warner Cable Inc.</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5490" w:type="dxa"/>
            <w:gridSpan w:val="2"/>
            <w:tcBorders/>
            <w:shd w:fill="auto" w:val="clear"/>
            <w:vAlign w:val="center"/>
          </w:tcPr>
          <w:p>
            <w:pPr>
              <w:pStyle w:val="TableContents"/>
              <w:spacing w:before="0" w:after="283"/>
              <w:rPr>
                <w:sz w:val="4"/>
                <w:szCs w:val="4"/>
              </w:rPr>
            </w:pPr>
            <w:r>
              <w:rPr>
                <w:sz w:val="4"/>
                <w:szCs w:val="4"/>
              </w:rPr>
            </w:r>
          </w:p>
        </w:tc>
      </w:tr>
      <w:tr>
        <w:trPr/>
        <w:tc>
          <w:tcPr>
            <w:tcW w:w="2060" w:type="dxa"/>
            <w:tcBorders>
              <w:bottom w:val="single" w:sz="6" w:space="0" w:color="005CB9"/>
            </w:tcBorders>
            <w:shd w:fill="auto" w:val="clear"/>
            <w:tcMar>
              <w:bottom w:w="60" w:type="dxa"/>
            </w:tcMar>
            <w:vAlign w:val="center"/>
          </w:tcPr>
          <w:p>
            <w:pPr>
              <w:pStyle w:val="TableContents"/>
              <w:spacing w:before="0" w:after="0"/>
              <w:rPr>
                <w:rFonts w:ascii="ARIAL" w:hAnsi="ARIAL"/>
                <w:color w:val="005CB9"/>
                <w:sz w:val="19"/>
              </w:rPr>
            </w:pPr>
            <w:r>
              <w:rPr>
                <w:rFonts w:ascii="ARIAL" w:hAnsi="ARIAL"/>
                <w:color w:val="005CB9"/>
                <w:sz w:val="19"/>
              </w:rPr>
              <w:t>L. Neil Hunn</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425" w:type="dxa"/>
            <w:tcBorders>
              <w:bottom w:val="single" w:sz="6" w:space="0" w:color="005CB9"/>
            </w:tcBorders>
            <w:shd w:fill="auto" w:val="clear"/>
            <w:tcMar>
              <w:bottom w:w="60" w:type="dxa"/>
            </w:tcMar>
            <w:vAlign w:val="center"/>
          </w:tcPr>
          <w:p>
            <w:pPr>
              <w:pStyle w:val="TableContents"/>
              <w:spacing w:before="0" w:after="283"/>
              <w:jc w:val="center"/>
              <w:rPr/>
            </w:pPr>
            <w:r>
              <w:rPr/>
              <w:t>51</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800" w:type="dxa"/>
            <w:tcBorders>
              <w:bottom w:val="single" w:sz="6" w:space="0" w:color="005CB9"/>
            </w:tcBorders>
            <w:shd w:fill="auto" w:val="clear"/>
            <w:tcMar>
              <w:bottom w:w="60" w:type="dxa"/>
            </w:tcMar>
            <w:vAlign w:val="center"/>
          </w:tcPr>
          <w:p>
            <w:pPr>
              <w:pStyle w:val="TableContents"/>
              <w:spacing w:before="0" w:after="283"/>
              <w:jc w:val="center"/>
              <w:rPr/>
            </w:pPr>
            <w:r>
              <w:rPr/>
              <w:t>2018</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190" w:type="dxa"/>
            <w:tcBorders>
              <w:bottom w:val="single" w:sz="6" w:space="0" w:color="005CB9"/>
            </w:tcBorders>
            <w:shd w:fill="auto" w:val="clear"/>
            <w:tcMar>
              <w:bottom w:w="60" w:type="dxa"/>
            </w:tcMar>
            <w:vAlign w:val="center"/>
          </w:tcPr>
          <w:p>
            <w:pPr>
              <w:pStyle w:val="TableContents"/>
              <w:spacing w:before="0" w:after="283"/>
              <w:jc w:val="center"/>
              <w:rPr/>
            </w:pPr>
            <w:r>
              <w:rPr/>
              <w:t>No</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370" w:type="dxa"/>
            <w:tcBorders>
              <w:bottom w:val="single" w:sz="6" w:space="0" w:color="005CB9"/>
            </w:tcBorders>
            <w:shd w:fill="auto" w:val="clear"/>
            <w:tcMar>
              <w:bottom w:w="60" w:type="dxa"/>
            </w:tcMar>
            <w:vAlign w:val="center"/>
          </w:tcPr>
          <w:p>
            <w:pPr>
              <w:pStyle w:val="TableContents"/>
              <w:spacing w:before="0" w:after="0"/>
              <w:rPr>
                <w:rFonts w:ascii="ARIAL" w:hAnsi="ARIAL"/>
                <w:sz w:val="19"/>
              </w:rPr>
            </w:pPr>
            <w:r>
              <w:rPr>
                <w:rFonts w:ascii="ARIAL" w:hAnsi="ARIAL"/>
                <w:sz w:val="19"/>
              </w:rPr>
              <w:t>President and Chief Executive Officer,</w:t>
            </w:r>
          </w:p>
          <w:p>
            <w:pPr>
              <w:pStyle w:val="TableContents"/>
              <w:spacing w:before="0" w:after="20"/>
              <w:rPr>
                <w:rFonts w:ascii="ARIAL" w:hAnsi="ARIAL"/>
                <w:sz w:val="19"/>
              </w:rPr>
            </w:pPr>
            <w:r>
              <w:rPr>
                <w:rFonts w:ascii="ARIAL" w:hAnsi="ARIAL"/>
                <w:sz w:val="19"/>
              </w:rPr>
              <w:t>Roper Technologies, Inc.</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5490" w:type="dxa"/>
            <w:gridSpan w:val="2"/>
            <w:tcBorders/>
            <w:shd w:fill="auto" w:val="clear"/>
            <w:vAlign w:val="center"/>
          </w:tcPr>
          <w:p>
            <w:pPr>
              <w:pStyle w:val="TableContents"/>
              <w:spacing w:before="0" w:after="283"/>
              <w:rPr>
                <w:sz w:val="4"/>
                <w:szCs w:val="4"/>
              </w:rPr>
            </w:pPr>
            <w:r>
              <w:rPr>
                <w:sz w:val="4"/>
                <w:szCs w:val="4"/>
              </w:rPr>
            </w:r>
          </w:p>
        </w:tc>
      </w:tr>
      <w:tr>
        <w:trPr/>
        <w:tc>
          <w:tcPr>
            <w:tcW w:w="2060" w:type="dxa"/>
            <w:tcBorders>
              <w:bottom w:val="single" w:sz="6" w:space="0" w:color="005CB9"/>
            </w:tcBorders>
            <w:shd w:fill="auto" w:val="clear"/>
            <w:tcMar>
              <w:bottom w:w="60" w:type="dxa"/>
            </w:tcMar>
            <w:vAlign w:val="center"/>
          </w:tcPr>
          <w:p>
            <w:pPr>
              <w:pStyle w:val="TableContents"/>
              <w:spacing w:before="0" w:after="0"/>
              <w:rPr>
                <w:rFonts w:ascii="ARIAL" w:hAnsi="ARIAL"/>
                <w:color w:val="005CB9"/>
                <w:sz w:val="19"/>
              </w:rPr>
            </w:pPr>
            <w:r>
              <w:rPr>
                <w:rFonts w:ascii="ARIAL" w:hAnsi="ARIAL"/>
                <w:color w:val="005CB9"/>
                <w:sz w:val="19"/>
              </w:rPr>
              <w:t>Robert D. Johnson</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425" w:type="dxa"/>
            <w:tcBorders>
              <w:bottom w:val="single" w:sz="6" w:space="0" w:color="005CB9"/>
            </w:tcBorders>
            <w:shd w:fill="auto" w:val="clear"/>
            <w:tcMar>
              <w:bottom w:w="60" w:type="dxa"/>
            </w:tcMar>
            <w:vAlign w:val="center"/>
          </w:tcPr>
          <w:p>
            <w:pPr>
              <w:pStyle w:val="TableContents"/>
              <w:spacing w:before="0" w:after="283"/>
              <w:jc w:val="center"/>
              <w:rPr/>
            </w:pPr>
            <w:r>
              <w:rPr/>
              <w:t>75</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800" w:type="dxa"/>
            <w:tcBorders>
              <w:bottom w:val="single" w:sz="6" w:space="0" w:color="005CB9"/>
            </w:tcBorders>
            <w:shd w:fill="auto" w:val="clear"/>
            <w:tcMar>
              <w:bottom w:w="60" w:type="dxa"/>
            </w:tcMar>
            <w:vAlign w:val="center"/>
          </w:tcPr>
          <w:p>
            <w:pPr>
              <w:pStyle w:val="TableContents"/>
              <w:spacing w:before="0" w:after="283"/>
              <w:jc w:val="center"/>
              <w:rPr/>
            </w:pPr>
            <w:r>
              <w:rPr/>
              <w:t>2005</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190" w:type="dxa"/>
            <w:tcBorders>
              <w:bottom w:val="single" w:sz="6" w:space="0" w:color="005CB9"/>
            </w:tcBorders>
            <w:shd w:fill="auto" w:val="clear"/>
            <w:tcMar>
              <w:bottom w:w="60" w:type="dxa"/>
            </w:tcMar>
            <w:vAlign w:val="center"/>
          </w:tcPr>
          <w:p>
            <w:pPr>
              <w:pStyle w:val="TableContents"/>
              <w:spacing w:before="0" w:after="283"/>
              <w:jc w:val="center"/>
              <w:rPr/>
            </w:pPr>
            <w:r>
              <w:rPr/>
              <w:t>Yes</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370" w:type="dxa"/>
            <w:tcBorders>
              <w:bottom w:val="single" w:sz="6" w:space="0" w:color="005CB9"/>
            </w:tcBorders>
            <w:shd w:fill="auto" w:val="clear"/>
            <w:tcMar>
              <w:bottom w:w="60" w:type="dxa"/>
            </w:tcMar>
            <w:vAlign w:val="center"/>
          </w:tcPr>
          <w:p>
            <w:pPr>
              <w:pStyle w:val="TableContents"/>
              <w:spacing w:before="0" w:after="283"/>
              <w:rPr/>
            </w:pPr>
            <w:r>
              <w:rPr/>
              <w:t>Chairman, Spirit AeroSystems Holdings, Inc.</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5490" w:type="dxa"/>
            <w:gridSpan w:val="2"/>
            <w:tcBorders/>
            <w:shd w:fill="auto" w:val="clear"/>
            <w:vAlign w:val="center"/>
          </w:tcPr>
          <w:p>
            <w:pPr>
              <w:pStyle w:val="TableContents"/>
              <w:spacing w:before="0" w:after="283"/>
              <w:rPr>
                <w:sz w:val="4"/>
                <w:szCs w:val="4"/>
              </w:rPr>
            </w:pPr>
            <w:r>
              <w:rPr>
                <w:sz w:val="4"/>
                <w:szCs w:val="4"/>
              </w:rPr>
            </w:r>
          </w:p>
        </w:tc>
      </w:tr>
      <w:tr>
        <w:trPr/>
        <w:tc>
          <w:tcPr>
            <w:tcW w:w="2060" w:type="dxa"/>
            <w:tcBorders>
              <w:bottom w:val="single" w:sz="6" w:space="0" w:color="005CB9"/>
            </w:tcBorders>
            <w:shd w:fill="auto" w:val="clear"/>
            <w:tcMar>
              <w:bottom w:w="60" w:type="dxa"/>
            </w:tcMar>
            <w:vAlign w:val="center"/>
          </w:tcPr>
          <w:p>
            <w:pPr>
              <w:pStyle w:val="TableContents"/>
              <w:spacing w:before="0" w:after="0"/>
              <w:rPr>
                <w:rFonts w:ascii="ARIAL" w:hAnsi="ARIAL"/>
                <w:color w:val="005CB9"/>
                <w:sz w:val="19"/>
              </w:rPr>
            </w:pPr>
            <w:r>
              <w:rPr>
                <w:rFonts w:ascii="ARIAL" w:hAnsi="ARIAL"/>
                <w:color w:val="005CB9"/>
                <w:sz w:val="19"/>
              </w:rPr>
              <w:t>Thomas P. Joyce, Jr.</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425" w:type="dxa"/>
            <w:tcBorders>
              <w:bottom w:val="single" w:sz="6" w:space="0" w:color="005CB9"/>
            </w:tcBorders>
            <w:shd w:fill="auto" w:val="clear"/>
            <w:tcMar>
              <w:bottom w:w="60" w:type="dxa"/>
            </w:tcMar>
            <w:vAlign w:val="center"/>
          </w:tcPr>
          <w:p>
            <w:pPr>
              <w:pStyle w:val="TableContents"/>
              <w:spacing w:before="0" w:after="283"/>
              <w:jc w:val="center"/>
              <w:rPr/>
            </w:pPr>
            <w:r>
              <w:rPr/>
              <w:t>62</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800" w:type="dxa"/>
            <w:tcBorders>
              <w:bottom w:val="single" w:sz="6" w:space="0" w:color="005CB9"/>
            </w:tcBorders>
            <w:shd w:fill="auto" w:val="clear"/>
            <w:tcMar>
              <w:bottom w:w="60" w:type="dxa"/>
            </w:tcMar>
            <w:vAlign w:val="center"/>
          </w:tcPr>
          <w:p>
            <w:pPr>
              <w:pStyle w:val="TableContents"/>
              <w:spacing w:before="0" w:after="283"/>
              <w:jc w:val="center"/>
              <w:rPr/>
            </w:pPr>
            <w:r>
              <w:rPr/>
              <w:t>2021</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190" w:type="dxa"/>
            <w:tcBorders>
              <w:bottom w:val="single" w:sz="6" w:space="0" w:color="005CB9"/>
            </w:tcBorders>
            <w:shd w:fill="auto" w:val="clear"/>
            <w:tcMar>
              <w:bottom w:w="60" w:type="dxa"/>
            </w:tcMar>
            <w:vAlign w:val="center"/>
          </w:tcPr>
          <w:p>
            <w:pPr>
              <w:pStyle w:val="TableContents"/>
              <w:spacing w:before="0" w:after="283"/>
              <w:jc w:val="center"/>
              <w:rPr/>
            </w:pPr>
            <w:r>
              <w:rPr/>
              <w:t>Yes</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370" w:type="dxa"/>
            <w:tcBorders>
              <w:bottom w:val="single" w:sz="6" w:space="0" w:color="005CB9"/>
            </w:tcBorders>
            <w:shd w:fill="auto" w:val="clear"/>
            <w:tcMar>
              <w:bottom w:w="60" w:type="dxa"/>
            </w:tcMar>
            <w:vAlign w:val="center"/>
          </w:tcPr>
          <w:p>
            <w:pPr>
              <w:pStyle w:val="TableContents"/>
              <w:spacing w:before="0" w:after="283"/>
              <w:rPr/>
            </w:pPr>
            <w:r>
              <w:rPr/>
              <w:t>Retired President and Chief Executive Officer, Danaher Corporation</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5490" w:type="dxa"/>
            <w:gridSpan w:val="2"/>
            <w:tcBorders/>
            <w:shd w:fill="auto" w:val="clear"/>
            <w:vAlign w:val="center"/>
          </w:tcPr>
          <w:p>
            <w:pPr>
              <w:pStyle w:val="TableContents"/>
              <w:spacing w:before="0" w:after="283"/>
              <w:rPr>
                <w:sz w:val="4"/>
                <w:szCs w:val="4"/>
              </w:rPr>
            </w:pPr>
            <w:r>
              <w:rPr>
                <w:sz w:val="4"/>
                <w:szCs w:val="4"/>
              </w:rPr>
            </w:r>
          </w:p>
        </w:tc>
      </w:tr>
      <w:tr>
        <w:trPr/>
        <w:tc>
          <w:tcPr>
            <w:tcW w:w="2060" w:type="dxa"/>
            <w:tcBorders>
              <w:bottom w:val="single" w:sz="6" w:space="0" w:color="005CB9"/>
            </w:tcBorders>
            <w:shd w:fill="auto" w:val="clear"/>
            <w:tcMar>
              <w:bottom w:w="60" w:type="dxa"/>
            </w:tcMar>
            <w:vAlign w:val="center"/>
          </w:tcPr>
          <w:p>
            <w:pPr>
              <w:pStyle w:val="TableContents"/>
              <w:spacing w:before="0" w:after="0"/>
              <w:rPr>
                <w:rFonts w:ascii="ARIAL" w:hAnsi="ARIAL"/>
                <w:color w:val="005CB9"/>
                <w:sz w:val="19"/>
              </w:rPr>
            </w:pPr>
            <w:r>
              <w:rPr>
                <w:rFonts w:ascii="ARIAL" w:hAnsi="ARIAL"/>
                <w:color w:val="005CB9"/>
                <w:sz w:val="19"/>
              </w:rPr>
              <w:t>Laura G. Thatcher</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425" w:type="dxa"/>
            <w:tcBorders>
              <w:bottom w:val="single" w:sz="6" w:space="0" w:color="005CB9"/>
            </w:tcBorders>
            <w:shd w:fill="auto" w:val="clear"/>
            <w:tcMar>
              <w:bottom w:w="60" w:type="dxa"/>
            </w:tcMar>
            <w:vAlign w:val="center"/>
          </w:tcPr>
          <w:p>
            <w:pPr>
              <w:pStyle w:val="TableContents"/>
              <w:spacing w:before="0" w:after="283"/>
              <w:jc w:val="center"/>
              <w:rPr/>
            </w:pPr>
            <w:r>
              <w:rPr/>
              <w:t>67</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800" w:type="dxa"/>
            <w:tcBorders>
              <w:bottom w:val="single" w:sz="6" w:space="0" w:color="005CB9"/>
            </w:tcBorders>
            <w:shd w:fill="auto" w:val="clear"/>
            <w:tcMar>
              <w:bottom w:w="60" w:type="dxa"/>
            </w:tcMar>
            <w:vAlign w:val="center"/>
          </w:tcPr>
          <w:p>
            <w:pPr>
              <w:pStyle w:val="TableContents"/>
              <w:spacing w:before="0" w:after="283"/>
              <w:jc w:val="center"/>
              <w:rPr/>
            </w:pPr>
            <w:r>
              <w:rPr/>
              <w:t>2015</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190" w:type="dxa"/>
            <w:tcBorders>
              <w:bottom w:val="single" w:sz="6" w:space="0" w:color="005CB9"/>
            </w:tcBorders>
            <w:shd w:fill="auto" w:val="clear"/>
            <w:tcMar>
              <w:bottom w:w="60" w:type="dxa"/>
            </w:tcMar>
            <w:vAlign w:val="center"/>
          </w:tcPr>
          <w:p>
            <w:pPr>
              <w:pStyle w:val="TableContents"/>
              <w:spacing w:before="0" w:after="283"/>
              <w:jc w:val="center"/>
              <w:rPr/>
            </w:pPr>
            <w:r>
              <w:rPr/>
              <w:t>Yes</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370" w:type="dxa"/>
            <w:tcBorders>
              <w:bottom w:val="single" w:sz="6" w:space="0" w:color="005CB9"/>
            </w:tcBorders>
            <w:shd w:fill="auto" w:val="clear"/>
            <w:tcMar>
              <w:bottom w:w="60" w:type="dxa"/>
            </w:tcMar>
            <w:vAlign w:val="center"/>
          </w:tcPr>
          <w:p>
            <w:pPr>
              <w:pStyle w:val="TableContents"/>
              <w:spacing w:before="0" w:after="283"/>
              <w:rPr/>
            </w:pPr>
            <w:r>
              <w:rPr/>
              <w:t>Retired Head of Executive Compensation Practice,</w:t>
              <w:br/>
              <w:t>Alston &amp; Bird LLP</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5490" w:type="dxa"/>
            <w:gridSpan w:val="2"/>
            <w:tcBorders/>
            <w:shd w:fill="auto" w:val="clear"/>
            <w:vAlign w:val="center"/>
          </w:tcPr>
          <w:p>
            <w:pPr>
              <w:pStyle w:val="TableContents"/>
              <w:spacing w:before="0" w:after="283"/>
              <w:rPr>
                <w:sz w:val="4"/>
                <w:szCs w:val="4"/>
              </w:rPr>
            </w:pPr>
            <w:r>
              <w:rPr>
                <w:sz w:val="4"/>
                <w:szCs w:val="4"/>
              </w:rPr>
            </w:r>
          </w:p>
        </w:tc>
      </w:tr>
      <w:tr>
        <w:trPr/>
        <w:tc>
          <w:tcPr>
            <w:tcW w:w="2060" w:type="dxa"/>
            <w:tcBorders>
              <w:bottom w:val="single" w:sz="6" w:space="0" w:color="005CB9"/>
            </w:tcBorders>
            <w:shd w:fill="auto" w:val="clear"/>
            <w:tcMar>
              <w:bottom w:w="60" w:type="dxa"/>
            </w:tcMar>
            <w:vAlign w:val="center"/>
          </w:tcPr>
          <w:p>
            <w:pPr>
              <w:pStyle w:val="TableContents"/>
              <w:spacing w:before="0" w:after="0"/>
              <w:rPr>
                <w:rFonts w:ascii="ARIAL" w:hAnsi="ARIAL"/>
                <w:color w:val="005CB9"/>
                <w:sz w:val="19"/>
              </w:rPr>
            </w:pPr>
            <w:r>
              <w:rPr>
                <w:rFonts w:ascii="ARIAL" w:hAnsi="ARIAL"/>
                <w:color w:val="005CB9"/>
                <w:sz w:val="19"/>
              </w:rPr>
              <w:t>Richard F. Wallman</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425" w:type="dxa"/>
            <w:tcBorders>
              <w:bottom w:val="single" w:sz="6" w:space="0" w:color="005CB9"/>
            </w:tcBorders>
            <w:shd w:fill="auto" w:val="clear"/>
            <w:tcMar>
              <w:bottom w:w="60" w:type="dxa"/>
            </w:tcMar>
            <w:vAlign w:val="center"/>
          </w:tcPr>
          <w:p>
            <w:pPr>
              <w:pStyle w:val="TableContents"/>
              <w:spacing w:before="0" w:after="283"/>
              <w:jc w:val="center"/>
              <w:rPr/>
            </w:pPr>
            <w:r>
              <w:rPr/>
              <w:t>72</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800" w:type="dxa"/>
            <w:tcBorders>
              <w:bottom w:val="single" w:sz="6" w:space="0" w:color="005CB9"/>
            </w:tcBorders>
            <w:shd w:fill="auto" w:val="clear"/>
            <w:tcMar>
              <w:bottom w:w="60" w:type="dxa"/>
            </w:tcMar>
            <w:vAlign w:val="center"/>
          </w:tcPr>
          <w:p>
            <w:pPr>
              <w:pStyle w:val="TableContents"/>
              <w:spacing w:before="0" w:after="283"/>
              <w:jc w:val="center"/>
              <w:rPr/>
            </w:pPr>
            <w:r>
              <w:rPr/>
              <w:t>2007</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190" w:type="dxa"/>
            <w:tcBorders>
              <w:bottom w:val="single" w:sz="6" w:space="0" w:color="005CB9"/>
            </w:tcBorders>
            <w:shd w:fill="auto" w:val="clear"/>
            <w:tcMar>
              <w:bottom w:w="60" w:type="dxa"/>
            </w:tcMar>
            <w:vAlign w:val="center"/>
          </w:tcPr>
          <w:p>
            <w:pPr>
              <w:pStyle w:val="TableContents"/>
              <w:spacing w:before="0" w:after="283"/>
              <w:jc w:val="center"/>
              <w:rPr/>
            </w:pPr>
            <w:r>
              <w:rPr/>
              <w:t>Yes</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370" w:type="dxa"/>
            <w:tcBorders>
              <w:bottom w:val="single" w:sz="6" w:space="0" w:color="005CB9"/>
            </w:tcBorders>
            <w:shd w:fill="auto" w:val="clear"/>
            <w:tcMar>
              <w:bottom w:w="60" w:type="dxa"/>
            </w:tcMar>
            <w:vAlign w:val="center"/>
          </w:tcPr>
          <w:p>
            <w:pPr>
              <w:pStyle w:val="TableContents"/>
              <w:spacing w:before="0" w:after="283"/>
              <w:rPr/>
            </w:pPr>
            <w:r>
              <w:rPr/>
              <w:t>Retired Chief Financial Officer and Senior Vice President, Honeywell International Inc.</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5490" w:type="dxa"/>
            <w:gridSpan w:val="2"/>
            <w:tcBorders/>
            <w:shd w:fill="auto" w:val="clear"/>
            <w:vAlign w:val="center"/>
          </w:tcPr>
          <w:p>
            <w:pPr>
              <w:pStyle w:val="TableContents"/>
              <w:spacing w:before="0" w:after="283"/>
              <w:rPr>
                <w:sz w:val="4"/>
                <w:szCs w:val="4"/>
              </w:rPr>
            </w:pPr>
            <w:r>
              <w:rPr>
                <w:sz w:val="4"/>
                <w:szCs w:val="4"/>
              </w:rPr>
            </w:r>
          </w:p>
        </w:tc>
      </w:tr>
      <w:tr>
        <w:trPr/>
        <w:tc>
          <w:tcPr>
            <w:tcW w:w="2060" w:type="dxa"/>
            <w:tcBorders>
              <w:bottom w:val="single" w:sz="6" w:space="0" w:color="005CB9"/>
            </w:tcBorders>
            <w:shd w:fill="auto" w:val="clear"/>
            <w:tcMar>
              <w:bottom w:w="60" w:type="dxa"/>
            </w:tcMar>
            <w:vAlign w:val="center"/>
          </w:tcPr>
          <w:p>
            <w:pPr>
              <w:pStyle w:val="TableContents"/>
              <w:spacing w:before="0" w:after="0"/>
              <w:rPr>
                <w:rFonts w:ascii="ARIAL" w:hAnsi="ARIAL"/>
                <w:color w:val="005CB9"/>
                <w:sz w:val="19"/>
              </w:rPr>
            </w:pPr>
            <w:r>
              <w:rPr>
                <w:rFonts w:ascii="ARIAL" w:hAnsi="ARIAL"/>
                <w:color w:val="005CB9"/>
                <w:sz w:val="19"/>
              </w:rPr>
              <w:t>Christopher Wright</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425" w:type="dxa"/>
            <w:tcBorders>
              <w:bottom w:val="single" w:sz="6" w:space="0" w:color="005CB9"/>
            </w:tcBorders>
            <w:shd w:fill="auto" w:val="clear"/>
            <w:tcMar>
              <w:bottom w:w="60" w:type="dxa"/>
            </w:tcMar>
            <w:vAlign w:val="center"/>
          </w:tcPr>
          <w:p>
            <w:pPr>
              <w:pStyle w:val="TableContents"/>
              <w:spacing w:before="0" w:after="283"/>
              <w:jc w:val="center"/>
              <w:rPr/>
            </w:pPr>
            <w:r>
              <w:rPr/>
              <w:t>65</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800" w:type="dxa"/>
            <w:tcBorders>
              <w:bottom w:val="single" w:sz="6" w:space="0" w:color="005CB9"/>
            </w:tcBorders>
            <w:shd w:fill="auto" w:val="clear"/>
            <w:tcMar>
              <w:bottom w:w="60" w:type="dxa"/>
            </w:tcMar>
            <w:vAlign w:val="center"/>
          </w:tcPr>
          <w:p>
            <w:pPr>
              <w:pStyle w:val="TableContents"/>
              <w:spacing w:before="0" w:after="283"/>
              <w:jc w:val="center"/>
              <w:rPr/>
            </w:pPr>
            <w:r>
              <w:rPr/>
              <w:t>1991</w:t>
            </w:r>
          </w:p>
        </w:tc>
        <w:tc>
          <w:tcPr>
            <w:tcW w:w="60" w:type="dxa"/>
            <w:tcBorders>
              <w:bottom w:val="single" w:sz="6" w:space="0" w:color="005CB9"/>
            </w:tcBorders>
            <w:shd w:fill="auto" w:val="clear"/>
            <w:tcMar>
              <w:bottom w:w="28" w:type="dxa"/>
            </w:tcMar>
            <w:vAlign w:val="center"/>
          </w:tcPr>
          <w:p>
            <w:pPr>
              <w:pStyle w:val="TableContents"/>
              <w:spacing w:before="0" w:after="283"/>
              <w:rPr/>
            </w:pPr>
            <w:r>
              <w:rPr/>
              <w:t> </w:t>
            </w:r>
          </w:p>
        </w:tc>
        <w:tc>
          <w:tcPr>
            <w:tcW w:w="1190" w:type="dxa"/>
            <w:tcBorders>
              <w:bottom w:val="single" w:sz="6" w:space="0" w:color="005CB9"/>
            </w:tcBorders>
            <w:shd w:fill="auto" w:val="clear"/>
            <w:tcMar>
              <w:bottom w:w="60" w:type="dxa"/>
            </w:tcMar>
            <w:vAlign w:val="center"/>
          </w:tcPr>
          <w:p>
            <w:pPr>
              <w:pStyle w:val="TableContents"/>
              <w:spacing w:before="0" w:after="283"/>
              <w:jc w:val="center"/>
              <w:rPr/>
            </w:pPr>
            <w:r>
              <w:rPr/>
              <w:t>Yes</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370" w:type="dxa"/>
            <w:tcBorders>
              <w:bottom w:val="single" w:sz="6" w:space="0" w:color="005CB9"/>
            </w:tcBorders>
            <w:shd w:fill="auto" w:val="clear"/>
            <w:tcMar>
              <w:bottom w:w="60" w:type="dxa"/>
            </w:tcMar>
            <w:vAlign w:val="center"/>
          </w:tcPr>
          <w:p>
            <w:pPr>
              <w:pStyle w:val="TableContents"/>
              <w:spacing w:before="0" w:after="283"/>
              <w:rPr/>
            </w:pPr>
            <w:r>
              <w:rPr/>
              <w:t>Director, Merifin Capital</w:t>
            </w:r>
          </w:p>
        </w:tc>
      </w:tr>
    </w:tbl>
    <w:p>
      <w:pPr>
        <w:pStyle w:val="TextBody"/>
        <w:spacing w:before="0" w:after="0"/>
        <w:jc w:val="left"/>
        <w:rPr/>
      </w:pPr>
      <w:r>
        <w:rPr/>
        <w:t> </w:t>
      </w:r>
    </w:p>
    <w:tbl>
      <w:tblPr>
        <w:tblW w:w="607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21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color w:val="005CB9"/>
              </w:rPr>
            </w:pPr>
            <w:r>
              <w:rPr>
                <w:color w:val="005CB9"/>
              </w:rPr>
              <w:t> </w:t>
            </w:r>
            <w:r>
              <w:rPr>
                <w:b/>
                <w:color w:val="005CB9"/>
              </w:rPr>
              <w:t>1</w:t>
            </w:r>
          </w:p>
        </w:tc>
      </w:tr>
    </w:tbl>
    <w:p>
      <w:pPr>
        <w:pStyle w:val="HorizontalLine"/>
        <w:rPr/>
      </w:pPr>
      <w:r>
        <w:br w:type="page"/>
      </w:r>
      <w:r>
        <w:rPr/>
      </w:r>
    </w:p>
    <w:p>
      <w:pPr>
        <w:pStyle w:val="TextBody"/>
        <w:spacing w:before="0" w:after="0"/>
        <w:jc w:val="left"/>
        <w:rPr>
          <w:rFonts w:ascii="ARIAL" w:hAnsi="ARIAL"/>
          <w:color w:val="005CB9"/>
          <w:sz w:val="32"/>
        </w:rPr>
      </w:pPr>
      <w:bookmarkStart w:id="5" w:name="toc356364_3"/>
      <w:bookmarkEnd w:id="5"/>
      <w:r>
        <w:rPr>
          <w:rFonts w:ascii="ARIAL" w:hAnsi="ARIAL"/>
          <w:color w:val="005CB9"/>
          <w:sz w:val="32"/>
        </w:rPr>
        <w:t xml:space="preserve">BOARD OF DIRECTORS </w:t>
      </w:r>
    </w:p>
    <w:p>
      <w:pPr>
        <w:pStyle w:val="TextBody"/>
        <w:spacing w:before="360" w:after="0"/>
        <w:jc w:val="left"/>
        <w:rPr>
          <w:rFonts w:ascii="ARIAL" w:hAnsi="ARIAL"/>
          <w:b/>
          <w:color w:val="005CB9"/>
          <w:sz w:val="20"/>
        </w:rPr>
      </w:pPr>
      <w:r>
        <w:rPr>
          <w:rFonts w:ascii="ARIAL" w:hAnsi="ARIAL"/>
          <w:b/>
          <w:color w:val="005CB9"/>
          <w:sz w:val="20"/>
        </w:rPr>
        <w:t xml:space="preserve">Nominee Information </w:t>
      </w:r>
    </w:p>
    <w:p>
      <w:pPr>
        <w:pStyle w:val="TextBody"/>
        <w:spacing w:before="0" w:after="0"/>
        <w:jc w:val="left"/>
        <w:rPr>
          <w:rFonts w:ascii="ARIAL" w:hAnsi="ARIAL"/>
          <w:color w:val="005CB9"/>
          <w:sz w:val="20"/>
        </w:rPr>
      </w:pPr>
      <w:r>
        <w:rPr>
          <w:rFonts w:ascii="ARIAL" w:hAnsi="ARIAL"/>
          <w:i/>
          <w:color w:val="005CB9"/>
          <w:sz w:val="20"/>
        </w:rPr>
        <w:t>for terms expiring at the 2024 Annual Meeting</w:t>
      </w:r>
      <w:r>
        <w:rPr>
          <w:rFonts w:ascii="ARIAL" w:hAnsi="ARIAL"/>
          <w:color w:val="005CB9"/>
          <w:sz w:val="20"/>
        </w:rPr>
        <w:t xml:space="preserve">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16"/>
        <w:gridCol w:w="74"/>
        <w:gridCol w:w="6999"/>
        <w:gridCol w:w="120"/>
        <w:gridCol w:w="2796"/>
      </w:tblGrid>
      <w:tr>
        <w:trPr/>
        <w:tc>
          <w:tcPr>
            <w:tcW w:w="216"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69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96" w:type="dxa"/>
            <w:tcBorders/>
            <w:shd w:fill="auto" w:val="clear"/>
            <w:vAlign w:val="center"/>
          </w:tcPr>
          <w:p>
            <w:pPr>
              <w:pStyle w:val="TableContents"/>
              <w:spacing w:before="0" w:after="283"/>
              <w:rPr>
                <w:sz w:val="4"/>
                <w:szCs w:val="4"/>
              </w:rPr>
            </w:pPr>
            <w:r>
              <w:rPr>
                <w:sz w:val="4"/>
                <w:szCs w:val="4"/>
              </w:rPr>
            </w:r>
          </w:p>
        </w:tc>
      </w:tr>
      <w:tr>
        <w:trPr/>
        <w:tc>
          <w:tcPr>
            <w:tcW w:w="216" w:type="dxa"/>
            <w:vMerge w:val="restart"/>
            <w:tcBorders/>
            <w:shd w:fill="auto" w:val="clear"/>
            <w:vAlign w:val="center"/>
          </w:tcPr>
          <w:p>
            <w:pPr>
              <w:pStyle w:val="TableContents"/>
              <w:spacing w:before="0" w:after="283"/>
              <w:rPr/>
            </w:pPr>
            <w:r>
              <w:rPr/>
              <w:drawing>
                <wp:inline distT="0" distB="0" distL="0" distR="0">
                  <wp:extent cx="92075" cy="11557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92075" cy="115570"/>
                          </a:xfrm>
                          <a:prstGeom prst="rect">
                            <a:avLst/>
                          </a:prstGeom>
                        </pic:spPr>
                      </pic:pic>
                    </a:graphicData>
                  </a:graphic>
                </wp:inline>
              </w:drawing>
            </w:r>
            <w:r>
              <w:rPr/>
              <w:t xml:space="preserve"> </w:t>
            </w:r>
          </w:p>
        </w:tc>
        <w:tc>
          <w:tcPr>
            <w:tcW w:w="74" w:type="dxa"/>
            <w:tcBorders/>
            <w:shd w:fill="D8E6F4" w:val="clear"/>
            <w:vAlign w:val="center"/>
          </w:tcPr>
          <w:p>
            <w:pPr>
              <w:pStyle w:val="TableContents"/>
              <w:spacing w:before="0" w:after="283"/>
              <w:rPr/>
            </w:pPr>
            <w:r>
              <w:rPr/>
              <w:t> </w:t>
            </w:r>
          </w:p>
        </w:tc>
        <w:tc>
          <w:tcPr>
            <w:tcW w:w="6999" w:type="dxa"/>
            <w:tcBorders/>
            <w:shd w:fill="D8E6F4" w:val="clear"/>
            <w:vAlign w:val="center"/>
          </w:tcPr>
          <w:p>
            <w:pPr>
              <w:pStyle w:val="TableContents"/>
              <w:spacing w:before="0" w:after="0"/>
              <w:rPr/>
            </w:pPr>
            <w:r>
              <w:rPr/>
              <w:t> </w:t>
            </w:r>
          </w:p>
          <w:p>
            <w:pPr>
              <w:pStyle w:val="TableContents"/>
              <w:spacing w:before="0" w:after="0"/>
              <w:rPr>
                <w:rFonts w:ascii="ARIAL" w:hAnsi="ARIAL"/>
                <w:b/>
                <w:color w:val="005CB9"/>
                <w:sz w:val="28"/>
              </w:rPr>
            </w:pPr>
            <w:r>
              <w:rPr>
                <w:rFonts w:ascii="ARIAL" w:hAnsi="ARIAL"/>
                <w:b/>
                <w:color w:val="005CB9"/>
                <w:sz w:val="28"/>
              </w:rPr>
              <w:t>Shellye L. Archambeau</w:t>
            </w:r>
          </w:p>
          <w:p>
            <w:pPr>
              <w:pStyle w:val="TableContents"/>
              <w:spacing w:before="0" w:after="0"/>
              <w:rPr/>
            </w:pPr>
            <w:r>
              <w:rPr/>
              <w:t> </w:t>
            </w:r>
          </w:p>
          <w:p>
            <w:pPr>
              <w:pStyle w:val="TableContents"/>
              <w:spacing w:before="0" w:after="0"/>
              <w:rPr>
                <w:rFonts w:ascii="ARIAL" w:hAnsi="ARIAL"/>
                <w:b/>
                <w:sz w:val="17"/>
              </w:rPr>
            </w:pPr>
            <w:r>
              <w:rPr>
                <w:rFonts w:ascii="ARIAL" w:hAnsi="ARIAL"/>
                <w:b/>
                <w:sz w:val="17"/>
              </w:rPr>
              <w:t>Former Chief Executive Officer, MetricStream, Inc.</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2796" w:type="dxa"/>
            <w:tcBorders/>
            <w:shd w:fill="auto" w:val="clear"/>
            <w:vAlign w:val="center"/>
          </w:tcPr>
          <w:p>
            <w:pPr>
              <w:pStyle w:val="TableContents"/>
              <w:spacing w:before="0" w:after="0"/>
              <w:rPr>
                <w:rFonts w:ascii="ARIAL" w:hAnsi="ARIAL"/>
                <w:b/>
                <w:sz w:val="18"/>
              </w:rPr>
            </w:pPr>
            <w:r>
              <w:rPr>
                <w:rFonts w:ascii="ARIAL" w:hAnsi="ARIAL"/>
                <w:b/>
                <w:sz w:val="18"/>
              </w:rPr>
              <w:t>Director Since 2018</w:t>
            </w:r>
          </w:p>
          <w:p>
            <w:pPr>
              <w:pStyle w:val="TableContents"/>
              <w:spacing w:before="0" w:after="0"/>
              <w:rPr>
                <w:rFonts w:ascii="ARIAL" w:hAnsi="ARIAL"/>
                <w:b/>
                <w:sz w:val="18"/>
              </w:rPr>
            </w:pPr>
            <w:r>
              <w:rPr>
                <w:rFonts w:ascii="ARIAL" w:hAnsi="ARIAL"/>
                <w:b/>
                <w:sz w:val="18"/>
              </w:rPr>
              <w:t>Independent</w:t>
            </w:r>
          </w:p>
          <w:p>
            <w:pPr>
              <w:pStyle w:val="TableContents"/>
              <w:spacing w:before="0" w:after="0"/>
              <w:rPr>
                <w:rFonts w:ascii="ARIAL" w:hAnsi="ARIAL"/>
                <w:b/>
                <w:sz w:val="18"/>
              </w:rPr>
            </w:pPr>
            <w:r>
              <w:rPr>
                <w:rFonts w:ascii="ARIAL" w:hAnsi="ARIAL"/>
                <w:b/>
                <w:sz w:val="18"/>
              </w:rPr>
              <w:t>Age 60</w:t>
            </w:r>
          </w:p>
          <w:p>
            <w:pPr>
              <w:pStyle w:val="TableContents"/>
              <w:spacing w:before="0" w:after="20"/>
              <w:rPr/>
            </w:pPr>
            <w:r>
              <w:rPr/>
              <w:t> </w:t>
            </w:r>
          </w:p>
        </w:tc>
      </w:tr>
      <w:tr>
        <w:trPr/>
        <w:tc>
          <w:tcPr>
            <w:tcW w:w="216" w:type="dxa"/>
            <w:vMerge w:val="continue"/>
            <w:tcBorders/>
            <w:shd w:fill="auto" w:val="clear"/>
            <w:vAlign w:val="center"/>
          </w:tcPr>
          <w:p>
            <w:pPr>
              <w:pStyle w:val="Normal"/>
              <w:rPr/>
            </w:pPr>
            <w:r>
              <w:rPr/>
            </w:r>
          </w:p>
        </w:tc>
        <w:tc>
          <w:tcPr>
            <w:tcW w:w="74" w:type="dxa"/>
            <w:tcBorders/>
            <w:shd w:fill="auto" w:val="clear"/>
            <w:vAlign w:val="center"/>
          </w:tcPr>
          <w:p>
            <w:pPr>
              <w:pStyle w:val="TableContents"/>
              <w:spacing w:before="0" w:after="283"/>
              <w:rPr/>
            </w:pPr>
            <w:r>
              <w:rPr/>
              <w:t> </w:t>
            </w:r>
          </w:p>
        </w:tc>
        <w:tc>
          <w:tcPr>
            <w:tcW w:w="6999" w:type="dxa"/>
            <w:tcBorders/>
            <w:shd w:fill="auto" w:val="clear"/>
            <w:vAlign w:val="center"/>
          </w:tcPr>
          <w:p>
            <w:pPr>
              <w:pStyle w:val="TableContents"/>
              <w:spacing w:before="0" w:after="283"/>
              <w:rPr>
                <w:sz w:val="4"/>
                <w:szCs w:val="4"/>
              </w:rPr>
            </w:pPr>
            <w:r>
              <w:rPr>
                <w:sz w:val="4"/>
                <w:szCs w:val="4"/>
              </w:rPr>
            </w:r>
          </w:p>
        </w:tc>
        <w:tc>
          <w:tcPr>
            <w:tcW w:w="120" w:type="dxa"/>
            <w:vMerge w:val="restart"/>
            <w:tcBorders/>
            <w:shd w:fill="auto" w:val="clear"/>
            <w:vAlign w:val="center"/>
          </w:tcPr>
          <w:p>
            <w:pPr>
              <w:pStyle w:val="TableContents"/>
              <w:spacing w:before="0" w:after="283"/>
              <w:rPr/>
            </w:pPr>
            <w:r>
              <w:rPr/>
              <w:t>  </w:t>
            </w:r>
          </w:p>
        </w:tc>
        <w:tc>
          <w:tcPr>
            <w:tcW w:w="2796" w:type="dxa"/>
            <w:vMerge w:val="restart"/>
            <w:tcBorders/>
            <w:shd w:fill="auto" w:val="clear"/>
            <w:vAlign w:val="center"/>
          </w:tcPr>
          <w:p>
            <w:pPr>
              <w:pStyle w:val="TableContents"/>
              <w:spacing w:before="0" w:after="0"/>
              <w:rPr>
                <w:rFonts w:ascii="ARIAL" w:hAnsi="ARIAL"/>
                <w:b/>
                <w:sz w:val="18"/>
              </w:rPr>
            </w:pPr>
            <w:r>
              <w:rPr>
                <w:rFonts w:ascii="ARIAL" w:hAnsi="ARIAL"/>
                <w:b/>
                <w:sz w:val="18"/>
              </w:rPr>
              <w:t>Committees: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  Nominating and Governance (Chair)</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  Executive</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Current Public Directorships: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  Okta, Inc.</w:t>
            </w:r>
          </w:p>
          <w:p>
            <w:pPr>
              <w:pStyle w:val="TableContents"/>
              <w:spacing w:before="0" w:after="0"/>
              <w:rPr>
                <w:rFonts w:ascii="ARIAL" w:hAnsi="ARIAL"/>
                <w:sz w:val="18"/>
              </w:rPr>
            </w:pPr>
            <w:r>
              <w:rPr>
                <w:rFonts w:ascii="SYMBOL" w:hAnsi="SYMBOL"/>
                <w:color w:val="005CB9"/>
                <w:sz w:val="18"/>
              </w:rPr>
              <w:t>·</w:t>
            </w:r>
            <w:r>
              <w:rPr>
                <w:rFonts w:ascii="ARIAL" w:hAnsi="ARIAL"/>
                <w:sz w:val="18"/>
              </w:rPr>
              <w:t>  Verizon Communications, Inc.</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Key Qualifications &amp; Expertise: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  Executive leadership and management experience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  Software, technology and e-commerce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  Cybersecurity experience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  Developing and marketing emerging technology software applications and solutions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  Innovation, digital media and communications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  Building and scaling consumer and B2B businesses in the technology industry</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  Entrepreneurial perspective</w:t>
            </w:r>
          </w:p>
          <w:p>
            <w:pPr>
              <w:pStyle w:val="TableContents"/>
              <w:spacing w:before="0" w:after="0"/>
              <w:rPr/>
            </w:pPr>
            <w:r>
              <w:rPr/>
              <w:t> </w:t>
            </w:r>
          </w:p>
          <w:p>
            <w:pPr>
              <w:pStyle w:val="TableContents"/>
              <w:spacing w:before="0" w:after="20"/>
              <w:rPr>
                <w:rFonts w:ascii="ARIAL" w:hAnsi="ARIAL"/>
                <w:sz w:val="18"/>
              </w:rPr>
            </w:pPr>
            <w:r>
              <w:rPr>
                <w:rFonts w:ascii="SYMBOL" w:hAnsi="SYMBOL"/>
                <w:color w:val="005CB9"/>
                <w:sz w:val="18"/>
              </w:rPr>
              <w:t>·</w:t>
            </w:r>
            <w:r>
              <w:rPr>
                <w:rFonts w:ascii="ARIAL" w:hAnsi="ARIAL"/>
                <w:sz w:val="18"/>
              </w:rPr>
              <w:t>  Public company board experience</w:t>
            </w:r>
          </w:p>
        </w:tc>
      </w:tr>
      <w:tr>
        <w:trPr/>
        <w:tc>
          <w:tcPr>
            <w:tcW w:w="216" w:type="dxa"/>
            <w:vMerge w:val="continue"/>
            <w:tcBorders/>
            <w:shd w:fill="auto" w:val="clear"/>
            <w:vAlign w:val="center"/>
          </w:tcPr>
          <w:p>
            <w:pPr>
              <w:pStyle w:val="Normal"/>
              <w:rPr/>
            </w:pPr>
            <w:r>
              <w:rPr/>
            </w:r>
          </w:p>
        </w:tc>
        <w:tc>
          <w:tcPr>
            <w:tcW w:w="74" w:type="dxa"/>
            <w:tcBorders>
              <w:top w:val="single" w:sz="6" w:space="0" w:color="000000"/>
            </w:tcBorders>
            <w:shd w:fill="auto" w:val="clear"/>
            <w:tcMar>
              <w:top w:w="28" w:type="dxa"/>
            </w:tcMar>
            <w:vAlign w:val="center"/>
          </w:tcPr>
          <w:p>
            <w:pPr>
              <w:pStyle w:val="TableContents"/>
              <w:spacing w:before="0" w:after="283"/>
              <w:rPr/>
            </w:pPr>
            <w:r>
              <w:rPr/>
              <w:t> </w:t>
            </w:r>
          </w:p>
        </w:tc>
        <w:tc>
          <w:tcPr>
            <w:tcW w:w="6999" w:type="dxa"/>
            <w:tcBorders>
              <w:top w:val="single" w:sz="6" w:space="0" w:color="000000"/>
            </w:tcBorders>
            <w:shd w:fill="auto" w:val="clear"/>
            <w:tcMar>
              <w:top w:w="28" w:type="dxa"/>
            </w:tcM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Ms. Archambeau is the former Chief Executive Officer of MetricStream, Inc., a global provider of governance, risk, compliance and quality management solutions to organizations across diverse industries. She served</w:t>
            </w:r>
          </w:p>
        </w:tc>
        <w:tc>
          <w:tcPr>
            <w:tcW w:w="120" w:type="dxa"/>
            <w:vMerge w:val="continue"/>
            <w:tcBorders/>
            <w:shd w:fill="auto" w:val="clear"/>
            <w:vAlign w:val="center"/>
          </w:tcPr>
          <w:p>
            <w:pPr>
              <w:pStyle w:val="Normal"/>
              <w:rPr/>
            </w:pPr>
            <w:r>
              <w:rPr/>
            </w:r>
          </w:p>
        </w:tc>
        <w:tc>
          <w:tcPr>
            <w:tcW w:w="2796" w:type="dxa"/>
            <w:vMerge w:val="continue"/>
            <w:tcBorders/>
            <w:shd w:fill="auto" w:val="clear"/>
            <w:vAlign w:val="center"/>
          </w:tcPr>
          <w:p>
            <w:pPr>
              <w:pStyle w:val="Normal"/>
              <w:rPr/>
            </w:pPr>
            <w:r>
              <w:rPr/>
            </w:r>
          </w:p>
        </w:tc>
      </w:tr>
      <w:tr>
        <w:trPr/>
        <w:tc>
          <w:tcPr>
            <w:tcW w:w="7289" w:type="dxa"/>
            <w:gridSpan w:val="3"/>
            <w:tcBorders/>
            <w:shd w:fill="auto" w:val="clear"/>
            <w:vAlign w:val="center"/>
          </w:tcPr>
          <w:p>
            <w:pPr>
              <w:pStyle w:val="TableContents"/>
              <w:rPr/>
            </w:pPr>
            <w:r>
              <w:rPr/>
              <w:t>in this role from the time she joined MetricStream in 2002 until 2018. Prior to joining MetricStream, Ms. Archambeau served as Chief Marketing Officer and Executive Vice President of Sales for Loudcloud, Inc., a provider of Internet infrastructure services; Chief Marketing Officer of NorthPoint Communications, a provider of local data network services; and President of Blockbuster, Inc.’s e-commerce division, where she launched the entertainment retailer’s first online presence. Before she joined Blockbuster, Ms. Archambeau held domestic and international executive positions during a 15-year career at IBM Corporation. Ms. Archambeau has served as director of Okta, Inc., a provider of identity management solutions, since 2018, and Verizon Communications, Inc., since 2013. She has previously served as a director of Nordstrom, Inc., a leading fashion retailer.</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20" w:type="dxa"/>
            <w:vMerge w:val="continue"/>
            <w:tcBorders/>
            <w:shd w:fill="auto" w:val="clear"/>
            <w:vAlign w:val="center"/>
          </w:tcPr>
          <w:p>
            <w:pPr>
              <w:pStyle w:val="Normal"/>
              <w:rPr/>
            </w:pPr>
            <w:r>
              <w:rPr/>
            </w:r>
          </w:p>
        </w:tc>
        <w:tc>
          <w:tcPr>
            <w:tcW w:w="2796" w:type="dxa"/>
            <w:vMerge w:val="continue"/>
            <w:tcBorders/>
            <w:shd w:fill="auto" w:val="clear"/>
            <w:vAlign w:val="center"/>
          </w:tcPr>
          <w:p>
            <w:pPr>
              <w:pStyle w:val="Normal"/>
              <w:rPr/>
            </w:pPr>
            <w:r>
              <w:rPr/>
            </w:r>
          </w:p>
        </w:tc>
      </w:tr>
    </w:tbl>
    <w:p>
      <w:pPr>
        <w:pStyle w:val="TextBody"/>
        <w:spacing w:before="0" w:after="0"/>
        <w:jc w:val="left"/>
        <w:rPr/>
      </w:pPr>
      <w:r>
        <w:rPr/>
        <w:t> </w:t>
      </w:r>
    </w:p>
    <w:tbl>
      <w:tblPr>
        <w:tblW w:w="5935" w:type="dxa"/>
        <w:jc w:val="left"/>
        <w:tblInd w:w="0" w:type="dxa"/>
        <w:tblCellMar>
          <w:top w:w="0" w:type="dxa"/>
          <w:left w:w="0" w:type="dxa"/>
          <w:bottom w:w="0" w:type="dxa"/>
          <w:right w:w="0" w:type="dxa"/>
        </w:tblCellMar>
      </w:tblPr>
      <w:tblGrid>
        <w:gridCol w:w="155"/>
        <w:gridCol w:w="60"/>
        <w:gridCol w:w="240"/>
        <w:gridCol w:w="60"/>
        <w:gridCol w:w="255"/>
        <w:gridCol w:w="60"/>
        <w:gridCol w:w="5105"/>
      </w:tblGrid>
      <w:tr>
        <w:trPr/>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before="0" w:after="283"/>
              <w:rPr>
                <w:b/>
                <w:color w:val="005CB9"/>
              </w:rPr>
            </w:pPr>
            <w:r>
              <w:rPr>
                <w:b/>
                <w:color w:val="005CB9"/>
              </w:rPr>
              <w:t>2</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BOARD OF DIRECTORS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9"/>
        <w:gridCol w:w="72"/>
        <w:gridCol w:w="7368"/>
        <w:gridCol w:w="120"/>
        <w:gridCol w:w="2436"/>
      </w:tblGrid>
      <w:tr>
        <w:trPr/>
        <w:tc>
          <w:tcPr>
            <w:tcW w:w="209"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736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36" w:type="dxa"/>
            <w:tcBorders/>
            <w:shd w:fill="auto" w:val="clear"/>
            <w:vAlign w:val="center"/>
          </w:tcPr>
          <w:p>
            <w:pPr>
              <w:pStyle w:val="TableContents"/>
              <w:spacing w:before="0" w:after="283"/>
              <w:rPr>
                <w:sz w:val="4"/>
                <w:szCs w:val="4"/>
              </w:rPr>
            </w:pPr>
            <w:r>
              <w:rPr>
                <w:sz w:val="4"/>
                <w:szCs w:val="4"/>
              </w:rPr>
            </w:r>
          </w:p>
        </w:tc>
      </w:tr>
      <w:tr>
        <w:trPr/>
        <w:tc>
          <w:tcPr>
            <w:tcW w:w="209" w:type="dxa"/>
            <w:vMerge w:val="restart"/>
            <w:tcBorders/>
            <w:shd w:fill="auto" w:val="clear"/>
            <w:vAlign w:val="center"/>
          </w:tcPr>
          <w:p>
            <w:pPr>
              <w:pStyle w:val="TableContents"/>
              <w:spacing w:before="0" w:after="283"/>
              <w:rPr/>
            </w:pPr>
            <w:r>
              <w:rPr/>
              <w:drawing>
                <wp:inline distT="0" distB="0" distL="0" distR="0">
                  <wp:extent cx="92075" cy="11430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92075" cy="114300"/>
                          </a:xfrm>
                          <a:prstGeom prst="rect">
                            <a:avLst/>
                          </a:prstGeom>
                        </pic:spPr>
                      </pic:pic>
                    </a:graphicData>
                  </a:graphic>
                </wp:inline>
              </w:drawing>
            </w:r>
            <w:r>
              <w:rPr/>
              <w:t xml:space="preserve"> </w:t>
            </w:r>
          </w:p>
        </w:tc>
        <w:tc>
          <w:tcPr>
            <w:tcW w:w="72" w:type="dxa"/>
            <w:tcBorders/>
            <w:shd w:fill="D8E6F4" w:val="clear"/>
            <w:vAlign w:val="center"/>
          </w:tcPr>
          <w:p>
            <w:pPr>
              <w:pStyle w:val="TableContents"/>
              <w:spacing w:before="0" w:after="283"/>
              <w:rPr/>
            </w:pPr>
            <w:r>
              <w:rPr/>
              <w:t> </w:t>
            </w:r>
          </w:p>
        </w:tc>
        <w:tc>
          <w:tcPr>
            <w:tcW w:w="7368" w:type="dxa"/>
            <w:tcBorders/>
            <w:shd w:fill="D8E6F4" w:val="clear"/>
            <w:vAlign w:val="center"/>
          </w:tcPr>
          <w:p>
            <w:pPr>
              <w:pStyle w:val="TableContents"/>
              <w:spacing w:before="0" w:after="0"/>
              <w:rPr/>
            </w:pPr>
            <w:r>
              <w:rPr/>
              <w:t> </w:t>
            </w:r>
          </w:p>
          <w:p>
            <w:pPr>
              <w:pStyle w:val="TableContents"/>
              <w:spacing w:before="0" w:after="0"/>
              <w:rPr>
                <w:rFonts w:ascii="ARIAL" w:hAnsi="ARIAL"/>
                <w:b/>
                <w:color w:val="005CB9"/>
                <w:sz w:val="28"/>
              </w:rPr>
            </w:pPr>
            <w:r>
              <w:rPr>
                <w:rFonts w:ascii="ARIAL" w:hAnsi="ARIAL"/>
                <w:b/>
                <w:color w:val="005CB9"/>
                <w:sz w:val="28"/>
              </w:rPr>
              <w:t>Amy Woods Brinkley</w:t>
            </w:r>
          </w:p>
          <w:p>
            <w:pPr>
              <w:pStyle w:val="TableContents"/>
              <w:spacing w:before="0" w:after="0"/>
              <w:rPr/>
            </w:pPr>
            <w:r>
              <w:rPr/>
              <w:t> </w:t>
            </w:r>
          </w:p>
          <w:p>
            <w:pPr>
              <w:pStyle w:val="TableContents"/>
              <w:spacing w:before="0" w:after="0"/>
              <w:rPr>
                <w:rFonts w:ascii="ARIAL" w:hAnsi="ARIAL"/>
                <w:b/>
                <w:sz w:val="17"/>
              </w:rPr>
            </w:pPr>
            <w:r>
              <w:rPr>
                <w:rFonts w:ascii="ARIAL" w:hAnsi="ARIAL"/>
                <w:b/>
                <w:sz w:val="17"/>
              </w:rPr>
              <w:t>Founder, AWB Consulting, LLC</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2436" w:type="dxa"/>
            <w:tcBorders/>
            <w:shd w:fill="auto" w:val="clear"/>
            <w:vAlign w:val="center"/>
          </w:tcPr>
          <w:p>
            <w:pPr>
              <w:pStyle w:val="TableContents"/>
              <w:spacing w:before="0" w:after="0"/>
              <w:rPr>
                <w:rFonts w:ascii="ARIAL" w:hAnsi="ARIAL"/>
                <w:b/>
                <w:sz w:val="18"/>
              </w:rPr>
            </w:pPr>
            <w:r>
              <w:rPr>
                <w:rFonts w:ascii="ARIAL" w:hAnsi="ARIAL"/>
                <w:b/>
                <w:sz w:val="18"/>
              </w:rPr>
              <w:t>Director Since 2015</w:t>
            </w:r>
          </w:p>
          <w:p>
            <w:pPr>
              <w:pStyle w:val="TableContents"/>
              <w:spacing w:before="0" w:after="0"/>
              <w:rPr>
                <w:rFonts w:ascii="ARIAL" w:hAnsi="ARIAL"/>
                <w:b/>
                <w:sz w:val="18"/>
              </w:rPr>
            </w:pPr>
            <w:r>
              <w:rPr>
                <w:rFonts w:ascii="ARIAL" w:hAnsi="ARIAL"/>
                <w:b/>
                <w:sz w:val="18"/>
              </w:rPr>
              <w:t>Independent</w:t>
            </w:r>
          </w:p>
          <w:p>
            <w:pPr>
              <w:pStyle w:val="TableContents"/>
              <w:spacing w:before="0" w:after="0"/>
              <w:rPr>
                <w:rFonts w:ascii="ARIAL" w:hAnsi="ARIAL"/>
                <w:b/>
                <w:sz w:val="18"/>
              </w:rPr>
            </w:pPr>
            <w:r>
              <w:rPr>
                <w:rFonts w:ascii="ARIAL" w:hAnsi="ARIAL"/>
                <w:b/>
                <w:sz w:val="18"/>
              </w:rPr>
              <w:t>Age 67</w:t>
            </w:r>
          </w:p>
          <w:p>
            <w:pPr>
              <w:pStyle w:val="TableContents"/>
              <w:spacing w:before="0" w:after="20"/>
              <w:rPr/>
            </w:pPr>
            <w:r>
              <w:rPr/>
              <w:t> </w:t>
            </w:r>
          </w:p>
        </w:tc>
      </w:tr>
      <w:tr>
        <w:trPr/>
        <w:tc>
          <w:tcPr>
            <w:tcW w:w="209" w:type="dxa"/>
            <w:vMerge w:val="continue"/>
            <w:tcBorders/>
            <w:shd w:fill="auto" w:val="clear"/>
            <w:vAlign w:val="center"/>
          </w:tcPr>
          <w:p>
            <w:pPr>
              <w:pStyle w:val="Normal"/>
              <w:rPr/>
            </w:pPr>
            <w:r>
              <w:rPr/>
            </w:r>
          </w:p>
        </w:tc>
        <w:tc>
          <w:tcPr>
            <w:tcW w:w="72" w:type="dxa"/>
            <w:tcBorders/>
            <w:shd w:fill="auto" w:val="clear"/>
            <w:vAlign w:val="center"/>
          </w:tcPr>
          <w:p>
            <w:pPr>
              <w:pStyle w:val="TableContents"/>
              <w:spacing w:before="0" w:after="283"/>
              <w:rPr/>
            </w:pPr>
            <w:r>
              <w:rPr/>
              <w:t> </w:t>
            </w:r>
          </w:p>
        </w:tc>
        <w:tc>
          <w:tcPr>
            <w:tcW w:w="7368" w:type="dxa"/>
            <w:tcBorders/>
            <w:shd w:fill="auto" w:val="clear"/>
            <w:vAlign w:val="center"/>
          </w:tcPr>
          <w:p>
            <w:pPr>
              <w:pStyle w:val="TableContents"/>
              <w:spacing w:before="0" w:after="0"/>
              <w:rPr/>
            </w:pPr>
            <w:r>
              <w:rPr/>
              <w:t> </w:t>
            </w:r>
          </w:p>
        </w:tc>
        <w:tc>
          <w:tcPr>
            <w:tcW w:w="120" w:type="dxa"/>
            <w:vMerge w:val="restart"/>
            <w:tcBorders/>
            <w:shd w:fill="auto" w:val="clear"/>
            <w:vAlign w:val="center"/>
          </w:tcPr>
          <w:p>
            <w:pPr>
              <w:pStyle w:val="TableContents"/>
              <w:spacing w:before="0" w:after="283"/>
              <w:rPr/>
            </w:pPr>
            <w:r>
              <w:rPr/>
              <w:t>  </w:t>
            </w:r>
          </w:p>
        </w:tc>
        <w:tc>
          <w:tcPr>
            <w:tcW w:w="2436" w:type="dxa"/>
            <w:vMerge w:val="restart"/>
            <w:tcBorders/>
            <w:shd w:fill="auto" w:val="clear"/>
            <w:vAlign w:val="center"/>
          </w:tcPr>
          <w:p>
            <w:pPr>
              <w:pStyle w:val="TableContents"/>
              <w:spacing w:before="0" w:after="0"/>
              <w:rPr>
                <w:rFonts w:ascii="ARIAL" w:hAnsi="ARIAL"/>
                <w:b/>
                <w:sz w:val="18"/>
              </w:rPr>
            </w:pPr>
            <w:r>
              <w:rPr>
                <w:rFonts w:ascii="ARIAL" w:hAnsi="ARIAL"/>
                <w:b/>
                <w:sz w:val="18"/>
              </w:rPr>
              <w:t>Committees: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  Compensation</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  Nominating and Governance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  Executive (Chair)</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Current Public Directorships: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  TD Bank Group</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Key Qualifications &amp; Expertise: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  Executive leadership and management experience</w:t>
            </w:r>
          </w:p>
          <w:p>
            <w:pPr>
              <w:pStyle w:val="TableContents"/>
              <w:spacing w:before="0" w:after="0"/>
              <w:rPr>
                <w:rFonts w:ascii="ARIAL" w:hAnsi="ARIAL"/>
                <w:sz w:val="18"/>
              </w:rPr>
            </w:pPr>
            <w:r>
              <w:rPr>
                <w:rFonts w:ascii="SYMBOL" w:hAnsi="SYMBOL"/>
                <w:color w:val="005CB9"/>
                <w:sz w:val="18"/>
              </w:rPr>
              <w:t>·</w:t>
            </w:r>
            <w:r>
              <w:rPr>
                <w:rFonts w:ascii="ARIAL" w:hAnsi="ARIAL"/>
                <w:sz w:val="18"/>
              </w:rPr>
              <w:t>  Risk management and controls</w:t>
            </w:r>
          </w:p>
          <w:p>
            <w:pPr>
              <w:pStyle w:val="TableContents"/>
              <w:spacing w:before="0" w:after="0"/>
              <w:rPr>
                <w:rFonts w:ascii="ARIAL" w:hAnsi="ARIAL"/>
                <w:sz w:val="18"/>
              </w:rPr>
            </w:pPr>
            <w:r>
              <w:rPr>
                <w:rFonts w:ascii="SYMBOL" w:hAnsi="SYMBOL"/>
                <w:color w:val="005CB9"/>
                <w:sz w:val="18"/>
              </w:rPr>
              <w:t>·</w:t>
            </w:r>
            <w:r>
              <w:rPr>
                <w:rFonts w:ascii="ARIAL" w:hAnsi="ARIAL"/>
                <w:sz w:val="18"/>
              </w:rPr>
              <w:t>  Financial reporting rules and regulations and audit procedures</w:t>
            </w:r>
          </w:p>
          <w:p>
            <w:pPr>
              <w:pStyle w:val="TableContents"/>
              <w:spacing w:before="0" w:after="0"/>
              <w:rPr>
                <w:rFonts w:ascii="ARIAL" w:hAnsi="ARIAL"/>
                <w:sz w:val="18"/>
              </w:rPr>
            </w:pPr>
            <w:r>
              <w:rPr>
                <w:rFonts w:ascii="SYMBOL" w:hAnsi="SYMBOL"/>
                <w:color w:val="005CB9"/>
                <w:sz w:val="18"/>
              </w:rPr>
              <w:t>·</w:t>
            </w:r>
            <w:r>
              <w:rPr>
                <w:rFonts w:ascii="ARIAL" w:hAnsi="ARIAL"/>
                <w:sz w:val="18"/>
              </w:rPr>
              <w:t>  Broad-based knowledge of banking and financial services</w:t>
            </w:r>
          </w:p>
          <w:p>
            <w:pPr>
              <w:pStyle w:val="TableContents"/>
              <w:spacing w:before="0" w:after="0"/>
              <w:rPr>
                <w:rFonts w:ascii="ARIAL" w:hAnsi="ARIAL"/>
                <w:sz w:val="18"/>
              </w:rPr>
            </w:pPr>
            <w:r>
              <w:rPr>
                <w:rFonts w:ascii="SYMBOL" w:hAnsi="SYMBOL"/>
                <w:color w:val="005CB9"/>
                <w:sz w:val="18"/>
              </w:rPr>
              <w:t>·</w:t>
            </w:r>
            <w:r>
              <w:rPr>
                <w:rFonts w:ascii="ARIAL" w:hAnsi="ARIAL"/>
                <w:sz w:val="18"/>
              </w:rPr>
              <w:t>  Marketing and e-commerce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  Mergers and acquisitions</w:t>
            </w:r>
          </w:p>
          <w:p>
            <w:pPr>
              <w:pStyle w:val="TableContents"/>
              <w:spacing w:before="0" w:after="0"/>
              <w:rPr>
                <w:rFonts w:ascii="ARIAL" w:hAnsi="ARIAL"/>
                <w:sz w:val="18"/>
              </w:rPr>
            </w:pPr>
            <w:r>
              <w:rPr>
                <w:rFonts w:ascii="SYMBOL" w:hAnsi="SYMBOL"/>
                <w:color w:val="005CB9"/>
                <w:sz w:val="18"/>
              </w:rPr>
              <w:t>·</w:t>
            </w:r>
            <w:r>
              <w:rPr>
                <w:rFonts w:ascii="ARIAL" w:hAnsi="ARIAL"/>
                <w:sz w:val="18"/>
              </w:rPr>
              <w:t>  Corporate governance</w:t>
            </w:r>
          </w:p>
          <w:p>
            <w:pPr>
              <w:pStyle w:val="TableContents"/>
              <w:spacing w:before="0" w:after="0"/>
              <w:rPr>
                <w:rFonts w:ascii="ARIAL" w:hAnsi="ARIAL"/>
                <w:sz w:val="18"/>
              </w:rPr>
            </w:pPr>
            <w:r>
              <w:rPr>
                <w:rFonts w:ascii="SYMBOL" w:hAnsi="SYMBOL"/>
                <w:color w:val="005CB9"/>
                <w:sz w:val="18"/>
              </w:rPr>
              <w:t>·</w:t>
            </w:r>
            <w:r>
              <w:rPr>
                <w:rFonts w:ascii="ARIAL" w:hAnsi="ARIAL"/>
                <w:sz w:val="18"/>
              </w:rPr>
              <w:t>  Public company board experience</w:t>
            </w:r>
          </w:p>
          <w:p>
            <w:pPr>
              <w:pStyle w:val="TableContents"/>
              <w:spacing w:before="0" w:after="0"/>
              <w:rPr/>
            </w:pPr>
            <w:r>
              <w:rPr/>
              <w:t> </w:t>
            </w:r>
          </w:p>
          <w:p>
            <w:pPr>
              <w:pStyle w:val="TableContents"/>
              <w:spacing w:before="0" w:after="20"/>
              <w:rPr>
                <w:rFonts w:ascii="ARIAL" w:hAnsi="ARIAL"/>
                <w:sz w:val="18"/>
              </w:rPr>
            </w:pPr>
            <w:r>
              <w:rPr>
                <w:rFonts w:ascii="SYMBOL" w:hAnsi="SYMBOL"/>
                <w:color w:val="005CB9"/>
                <w:sz w:val="18"/>
              </w:rPr>
              <w:t>·</w:t>
            </w:r>
            <w:r>
              <w:rPr>
                <w:rFonts w:ascii="ARIAL" w:hAnsi="ARIAL"/>
                <w:sz w:val="18"/>
              </w:rPr>
              <w:t>  Talent and team development</w:t>
            </w:r>
          </w:p>
        </w:tc>
      </w:tr>
      <w:tr>
        <w:trPr/>
        <w:tc>
          <w:tcPr>
            <w:tcW w:w="209" w:type="dxa"/>
            <w:vMerge w:val="continue"/>
            <w:tcBorders/>
            <w:shd w:fill="auto" w:val="clear"/>
            <w:vAlign w:val="center"/>
          </w:tcPr>
          <w:p>
            <w:pPr>
              <w:pStyle w:val="Normal"/>
              <w:rPr/>
            </w:pPr>
            <w:r>
              <w:rPr/>
            </w:r>
          </w:p>
        </w:tc>
        <w:tc>
          <w:tcPr>
            <w:tcW w:w="72" w:type="dxa"/>
            <w:tcBorders>
              <w:top w:val="single" w:sz="6" w:space="0" w:color="000000"/>
            </w:tcBorders>
            <w:shd w:fill="auto" w:val="clear"/>
            <w:tcMar>
              <w:top w:w="28" w:type="dxa"/>
            </w:tcMar>
            <w:vAlign w:val="center"/>
          </w:tcPr>
          <w:p>
            <w:pPr>
              <w:pStyle w:val="TableContents"/>
              <w:spacing w:before="0" w:after="283"/>
              <w:rPr/>
            </w:pPr>
            <w:r>
              <w:rPr/>
              <w:t> </w:t>
            </w:r>
          </w:p>
        </w:tc>
        <w:tc>
          <w:tcPr>
            <w:tcW w:w="7368" w:type="dxa"/>
            <w:tcBorders>
              <w:top w:val="single" w:sz="6" w:space="0" w:color="000000"/>
            </w:tcBorders>
            <w:shd w:fill="auto" w:val="clear"/>
            <w:tcMar>
              <w:top w:w="28" w:type="dxa"/>
            </w:tcMar>
            <w:vAlign w:val="center"/>
          </w:tcPr>
          <w:p>
            <w:pPr>
              <w:pStyle w:val="TableContents"/>
              <w:spacing w:before="0" w:after="20"/>
              <w:rPr>
                <w:rFonts w:ascii="ARIAL" w:hAnsi="ARIAL"/>
                <w:sz w:val="18"/>
              </w:rPr>
            </w:pPr>
            <w:r>
              <w:rPr>
                <w:rFonts w:ascii="ARIAL" w:hAnsi="ARIAL"/>
                <w:sz w:val="18"/>
              </w:rPr>
              <w:t>Ms. Brinkley is the founder, owner and manager of AWB Consulting, LLC, an executive advising and risk management consulting firm. Ms. Brinkley served as Chief Risk Officer for Bank of America Corporation from</w:t>
            </w:r>
          </w:p>
        </w:tc>
        <w:tc>
          <w:tcPr>
            <w:tcW w:w="120" w:type="dxa"/>
            <w:vMerge w:val="continue"/>
            <w:tcBorders/>
            <w:shd w:fill="auto" w:val="clear"/>
            <w:vAlign w:val="center"/>
          </w:tcPr>
          <w:p>
            <w:pPr>
              <w:pStyle w:val="Normal"/>
              <w:rPr/>
            </w:pPr>
            <w:r>
              <w:rPr/>
            </w:r>
          </w:p>
        </w:tc>
        <w:tc>
          <w:tcPr>
            <w:tcW w:w="2436" w:type="dxa"/>
            <w:vMerge w:val="continue"/>
            <w:tcBorders/>
            <w:shd w:fill="auto" w:val="clear"/>
            <w:vAlign w:val="center"/>
          </w:tcPr>
          <w:p>
            <w:pPr>
              <w:pStyle w:val="Normal"/>
              <w:rPr/>
            </w:pPr>
            <w:r>
              <w:rPr/>
            </w:r>
          </w:p>
        </w:tc>
      </w:tr>
      <w:tr>
        <w:trPr/>
        <w:tc>
          <w:tcPr>
            <w:tcW w:w="7649" w:type="dxa"/>
            <w:gridSpan w:val="3"/>
            <w:tcBorders/>
            <w:shd w:fill="auto" w:val="clear"/>
            <w:vAlign w:val="center"/>
          </w:tcPr>
          <w:p>
            <w:pPr>
              <w:pStyle w:val="TableContents"/>
              <w:rPr/>
            </w:pPr>
            <w:r>
              <w:rPr>
                <w:sz w:val="18"/>
              </w:rPr>
              <w:t>2002 until her retirement in 2009, after more than 30 years with the company. Prior to 2002, she served as President of Bank of America’s Consumer Products division and was responsible for the credit card, mortgage, consumer finance, telephone, and e-commerce businesses. During her employment at Bank of America, Ms. Brinkley also held the positions of Executive Vice President and Chief Marketing Officer overseeing the company’s Olympic sponsorship and its national rebranding and name change. Ms. Brinkley has served as director of TD Bank Group, since 2010. Ms. Brinkley also serves as a director of TD Bank Group’s subsidiaries: TD Group US Holdings, LLC, TD Bank US Holding Company, TD Bank, NA, and TD Bank, USA. In addition, she served as a director of Carter’s Inc., a branded marketer in North America of apparel and related products exclusively for babies and young children, from 2010 to 2021. She also served as a Commissioner for Atrium Health, a non-profit hospital network from 2001 to 2019 and as a Trustee for the Princeton Theological Seminary from 2002 to 2019.</w:t>
            </w:r>
            <w:r>
              <w:rPr/>
              <w:t xml:space="preserve"> </w:t>
            </w:r>
          </w:p>
          <w:p>
            <w:pPr>
              <w:pStyle w:val="TableContents"/>
              <w:spacing w:before="0" w:after="0"/>
              <w:rPr/>
            </w:pPr>
            <w:r>
              <w:rPr/>
              <w:t> </w:t>
            </w:r>
          </w:p>
          <w:p>
            <w:pPr>
              <w:pStyle w:val="TableContents"/>
              <w:spacing w:before="0" w:after="20"/>
              <w:rPr/>
            </w:pPr>
            <w:r>
              <w:rPr/>
              <w:t> </w:t>
            </w:r>
          </w:p>
        </w:tc>
        <w:tc>
          <w:tcPr>
            <w:tcW w:w="120" w:type="dxa"/>
            <w:vMerge w:val="continue"/>
            <w:tcBorders/>
            <w:shd w:fill="auto" w:val="clear"/>
            <w:vAlign w:val="center"/>
          </w:tcPr>
          <w:p>
            <w:pPr>
              <w:pStyle w:val="Normal"/>
              <w:rPr/>
            </w:pPr>
            <w:r>
              <w:rPr/>
            </w:r>
          </w:p>
        </w:tc>
        <w:tc>
          <w:tcPr>
            <w:tcW w:w="2436" w:type="dxa"/>
            <w:vMerge w:val="continue"/>
            <w:tcBorders/>
            <w:shd w:fill="auto" w:val="clear"/>
            <w:vAlign w:val="center"/>
          </w:tcPr>
          <w:p>
            <w:pPr>
              <w:pStyle w:val="Normal"/>
              <w:rPr/>
            </w:pPr>
            <w:r>
              <w:rPr/>
            </w:r>
          </w:p>
        </w:tc>
      </w:tr>
    </w:tbl>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2"/>
        <w:gridCol w:w="71"/>
        <w:gridCol w:w="7166"/>
        <w:gridCol w:w="120"/>
        <w:gridCol w:w="2586"/>
      </w:tblGrid>
      <w:tr>
        <w:trPr/>
        <w:tc>
          <w:tcPr>
            <w:tcW w:w="262"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6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86" w:type="dxa"/>
            <w:tcBorders/>
            <w:shd w:fill="auto" w:val="clear"/>
            <w:vAlign w:val="center"/>
          </w:tcPr>
          <w:p>
            <w:pPr>
              <w:pStyle w:val="TableContents"/>
              <w:spacing w:before="0" w:after="283"/>
              <w:rPr>
                <w:sz w:val="4"/>
                <w:szCs w:val="4"/>
              </w:rPr>
            </w:pPr>
            <w:r>
              <w:rPr>
                <w:sz w:val="4"/>
                <w:szCs w:val="4"/>
              </w:rPr>
            </w:r>
          </w:p>
        </w:tc>
      </w:tr>
      <w:tr>
        <w:trPr/>
        <w:tc>
          <w:tcPr>
            <w:tcW w:w="262" w:type="dxa"/>
            <w:vMerge w:val="restart"/>
            <w:tcBorders/>
            <w:shd w:fill="auto" w:val="clear"/>
            <w:vAlign w:val="center"/>
          </w:tcPr>
          <w:p>
            <w:pPr>
              <w:pStyle w:val="TableContents"/>
              <w:spacing w:before="0" w:after="20"/>
              <w:rPr/>
            </w:pPr>
            <w:r>
              <w:rPr/>
              <w:drawing>
                <wp:inline distT="0" distB="0" distL="0" distR="0">
                  <wp:extent cx="92075" cy="11430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92075" cy="114300"/>
                          </a:xfrm>
                          <a:prstGeom prst="rect">
                            <a:avLst/>
                          </a:prstGeom>
                        </pic:spPr>
                      </pic:pic>
                    </a:graphicData>
                  </a:graphic>
                </wp:inline>
              </w:drawing>
            </w:r>
            <w:r>
              <w:rPr/>
              <w:t xml:space="preserve"> </w:t>
            </w:r>
          </w:p>
        </w:tc>
        <w:tc>
          <w:tcPr>
            <w:tcW w:w="71" w:type="dxa"/>
            <w:tcBorders/>
            <w:shd w:fill="D8E6F4" w:val="clear"/>
            <w:vAlign w:val="center"/>
          </w:tcPr>
          <w:p>
            <w:pPr>
              <w:pStyle w:val="TableContents"/>
              <w:spacing w:before="0" w:after="283"/>
              <w:rPr/>
            </w:pPr>
            <w:r>
              <w:rPr/>
              <w:t> </w:t>
            </w:r>
          </w:p>
        </w:tc>
        <w:tc>
          <w:tcPr>
            <w:tcW w:w="7166" w:type="dxa"/>
            <w:tcBorders/>
            <w:shd w:fill="D8E6F4" w:val="clear"/>
            <w:vAlign w:val="center"/>
          </w:tcPr>
          <w:p>
            <w:pPr>
              <w:pStyle w:val="TableContents"/>
              <w:spacing w:before="0" w:after="0"/>
              <w:rPr/>
            </w:pPr>
            <w:r>
              <w:rPr/>
              <w:t> </w:t>
            </w:r>
          </w:p>
          <w:p>
            <w:pPr>
              <w:pStyle w:val="TableContents"/>
              <w:spacing w:before="0" w:after="0"/>
              <w:rPr>
                <w:rFonts w:ascii="ARIAL" w:hAnsi="ARIAL"/>
                <w:b/>
                <w:color w:val="005CB9"/>
                <w:sz w:val="28"/>
              </w:rPr>
            </w:pPr>
            <w:r>
              <w:rPr>
                <w:rFonts w:ascii="ARIAL" w:hAnsi="ARIAL"/>
                <w:b/>
                <w:color w:val="005CB9"/>
                <w:sz w:val="28"/>
              </w:rPr>
              <w:t>Irene M. Esteves</w:t>
            </w:r>
          </w:p>
          <w:p>
            <w:pPr>
              <w:pStyle w:val="TableContents"/>
              <w:spacing w:before="0" w:after="0"/>
              <w:rPr/>
            </w:pPr>
            <w:r>
              <w:rPr/>
              <w:t> </w:t>
            </w:r>
          </w:p>
          <w:p>
            <w:pPr>
              <w:pStyle w:val="TableContents"/>
              <w:spacing w:before="0" w:after="0"/>
              <w:rPr>
                <w:rFonts w:ascii="ARIAL" w:hAnsi="ARIAL"/>
                <w:b/>
                <w:sz w:val="17"/>
              </w:rPr>
            </w:pPr>
            <w:r>
              <w:rPr>
                <w:rFonts w:ascii="ARIAL" w:hAnsi="ARIAL"/>
                <w:b/>
                <w:sz w:val="17"/>
              </w:rPr>
              <w:t>Former Chief Financial Officer, Time Warner Cable Inc.</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2586" w:type="dxa"/>
            <w:tcBorders/>
            <w:shd w:fill="auto" w:val="clear"/>
            <w:vAlign w:val="center"/>
          </w:tcPr>
          <w:p>
            <w:pPr>
              <w:pStyle w:val="TableContents"/>
              <w:spacing w:before="0" w:after="0"/>
              <w:rPr>
                <w:rFonts w:ascii="ARIAL" w:hAnsi="ARIAL"/>
                <w:b/>
                <w:sz w:val="18"/>
              </w:rPr>
            </w:pPr>
            <w:r>
              <w:rPr>
                <w:rFonts w:ascii="ARIAL" w:hAnsi="ARIAL"/>
                <w:b/>
                <w:sz w:val="18"/>
              </w:rPr>
              <w:t>Director Since 2021</w:t>
            </w:r>
          </w:p>
          <w:p>
            <w:pPr>
              <w:pStyle w:val="TableContents"/>
              <w:spacing w:before="0" w:after="0"/>
              <w:rPr>
                <w:rFonts w:ascii="ARIAL" w:hAnsi="ARIAL"/>
                <w:b/>
                <w:sz w:val="18"/>
              </w:rPr>
            </w:pPr>
            <w:r>
              <w:rPr>
                <w:rFonts w:ascii="ARIAL" w:hAnsi="ARIAL"/>
                <w:b/>
                <w:sz w:val="18"/>
              </w:rPr>
              <w:t>Independent</w:t>
            </w:r>
          </w:p>
          <w:p>
            <w:pPr>
              <w:pStyle w:val="TableContents"/>
              <w:spacing w:before="0" w:after="20"/>
              <w:rPr>
                <w:rFonts w:ascii="ARIAL" w:hAnsi="ARIAL"/>
                <w:b/>
                <w:sz w:val="18"/>
              </w:rPr>
            </w:pPr>
            <w:r>
              <w:rPr>
                <w:rFonts w:ascii="ARIAL" w:hAnsi="ARIAL"/>
                <w:b/>
                <w:sz w:val="18"/>
              </w:rPr>
              <w:t>Age 64</w:t>
            </w:r>
          </w:p>
        </w:tc>
      </w:tr>
      <w:tr>
        <w:trPr/>
        <w:tc>
          <w:tcPr>
            <w:tcW w:w="262" w:type="dxa"/>
            <w:vMerge w:val="continue"/>
            <w:tcBorders/>
            <w:shd w:fill="auto" w:val="clear"/>
            <w:vAlign w:val="center"/>
          </w:tcPr>
          <w:p>
            <w:pPr>
              <w:pStyle w:val="Normal"/>
              <w:rPr/>
            </w:pPr>
            <w:r>
              <w:rPr/>
            </w:r>
          </w:p>
        </w:tc>
        <w:tc>
          <w:tcPr>
            <w:tcW w:w="71" w:type="dxa"/>
            <w:tcBorders/>
            <w:shd w:fill="auto" w:val="clear"/>
            <w:vAlign w:val="center"/>
          </w:tcPr>
          <w:p>
            <w:pPr>
              <w:pStyle w:val="TableContents"/>
              <w:spacing w:before="0" w:after="283"/>
              <w:rPr/>
            </w:pPr>
            <w:r>
              <w:rPr/>
              <w:t> </w:t>
            </w:r>
          </w:p>
        </w:tc>
        <w:tc>
          <w:tcPr>
            <w:tcW w:w="7166" w:type="dxa"/>
            <w:tcBorders/>
            <w:shd w:fill="auto" w:val="clear"/>
            <w:vAlign w:val="center"/>
          </w:tcPr>
          <w:p>
            <w:pPr>
              <w:pStyle w:val="TableContents"/>
              <w:spacing w:before="0" w:after="283"/>
              <w:rPr>
                <w:sz w:val="4"/>
                <w:szCs w:val="4"/>
              </w:rPr>
            </w:pPr>
            <w:r>
              <w:rPr>
                <w:sz w:val="4"/>
                <w:szCs w:val="4"/>
              </w:rPr>
            </w:r>
          </w:p>
        </w:tc>
        <w:tc>
          <w:tcPr>
            <w:tcW w:w="120" w:type="dxa"/>
            <w:vMerge w:val="restart"/>
            <w:tcBorders/>
            <w:shd w:fill="auto" w:val="clear"/>
            <w:vAlign w:val="center"/>
          </w:tcPr>
          <w:p>
            <w:pPr>
              <w:pStyle w:val="TableContents"/>
              <w:spacing w:before="0" w:after="283"/>
              <w:rPr/>
            </w:pPr>
            <w:r>
              <w:rPr/>
              <w:t>  </w:t>
            </w:r>
          </w:p>
        </w:tc>
        <w:tc>
          <w:tcPr>
            <w:tcW w:w="2586" w:type="dxa"/>
            <w:vMerge w:val="restart"/>
            <w:tcBorders/>
            <w:shd w:fill="auto" w:val="clear"/>
            <w:vAlign w:val="center"/>
          </w:tcPr>
          <w:p>
            <w:pPr>
              <w:pStyle w:val="TableContents"/>
              <w:spacing w:before="0" w:after="0"/>
              <w:rPr>
                <w:rFonts w:ascii="ARIAL" w:hAnsi="ARIAL"/>
                <w:b/>
                <w:sz w:val="18"/>
              </w:rPr>
            </w:pPr>
            <w:r>
              <w:rPr>
                <w:rFonts w:ascii="ARIAL" w:hAnsi="ARIAL"/>
                <w:b/>
                <w:sz w:val="18"/>
              </w:rPr>
              <w:t>Committees: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Audit</w:t>
            </w:r>
          </w:p>
          <w:p>
            <w:pPr>
              <w:pStyle w:val="TableContents"/>
              <w:spacing w:before="0" w:after="0"/>
              <w:rPr>
                <w:rFonts w:ascii="ARIAL" w:hAnsi="ARIAL"/>
                <w:sz w:val="18"/>
              </w:rPr>
            </w:pPr>
            <w:r>
              <w:rPr>
                <w:rFonts w:ascii="SYMBOL" w:hAnsi="SYMBOL"/>
                <w:color w:val="005CB9"/>
                <w:sz w:val="18"/>
              </w:rPr>
              <w:t>·</w:t>
            </w:r>
            <w:r>
              <w:rPr>
                <w:rFonts w:ascii="ARIAL" w:hAnsi="ARIAL"/>
                <w:sz w:val="18"/>
              </w:rPr>
              <w:t>  Nominating and Governance</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Current Public Directorships: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KKR Real Estate Finance Trust Inc.</w:t>
            </w:r>
          </w:p>
          <w:p>
            <w:pPr>
              <w:pStyle w:val="TableContents"/>
              <w:spacing w:before="0" w:after="0"/>
              <w:rPr>
                <w:rFonts w:ascii="ARIAL" w:hAnsi="ARIAL"/>
                <w:sz w:val="18"/>
              </w:rPr>
            </w:pPr>
            <w:r>
              <w:rPr>
                <w:rFonts w:ascii="SYMBOL" w:hAnsi="SYMBOL"/>
                <w:color w:val="005CB9"/>
                <w:sz w:val="18"/>
              </w:rPr>
              <w:t>·</w:t>
            </w:r>
            <w:r>
              <w:rPr>
                <w:rFonts w:ascii="ARIAL" w:hAnsi="ARIAL"/>
                <w:sz w:val="18"/>
              </w:rPr>
              <w:t>  Spirit AeroSystems Holdings, Inc.</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Key Qualifications &amp; Expertise: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  Executive Leadership and management experience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  Finance and accounting expertise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  Multi-industry perspective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  Global business experience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  Mergers and acquisitions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  Risk management and controls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  Public company board experience</w:t>
            </w:r>
          </w:p>
          <w:p>
            <w:pPr>
              <w:pStyle w:val="TableContents"/>
              <w:spacing w:before="0" w:after="0"/>
              <w:rPr/>
            </w:pPr>
            <w:r>
              <w:rPr/>
              <w:t> </w:t>
            </w:r>
          </w:p>
          <w:p>
            <w:pPr>
              <w:pStyle w:val="TableContents"/>
              <w:spacing w:before="0" w:after="20"/>
              <w:rPr>
                <w:rFonts w:ascii="ARIAL" w:hAnsi="ARIAL"/>
                <w:sz w:val="18"/>
              </w:rPr>
            </w:pPr>
            <w:r>
              <w:rPr>
                <w:rFonts w:ascii="SYMBOL" w:hAnsi="SYMBOL"/>
                <w:color w:val="005CB9"/>
                <w:sz w:val="18"/>
              </w:rPr>
              <w:t>·</w:t>
            </w:r>
            <w:r>
              <w:rPr>
                <w:rFonts w:ascii="ARIAL" w:hAnsi="ARIAL"/>
                <w:sz w:val="18"/>
              </w:rPr>
              <w:t>  Talent and team development</w:t>
            </w:r>
          </w:p>
        </w:tc>
      </w:tr>
      <w:tr>
        <w:trPr/>
        <w:tc>
          <w:tcPr>
            <w:tcW w:w="262" w:type="dxa"/>
            <w:vMerge w:val="continue"/>
            <w:tcBorders/>
            <w:shd w:fill="auto" w:val="clear"/>
            <w:vAlign w:val="center"/>
          </w:tcPr>
          <w:p>
            <w:pPr>
              <w:pStyle w:val="Normal"/>
              <w:rPr/>
            </w:pPr>
            <w:r>
              <w:rPr/>
            </w:r>
          </w:p>
        </w:tc>
        <w:tc>
          <w:tcPr>
            <w:tcW w:w="71" w:type="dxa"/>
            <w:tcBorders>
              <w:top w:val="single" w:sz="6" w:space="0" w:color="000000"/>
            </w:tcBorders>
            <w:shd w:fill="auto" w:val="clear"/>
            <w:tcMar>
              <w:top w:w="28" w:type="dxa"/>
            </w:tcMar>
            <w:vAlign w:val="center"/>
          </w:tcPr>
          <w:p>
            <w:pPr>
              <w:pStyle w:val="TableContents"/>
              <w:spacing w:before="0" w:after="283"/>
              <w:rPr/>
            </w:pPr>
            <w:r>
              <w:rPr/>
              <w:t> </w:t>
            </w:r>
          </w:p>
        </w:tc>
        <w:tc>
          <w:tcPr>
            <w:tcW w:w="7166" w:type="dxa"/>
            <w:tcBorders>
              <w:top w:val="single" w:sz="6" w:space="0" w:color="000000"/>
            </w:tcBorders>
            <w:shd w:fill="auto" w:val="clear"/>
            <w:tcMar>
              <w:top w:w="28" w:type="dxa"/>
            </w:tcM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Ms. Esteves most recently served as Executive Vice President and Chief Financial Officer of Time Warner Cable Inc. from July 2011 to May 2013. She previously served as Executive Vice President and Chief Financial</w:t>
            </w:r>
          </w:p>
        </w:tc>
        <w:tc>
          <w:tcPr>
            <w:tcW w:w="120" w:type="dxa"/>
            <w:vMerge w:val="continue"/>
            <w:tcBorders/>
            <w:shd w:fill="auto" w:val="clear"/>
            <w:vAlign w:val="center"/>
          </w:tcPr>
          <w:p>
            <w:pPr>
              <w:pStyle w:val="Normal"/>
              <w:rPr/>
            </w:pPr>
            <w:r>
              <w:rPr/>
            </w:r>
          </w:p>
        </w:tc>
        <w:tc>
          <w:tcPr>
            <w:tcW w:w="2586" w:type="dxa"/>
            <w:vMerge w:val="continue"/>
            <w:tcBorders/>
            <w:shd w:fill="auto" w:val="clear"/>
            <w:vAlign w:val="center"/>
          </w:tcPr>
          <w:p>
            <w:pPr>
              <w:pStyle w:val="Normal"/>
              <w:rPr/>
            </w:pPr>
            <w:r>
              <w:rPr/>
            </w:r>
          </w:p>
        </w:tc>
      </w:tr>
      <w:tr>
        <w:trPr/>
        <w:tc>
          <w:tcPr>
            <w:tcW w:w="7499" w:type="dxa"/>
            <w:gridSpan w:val="3"/>
            <w:tcBorders/>
            <w:shd w:fill="auto" w:val="clear"/>
            <w:vAlign w:val="center"/>
          </w:tcPr>
          <w:p>
            <w:pPr>
              <w:pStyle w:val="TableContents"/>
              <w:rPr/>
            </w:pPr>
            <w:r>
              <w:rPr/>
              <w:t>Officer of XL Group plc and prior to that position, Ms. Esteves was Executive Vice President and Chief Financial Officer of Regions Financial Corporation. Ms. Esteves has served as a director of KKR Real Estate Finance Trust Inc. since 2018 and Spirit AeroSystems Holdings, Inc. since 2015. In the last five years, Ms. Esteves also served as director of Aramark, Level Three Communications, Inc., and R.R. Donnelly &amp; Sons Company.</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20" w:type="dxa"/>
            <w:vMerge w:val="continue"/>
            <w:tcBorders/>
            <w:shd w:fill="auto" w:val="clear"/>
            <w:vAlign w:val="center"/>
          </w:tcPr>
          <w:p>
            <w:pPr>
              <w:pStyle w:val="Normal"/>
              <w:rPr/>
            </w:pPr>
            <w:r>
              <w:rPr/>
            </w:r>
          </w:p>
        </w:tc>
        <w:tc>
          <w:tcPr>
            <w:tcW w:w="2586" w:type="dxa"/>
            <w:vMerge w:val="continue"/>
            <w:tcBorders/>
            <w:shd w:fill="auto" w:val="clear"/>
            <w:vAlign w:val="center"/>
          </w:tcPr>
          <w:p>
            <w:pPr>
              <w:pStyle w:val="Normal"/>
              <w:rPr/>
            </w:pPr>
            <w:r>
              <w:rPr/>
            </w:r>
          </w:p>
        </w:tc>
      </w:tr>
    </w:tbl>
    <w:p>
      <w:pPr>
        <w:pStyle w:val="TextBody"/>
        <w:spacing w:before="0" w:after="0"/>
        <w:jc w:val="left"/>
        <w:rPr/>
      </w:pPr>
      <w:r>
        <w:rPr/>
        <w:t> </w:t>
      </w:r>
    </w:p>
    <w:tbl>
      <w:tblPr>
        <w:tblW w:w="607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21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color w:val="005CB9"/>
              </w:rPr>
            </w:pPr>
            <w:r>
              <w:rPr>
                <w:color w:val="005CB9"/>
              </w:rPr>
              <w:t> </w:t>
            </w:r>
            <w:r>
              <w:rPr>
                <w:b/>
                <w:color w:val="005CB9"/>
              </w:rPr>
              <w:t>3</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BOARD OF DIRECTORS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3"/>
        <w:gridCol w:w="81"/>
        <w:gridCol w:w="6972"/>
        <w:gridCol w:w="120"/>
        <w:gridCol w:w="2789"/>
      </w:tblGrid>
      <w:tr>
        <w:trPr/>
        <w:tc>
          <w:tcPr>
            <w:tcW w:w="243"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697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r>
      <w:tr>
        <w:trPr/>
        <w:tc>
          <w:tcPr>
            <w:tcW w:w="243" w:type="dxa"/>
            <w:vMerge w:val="restart"/>
            <w:tcBorders/>
            <w:shd w:fill="auto" w:val="clear"/>
            <w:vAlign w:val="center"/>
          </w:tcPr>
          <w:p>
            <w:pPr>
              <w:pStyle w:val="TableContents"/>
              <w:spacing w:before="0" w:after="283"/>
              <w:rPr/>
            </w:pPr>
            <w:r>
              <w:rPr/>
              <w:drawing>
                <wp:inline distT="0" distB="0" distL="0" distR="0">
                  <wp:extent cx="92075" cy="114300"/>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92075" cy="114300"/>
                          </a:xfrm>
                          <a:prstGeom prst="rect">
                            <a:avLst/>
                          </a:prstGeom>
                        </pic:spPr>
                      </pic:pic>
                    </a:graphicData>
                  </a:graphic>
                </wp:inline>
              </w:drawing>
            </w:r>
            <w:r>
              <w:rPr/>
              <w:t xml:space="preserve"> </w:t>
            </w:r>
          </w:p>
        </w:tc>
        <w:tc>
          <w:tcPr>
            <w:tcW w:w="81" w:type="dxa"/>
            <w:tcBorders/>
            <w:shd w:fill="D8E6F4" w:val="clear"/>
            <w:vAlign w:val="center"/>
          </w:tcPr>
          <w:p>
            <w:pPr>
              <w:pStyle w:val="TableContents"/>
              <w:spacing w:before="0" w:after="283"/>
              <w:rPr/>
            </w:pPr>
            <w:r>
              <w:rPr/>
              <w:t> </w:t>
            </w:r>
          </w:p>
        </w:tc>
        <w:tc>
          <w:tcPr>
            <w:tcW w:w="6972" w:type="dxa"/>
            <w:tcBorders/>
            <w:shd w:fill="D8E6F4" w:val="clear"/>
            <w:vAlign w:val="center"/>
          </w:tcPr>
          <w:p>
            <w:pPr>
              <w:pStyle w:val="TableContents"/>
              <w:spacing w:before="0" w:after="0"/>
              <w:rPr/>
            </w:pPr>
            <w:r>
              <w:rPr/>
              <w:t> </w:t>
            </w:r>
          </w:p>
          <w:p>
            <w:pPr>
              <w:pStyle w:val="TableContents"/>
              <w:spacing w:before="0" w:after="0"/>
              <w:rPr>
                <w:rFonts w:ascii="ARIAL" w:hAnsi="ARIAL"/>
                <w:b/>
                <w:color w:val="005CB9"/>
                <w:sz w:val="28"/>
              </w:rPr>
            </w:pPr>
            <w:r>
              <w:rPr>
                <w:rFonts w:ascii="ARIAL" w:hAnsi="ARIAL"/>
                <w:b/>
                <w:color w:val="005CB9"/>
                <w:sz w:val="28"/>
              </w:rPr>
              <w:t>L. Neil Hunn</w:t>
            </w:r>
          </w:p>
          <w:p>
            <w:pPr>
              <w:pStyle w:val="TableContents"/>
              <w:spacing w:before="0" w:after="0"/>
              <w:rPr/>
            </w:pPr>
            <w:r>
              <w:rPr/>
              <w:t> </w:t>
            </w:r>
          </w:p>
          <w:p>
            <w:pPr>
              <w:pStyle w:val="TableContents"/>
              <w:spacing w:before="0" w:after="0"/>
              <w:rPr>
                <w:rFonts w:ascii="ARIAL" w:hAnsi="ARIAL"/>
                <w:b/>
                <w:sz w:val="17"/>
              </w:rPr>
            </w:pPr>
            <w:r>
              <w:rPr>
                <w:rFonts w:ascii="ARIAL" w:hAnsi="ARIAL"/>
                <w:b/>
                <w:sz w:val="17"/>
              </w:rPr>
              <w:t>President and Chief Executive Officer, Roper Technologies, Inc.</w:t>
            </w:r>
          </w:p>
          <w:p>
            <w:pPr>
              <w:pStyle w:val="TableContents"/>
              <w:spacing w:before="0" w:after="20"/>
              <w:rPr/>
            </w:pPr>
            <w:r>
              <w:rPr/>
              <w:t> </w:t>
            </w:r>
          </w:p>
        </w:tc>
        <w:tc>
          <w:tcPr>
            <w:tcW w:w="120" w:type="dxa"/>
            <w:vMerge w:val="restart"/>
            <w:tcBorders/>
            <w:shd w:fill="auto" w:val="clear"/>
            <w:vAlign w:val="center"/>
          </w:tcPr>
          <w:p>
            <w:pPr>
              <w:pStyle w:val="TableContents"/>
              <w:spacing w:before="0" w:after="283"/>
              <w:rPr/>
            </w:pPr>
            <w:r>
              <w:rPr/>
              <w:t>  </w:t>
            </w:r>
          </w:p>
        </w:tc>
        <w:tc>
          <w:tcPr>
            <w:tcW w:w="2789" w:type="dxa"/>
            <w:vMerge w:val="restart"/>
            <w:tcBorders/>
            <w:shd w:fill="auto" w:val="clear"/>
            <w:vAlign w:val="center"/>
          </w:tcPr>
          <w:p>
            <w:pPr>
              <w:pStyle w:val="TableContents"/>
              <w:spacing w:before="0" w:after="0"/>
              <w:rPr>
                <w:rFonts w:ascii="ARIAL" w:hAnsi="ARIAL"/>
                <w:b/>
                <w:sz w:val="18"/>
              </w:rPr>
            </w:pPr>
            <w:r>
              <w:rPr>
                <w:rFonts w:ascii="ARIAL" w:hAnsi="ARIAL"/>
                <w:b/>
                <w:sz w:val="18"/>
              </w:rPr>
              <w:t>Director Since 2018</w:t>
            </w:r>
          </w:p>
          <w:p>
            <w:pPr>
              <w:pStyle w:val="TableContents"/>
              <w:spacing w:before="0" w:after="0"/>
              <w:rPr>
                <w:rFonts w:ascii="ARIAL" w:hAnsi="ARIAL"/>
                <w:b/>
                <w:sz w:val="18"/>
              </w:rPr>
            </w:pPr>
            <w:r>
              <w:rPr>
                <w:rFonts w:ascii="ARIAL" w:hAnsi="ARIAL"/>
                <w:b/>
                <w:sz w:val="18"/>
              </w:rPr>
              <w:t>Age 51</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Key Qualifications &amp; Expertise: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  Executive leadership and management experience</w:t>
            </w:r>
          </w:p>
          <w:p>
            <w:pPr>
              <w:pStyle w:val="TableContents"/>
              <w:spacing w:before="0" w:after="0"/>
              <w:rPr>
                <w:rFonts w:ascii="ARIAL" w:hAnsi="ARIAL"/>
                <w:sz w:val="18"/>
              </w:rPr>
            </w:pPr>
            <w:r>
              <w:rPr>
                <w:rFonts w:ascii="SYMBOL" w:hAnsi="SYMBOL"/>
                <w:color w:val="005CB9"/>
                <w:sz w:val="18"/>
              </w:rPr>
              <w:t>·</w:t>
            </w:r>
            <w:r>
              <w:rPr>
                <w:rFonts w:ascii="ARIAL" w:hAnsi="ARIAL"/>
                <w:sz w:val="18"/>
              </w:rPr>
              <w:t>  Deep understanding of organization</w:t>
            </w:r>
          </w:p>
          <w:p>
            <w:pPr>
              <w:pStyle w:val="TableContents"/>
              <w:spacing w:before="0" w:after="0"/>
              <w:rPr>
                <w:rFonts w:ascii="ARIAL" w:hAnsi="ARIAL"/>
                <w:sz w:val="18"/>
              </w:rPr>
            </w:pPr>
            <w:r>
              <w:rPr>
                <w:rFonts w:ascii="SYMBOL" w:hAnsi="SYMBOL"/>
                <w:color w:val="005CB9"/>
                <w:sz w:val="18"/>
              </w:rPr>
              <w:t>·</w:t>
            </w:r>
            <w:r>
              <w:rPr>
                <w:rFonts w:ascii="ARIAL" w:hAnsi="ARIAL"/>
                <w:sz w:val="18"/>
              </w:rPr>
              <w:t>  Software and technology expertise</w:t>
            </w:r>
          </w:p>
          <w:p>
            <w:pPr>
              <w:pStyle w:val="TableContents"/>
              <w:spacing w:before="0" w:after="0"/>
              <w:rPr>
                <w:rFonts w:ascii="ARIAL" w:hAnsi="ARIAL"/>
                <w:sz w:val="18"/>
              </w:rPr>
            </w:pPr>
            <w:r>
              <w:rPr>
                <w:rFonts w:ascii="SYMBOL" w:hAnsi="SYMBOL"/>
                <w:color w:val="005CB9"/>
                <w:sz w:val="18"/>
              </w:rPr>
              <w:t>·</w:t>
            </w:r>
            <w:r>
              <w:rPr>
                <w:rFonts w:ascii="ARIAL" w:hAnsi="ARIAL"/>
                <w:sz w:val="18"/>
              </w:rPr>
              <w:t>  Strategic focus and planning</w:t>
            </w:r>
          </w:p>
          <w:p>
            <w:pPr>
              <w:pStyle w:val="TableContents"/>
              <w:spacing w:before="0" w:after="0"/>
              <w:rPr>
                <w:rFonts w:ascii="ARIAL" w:hAnsi="ARIAL"/>
                <w:sz w:val="18"/>
              </w:rPr>
            </w:pPr>
            <w:r>
              <w:rPr>
                <w:rFonts w:ascii="SYMBOL" w:hAnsi="SYMBOL"/>
                <w:color w:val="005CB9"/>
                <w:sz w:val="18"/>
              </w:rPr>
              <w:t>·</w:t>
            </w:r>
            <w:r>
              <w:rPr>
                <w:rFonts w:ascii="ARIAL" w:hAnsi="ARIAL"/>
                <w:sz w:val="18"/>
              </w:rPr>
              <w:t>  Global industry and operational experience</w:t>
            </w:r>
          </w:p>
          <w:p>
            <w:pPr>
              <w:pStyle w:val="TableContents"/>
              <w:spacing w:before="0" w:after="0"/>
              <w:rPr>
                <w:rFonts w:ascii="ARIAL" w:hAnsi="ARIAL"/>
                <w:sz w:val="18"/>
              </w:rPr>
            </w:pPr>
            <w:r>
              <w:rPr>
                <w:rFonts w:ascii="SYMBOL" w:hAnsi="SYMBOL"/>
                <w:color w:val="005CB9"/>
                <w:sz w:val="18"/>
              </w:rPr>
              <w:t>·</w:t>
            </w:r>
            <w:r>
              <w:rPr>
                <w:rFonts w:ascii="ARIAL" w:hAnsi="ARIAL"/>
                <w:sz w:val="18"/>
              </w:rPr>
              <w:t>  Mergers and acquisitions, capital markets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  Management development and understanding of business challenges and opportunities</w:t>
            </w:r>
          </w:p>
          <w:p>
            <w:pPr>
              <w:pStyle w:val="TableContents"/>
              <w:spacing w:before="0" w:after="0"/>
              <w:rPr>
                <w:rFonts w:ascii="ARIAL" w:hAnsi="ARIAL"/>
                <w:sz w:val="18"/>
              </w:rPr>
            </w:pPr>
            <w:r>
              <w:rPr>
                <w:rFonts w:ascii="SYMBOL" w:hAnsi="SYMBOL"/>
                <w:color w:val="005CB9"/>
                <w:sz w:val="18"/>
              </w:rPr>
              <w:t>·</w:t>
            </w:r>
            <w:r>
              <w:rPr>
                <w:rFonts w:ascii="ARIAL" w:hAnsi="ARIAL"/>
                <w:sz w:val="18"/>
              </w:rPr>
              <w:t>  Healthcare experience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  Provides key leadership and guidance for the Company’s growth</w:t>
            </w:r>
          </w:p>
          <w:p>
            <w:pPr>
              <w:pStyle w:val="TableContents"/>
              <w:spacing w:before="0" w:after="20"/>
              <w:rPr/>
            </w:pPr>
            <w:r>
              <w:rPr/>
              <w:t> </w:t>
            </w:r>
          </w:p>
        </w:tc>
      </w:tr>
      <w:tr>
        <w:trPr/>
        <w:tc>
          <w:tcPr>
            <w:tcW w:w="243" w:type="dxa"/>
            <w:vMerge w:val="continue"/>
            <w:tcBorders/>
            <w:shd w:fill="auto" w:val="clear"/>
            <w:vAlign w:val="center"/>
          </w:tcPr>
          <w:p>
            <w:pPr>
              <w:pStyle w:val="Normal"/>
              <w:rPr/>
            </w:pPr>
            <w:r>
              <w:rPr/>
            </w:r>
          </w:p>
        </w:tc>
        <w:tc>
          <w:tcPr>
            <w:tcW w:w="81" w:type="dxa"/>
            <w:tcBorders/>
            <w:shd w:fill="auto" w:val="clear"/>
            <w:vAlign w:val="center"/>
          </w:tcPr>
          <w:p>
            <w:pPr>
              <w:pStyle w:val="TableContents"/>
              <w:spacing w:before="0" w:after="283"/>
              <w:rPr/>
            </w:pPr>
            <w:r>
              <w:rPr/>
              <w:t> </w:t>
            </w:r>
          </w:p>
        </w:tc>
        <w:tc>
          <w:tcPr>
            <w:tcW w:w="6972" w:type="dxa"/>
            <w:tcBorders/>
            <w:shd w:fill="auto" w:val="clear"/>
            <w:vAlign w:val="center"/>
          </w:tcPr>
          <w:p>
            <w:pPr>
              <w:pStyle w:val="TableContents"/>
              <w:spacing w:before="0" w:after="0"/>
              <w:rPr/>
            </w:pPr>
            <w:r>
              <w:rPr/>
              <w:t> </w:t>
            </w:r>
          </w:p>
        </w:tc>
        <w:tc>
          <w:tcPr>
            <w:tcW w:w="120" w:type="dxa"/>
            <w:vMerge w:val="continue"/>
            <w:tcBorders/>
            <w:shd w:fill="auto" w:val="clear"/>
            <w:vAlign w:val="center"/>
          </w:tcPr>
          <w:p>
            <w:pPr>
              <w:pStyle w:val="Normal"/>
              <w:rPr/>
            </w:pPr>
            <w:r>
              <w:rPr/>
            </w:r>
          </w:p>
        </w:tc>
        <w:tc>
          <w:tcPr>
            <w:tcW w:w="2789" w:type="dxa"/>
            <w:vMerge w:val="continue"/>
            <w:tcBorders/>
            <w:shd w:fill="auto" w:val="clear"/>
            <w:vAlign w:val="center"/>
          </w:tcPr>
          <w:p>
            <w:pPr>
              <w:pStyle w:val="Normal"/>
              <w:rPr/>
            </w:pPr>
            <w:r>
              <w:rPr/>
            </w:r>
          </w:p>
        </w:tc>
      </w:tr>
      <w:tr>
        <w:trPr/>
        <w:tc>
          <w:tcPr>
            <w:tcW w:w="243" w:type="dxa"/>
            <w:vMerge w:val="continue"/>
            <w:tcBorders/>
            <w:shd w:fill="auto" w:val="clear"/>
            <w:vAlign w:val="center"/>
          </w:tcPr>
          <w:p>
            <w:pPr>
              <w:pStyle w:val="Normal"/>
              <w:rPr/>
            </w:pPr>
            <w:r>
              <w:rPr/>
            </w:r>
          </w:p>
        </w:tc>
        <w:tc>
          <w:tcPr>
            <w:tcW w:w="81" w:type="dxa"/>
            <w:tcBorders>
              <w:top w:val="single" w:sz="6" w:space="0" w:color="000000"/>
            </w:tcBorders>
            <w:shd w:fill="auto" w:val="clear"/>
            <w:tcMar>
              <w:top w:w="28" w:type="dxa"/>
            </w:tcMar>
            <w:vAlign w:val="center"/>
          </w:tcPr>
          <w:p>
            <w:pPr>
              <w:pStyle w:val="TableContents"/>
              <w:spacing w:before="0" w:after="283"/>
              <w:rPr/>
            </w:pPr>
            <w:r>
              <w:rPr/>
              <w:t> </w:t>
            </w:r>
          </w:p>
        </w:tc>
        <w:tc>
          <w:tcPr>
            <w:tcW w:w="6972" w:type="dxa"/>
            <w:tcBorders>
              <w:top w:val="single" w:sz="6" w:space="0" w:color="000000"/>
            </w:tcBorders>
            <w:shd w:fill="auto" w:val="clear"/>
            <w:tcMar>
              <w:top w:w="28" w:type="dxa"/>
            </w:tcMar>
            <w:vAlign w:val="center"/>
          </w:tcPr>
          <w:p>
            <w:pPr>
              <w:pStyle w:val="TableContents"/>
              <w:spacing w:before="0" w:after="20"/>
              <w:rPr>
                <w:rFonts w:ascii="ARIAL" w:hAnsi="ARIAL"/>
                <w:sz w:val="18"/>
              </w:rPr>
            </w:pPr>
            <w:r>
              <w:rPr>
                <w:rFonts w:ascii="ARIAL" w:hAnsi="ARIAL"/>
                <w:sz w:val="18"/>
              </w:rPr>
              <w:t>Prior to being named President and Chief Executive Officer in August 2018, Mr. Hunn served as Executive Vice President and Chief Operating Officer from 2017</w:t>
            </w:r>
          </w:p>
        </w:tc>
        <w:tc>
          <w:tcPr>
            <w:tcW w:w="120" w:type="dxa"/>
            <w:vMerge w:val="continue"/>
            <w:tcBorders/>
            <w:shd w:fill="auto" w:val="clear"/>
            <w:vAlign w:val="center"/>
          </w:tcPr>
          <w:p>
            <w:pPr>
              <w:pStyle w:val="Normal"/>
              <w:rPr/>
            </w:pPr>
            <w:r>
              <w:rPr/>
            </w:r>
          </w:p>
        </w:tc>
        <w:tc>
          <w:tcPr>
            <w:tcW w:w="2789" w:type="dxa"/>
            <w:vMerge w:val="continue"/>
            <w:tcBorders/>
            <w:shd w:fill="auto" w:val="clear"/>
            <w:vAlign w:val="center"/>
          </w:tcPr>
          <w:p>
            <w:pPr>
              <w:pStyle w:val="Normal"/>
              <w:rPr/>
            </w:pPr>
            <w:r>
              <w:rPr/>
            </w:r>
          </w:p>
        </w:tc>
      </w:tr>
      <w:tr>
        <w:trPr/>
        <w:tc>
          <w:tcPr>
            <w:tcW w:w="7296" w:type="dxa"/>
            <w:gridSpan w:val="3"/>
            <w:tcBorders/>
            <w:shd w:fill="auto" w:val="clear"/>
            <w:vAlign w:val="center"/>
          </w:tcPr>
          <w:p>
            <w:pPr>
              <w:pStyle w:val="TableContents"/>
              <w:rPr/>
            </w:pPr>
            <w:r>
              <w:rPr>
                <w:sz w:val="18"/>
              </w:rPr>
              <w:t>to 2018. Mr. Hunn also served as Group Vice President of Roper’s medical segment from 2011 to 2018 and helped drive significant growth in the Company’s medical technology and application software businesses. In addition to his operating responsibilities at Roper, Mr. Hunn led the execution of the majority of the company’s capital deployment since joining Roper. Prior to joining Roper, Mr. Hunn served 10 years as Executive Vice President and Chief Financial Officer at MedAssets, Inc. an Atlanta-based SaaS company, and as President of its revenue cycle technology businesses. He successfully led MedAssets’ initial public offering and the execution of several M&amp;A transactions. Mr. Hunn also held roles at CMGI, Inc. an incubator of Internet businesses, and Parthenon Group, a strategy consulting firm.</w:t>
            </w:r>
            <w:r>
              <w:rPr/>
              <w:t xml:space="preserve"> </w:t>
            </w:r>
          </w:p>
          <w:p>
            <w:pPr>
              <w:pStyle w:val="TableContents"/>
              <w:spacing w:before="0" w:after="20"/>
              <w:rPr/>
            </w:pPr>
            <w:r>
              <w:rPr/>
              <w:t> </w:t>
            </w:r>
          </w:p>
        </w:tc>
        <w:tc>
          <w:tcPr>
            <w:tcW w:w="120" w:type="dxa"/>
            <w:vMerge w:val="continue"/>
            <w:tcBorders/>
            <w:shd w:fill="auto" w:val="clear"/>
            <w:vAlign w:val="center"/>
          </w:tcPr>
          <w:p>
            <w:pPr>
              <w:pStyle w:val="Normal"/>
              <w:rPr/>
            </w:pPr>
            <w:r>
              <w:rPr/>
            </w:r>
          </w:p>
        </w:tc>
        <w:tc>
          <w:tcPr>
            <w:tcW w:w="2789" w:type="dxa"/>
            <w:vMerge w:val="continue"/>
            <w:tcBorders/>
            <w:shd w:fill="auto" w:val="clear"/>
            <w:vAlign w:val="center"/>
          </w:tcPr>
          <w:p>
            <w:pPr>
              <w:pStyle w:val="Normal"/>
              <w:rPr/>
            </w:pPr>
            <w:r>
              <w:rPr/>
            </w:r>
          </w:p>
        </w:tc>
      </w:tr>
    </w:tbl>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1"/>
        <w:gridCol w:w="77"/>
        <w:gridCol w:w="7673"/>
        <w:gridCol w:w="120"/>
        <w:gridCol w:w="2104"/>
      </w:tblGrid>
      <w:tr>
        <w:trPr/>
        <w:tc>
          <w:tcPr>
            <w:tcW w:w="231"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67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04" w:type="dxa"/>
            <w:tcBorders/>
            <w:shd w:fill="auto" w:val="clear"/>
            <w:vAlign w:val="center"/>
          </w:tcPr>
          <w:p>
            <w:pPr>
              <w:pStyle w:val="TableContents"/>
              <w:spacing w:before="0" w:after="283"/>
              <w:rPr>
                <w:sz w:val="4"/>
                <w:szCs w:val="4"/>
              </w:rPr>
            </w:pPr>
            <w:r>
              <w:rPr>
                <w:sz w:val="4"/>
                <w:szCs w:val="4"/>
              </w:rPr>
            </w:r>
          </w:p>
        </w:tc>
      </w:tr>
      <w:tr>
        <w:trPr/>
        <w:tc>
          <w:tcPr>
            <w:tcW w:w="231" w:type="dxa"/>
            <w:vMerge w:val="restart"/>
            <w:tcBorders/>
            <w:shd w:fill="auto" w:val="clear"/>
            <w:vAlign w:val="center"/>
          </w:tcPr>
          <w:p>
            <w:pPr>
              <w:pStyle w:val="TableContents"/>
              <w:spacing w:before="0" w:after="283"/>
              <w:rPr/>
            </w:pPr>
            <w:r>
              <w:rPr/>
              <w:drawing>
                <wp:inline distT="0" distB="0" distL="0" distR="0">
                  <wp:extent cx="92075" cy="114300"/>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92075" cy="114300"/>
                          </a:xfrm>
                          <a:prstGeom prst="rect">
                            <a:avLst/>
                          </a:prstGeom>
                        </pic:spPr>
                      </pic:pic>
                    </a:graphicData>
                  </a:graphic>
                </wp:inline>
              </w:drawing>
            </w:r>
            <w:r>
              <w:rPr/>
              <w:t xml:space="preserve"> </w:t>
            </w:r>
          </w:p>
        </w:tc>
        <w:tc>
          <w:tcPr>
            <w:tcW w:w="77" w:type="dxa"/>
            <w:tcBorders/>
            <w:shd w:fill="D8E6F4" w:val="clear"/>
            <w:vAlign w:val="center"/>
          </w:tcPr>
          <w:p>
            <w:pPr>
              <w:pStyle w:val="TableContents"/>
              <w:spacing w:before="0" w:after="283"/>
              <w:rPr/>
            </w:pPr>
            <w:r>
              <w:rPr/>
              <w:t> </w:t>
            </w:r>
          </w:p>
        </w:tc>
        <w:tc>
          <w:tcPr>
            <w:tcW w:w="7673" w:type="dxa"/>
            <w:tcBorders/>
            <w:shd w:fill="D8E6F4" w:val="clear"/>
            <w:vAlign w:val="center"/>
          </w:tcPr>
          <w:p>
            <w:pPr>
              <w:pStyle w:val="TableContents"/>
              <w:spacing w:before="0" w:after="0"/>
              <w:rPr/>
            </w:pPr>
            <w:r>
              <w:rPr/>
              <w:t> </w:t>
            </w:r>
          </w:p>
          <w:p>
            <w:pPr>
              <w:pStyle w:val="TableContents"/>
              <w:spacing w:before="0" w:after="0"/>
              <w:rPr>
                <w:rFonts w:ascii="ARIAL" w:hAnsi="ARIAL"/>
                <w:b/>
                <w:color w:val="005CB9"/>
                <w:sz w:val="28"/>
              </w:rPr>
            </w:pPr>
            <w:r>
              <w:rPr>
                <w:rFonts w:ascii="ARIAL" w:hAnsi="ARIAL"/>
                <w:b/>
                <w:color w:val="005CB9"/>
                <w:sz w:val="28"/>
              </w:rPr>
              <w:t>Robert D. Johnson</w:t>
            </w:r>
          </w:p>
          <w:p>
            <w:pPr>
              <w:pStyle w:val="TableContents"/>
              <w:spacing w:before="0" w:after="0"/>
              <w:rPr/>
            </w:pPr>
            <w:r>
              <w:rPr/>
              <w:t> </w:t>
            </w:r>
          </w:p>
          <w:p>
            <w:pPr>
              <w:pStyle w:val="TableContents"/>
              <w:spacing w:before="0" w:after="0"/>
              <w:rPr>
                <w:rFonts w:ascii="ARIAL" w:hAnsi="ARIAL"/>
                <w:b/>
                <w:sz w:val="17"/>
              </w:rPr>
            </w:pPr>
            <w:r>
              <w:rPr>
                <w:rFonts w:ascii="ARIAL" w:hAnsi="ARIAL"/>
                <w:b/>
                <w:sz w:val="17"/>
              </w:rPr>
              <w:t>Chairman, Spirit AeroSystems Holdings, Inc.</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2104" w:type="dxa"/>
            <w:tcBorders/>
            <w:shd w:fill="auto" w:val="clear"/>
            <w:vAlign w:val="center"/>
          </w:tcPr>
          <w:p>
            <w:pPr>
              <w:pStyle w:val="TableContents"/>
              <w:spacing w:before="0" w:after="0"/>
              <w:rPr>
                <w:rFonts w:ascii="ARIAL" w:hAnsi="ARIAL"/>
                <w:b/>
                <w:sz w:val="18"/>
              </w:rPr>
            </w:pPr>
            <w:r>
              <w:rPr>
                <w:rFonts w:ascii="ARIAL" w:hAnsi="ARIAL"/>
                <w:b/>
                <w:sz w:val="18"/>
              </w:rPr>
              <w:t>Director Since 2005</w:t>
            </w:r>
          </w:p>
          <w:p>
            <w:pPr>
              <w:pStyle w:val="TableContents"/>
              <w:spacing w:before="0" w:after="0"/>
              <w:rPr>
                <w:rFonts w:ascii="ARIAL" w:hAnsi="ARIAL"/>
                <w:b/>
                <w:sz w:val="18"/>
              </w:rPr>
            </w:pPr>
            <w:r>
              <w:rPr>
                <w:rFonts w:ascii="ARIAL" w:hAnsi="ARIAL"/>
                <w:b/>
                <w:sz w:val="18"/>
              </w:rPr>
              <w:t>Independent</w:t>
            </w:r>
          </w:p>
          <w:p>
            <w:pPr>
              <w:pStyle w:val="TableContents"/>
              <w:spacing w:before="0" w:after="0"/>
              <w:rPr>
                <w:rFonts w:ascii="ARIAL" w:hAnsi="ARIAL"/>
                <w:b/>
                <w:sz w:val="18"/>
              </w:rPr>
            </w:pPr>
            <w:r>
              <w:rPr>
                <w:rFonts w:ascii="ARIAL" w:hAnsi="ARIAL"/>
                <w:b/>
                <w:sz w:val="18"/>
              </w:rPr>
              <w:t>Age 75</w:t>
            </w:r>
          </w:p>
          <w:p>
            <w:pPr>
              <w:pStyle w:val="TableContents"/>
              <w:spacing w:before="0" w:after="20"/>
              <w:rPr/>
            </w:pPr>
            <w:r>
              <w:rPr/>
              <w:t> </w:t>
            </w:r>
          </w:p>
        </w:tc>
      </w:tr>
      <w:tr>
        <w:trPr/>
        <w:tc>
          <w:tcPr>
            <w:tcW w:w="231" w:type="dxa"/>
            <w:vMerge w:val="continue"/>
            <w:tcBorders/>
            <w:shd w:fill="auto" w:val="clear"/>
            <w:vAlign w:val="center"/>
          </w:tcPr>
          <w:p>
            <w:pPr>
              <w:pStyle w:val="Normal"/>
              <w:rPr/>
            </w:pPr>
            <w:r>
              <w:rPr/>
            </w:r>
          </w:p>
        </w:tc>
        <w:tc>
          <w:tcPr>
            <w:tcW w:w="77" w:type="dxa"/>
            <w:tcBorders/>
            <w:shd w:fill="auto" w:val="clear"/>
            <w:vAlign w:val="center"/>
          </w:tcPr>
          <w:p>
            <w:pPr>
              <w:pStyle w:val="TableContents"/>
              <w:spacing w:before="0" w:after="283"/>
              <w:rPr/>
            </w:pPr>
            <w:r>
              <w:rPr/>
              <w:t> </w:t>
            </w:r>
          </w:p>
        </w:tc>
        <w:tc>
          <w:tcPr>
            <w:tcW w:w="7673" w:type="dxa"/>
            <w:tcBorders/>
            <w:shd w:fill="auto" w:val="clear"/>
            <w:vAlign w:val="center"/>
          </w:tcPr>
          <w:p>
            <w:pPr>
              <w:pStyle w:val="TableContents"/>
              <w:spacing w:before="0" w:after="0"/>
              <w:rPr/>
            </w:pPr>
            <w:r>
              <w:rPr/>
              <w:t> </w:t>
            </w:r>
          </w:p>
        </w:tc>
        <w:tc>
          <w:tcPr>
            <w:tcW w:w="120" w:type="dxa"/>
            <w:vMerge w:val="restart"/>
            <w:tcBorders/>
            <w:shd w:fill="auto" w:val="clear"/>
            <w:vAlign w:val="center"/>
          </w:tcPr>
          <w:p>
            <w:pPr>
              <w:pStyle w:val="TableContents"/>
              <w:spacing w:before="0" w:after="283"/>
              <w:rPr/>
            </w:pPr>
            <w:r>
              <w:rPr/>
              <w:t>  </w:t>
            </w:r>
          </w:p>
        </w:tc>
        <w:tc>
          <w:tcPr>
            <w:tcW w:w="2104" w:type="dxa"/>
            <w:vMerge w:val="restart"/>
            <w:tcBorders/>
            <w:shd w:fill="auto" w:val="clear"/>
            <w:vAlign w:val="center"/>
          </w:tcPr>
          <w:p>
            <w:pPr>
              <w:pStyle w:val="TableContents"/>
              <w:spacing w:before="0" w:after="0"/>
              <w:rPr/>
            </w:pPr>
            <w:r>
              <w:rPr/>
              <w:t> </w:t>
            </w:r>
          </w:p>
          <w:p>
            <w:pPr>
              <w:pStyle w:val="TableContents"/>
              <w:spacing w:before="0" w:after="0"/>
              <w:rPr>
                <w:rFonts w:ascii="ARIAL" w:hAnsi="ARIAL"/>
                <w:b/>
                <w:sz w:val="18"/>
              </w:rPr>
            </w:pPr>
            <w:r>
              <w:rPr>
                <w:rFonts w:ascii="ARIAL" w:hAnsi="ARIAL"/>
                <w:b/>
                <w:sz w:val="18"/>
              </w:rPr>
              <w:t>Committees: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  Compensation</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  Nominating and Governance</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Current Public Directorships: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  Spirit AeroSystems Holdings, Inc.</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  Spirit Airlines, Inc.</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Key Qualifications &amp; Expertise: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  Executive leadership and management experience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  Manufacturing, supply chain, engineering and production</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  Mergers and acquisitions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  Global business, industry, and operations experience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  Extensive business acumen</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  Public company board experience, including governance and executive compensation expertise</w:t>
            </w:r>
          </w:p>
          <w:p>
            <w:pPr>
              <w:pStyle w:val="TableContents"/>
              <w:spacing w:before="0" w:after="0"/>
              <w:rPr/>
            </w:pPr>
            <w:r>
              <w:rPr/>
              <w:t> </w:t>
            </w:r>
          </w:p>
          <w:p>
            <w:pPr>
              <w:pStyle w:val="TableContents"/>
              <w:spacing w:before="0" w:after="20"/>
              <w:rPr>
                <w:rFonts w:ascii="ARIAL" w:hAnsi="ARIAL"/>
                <w:sz w:val="18"/>
              </w:rPr>
            </w:pPr>
            <w:r>
              <w:rPr>
                <w:rFonts w:ascii="SYMBOL" w:hAnsi="SYMBOL"/>
                <w:color w:val="005CB9"/>
                <w:sz w:val="18"/>
              </w:rPr>
              <w:t>·</w:t>
            </w:r>
            <w:r>
              <w:rPr>
                <w:rFonts w:ascii="ARIAL" w:hAnsi="ARIAL"/>
                <w:sz w:val="18"/>
              </w:rPr>
              <w:t>  Talent and team development</w:t>
            </w:r>
          </w:p>
        </w:tc>
      </w:tr>
      <w:tr>
        <w:trPr/>
        <w:tc>
          <w:tcPr>
            <w:tcW w:w="231" w:type="dxa"/>
            <w:vMerge w:val="continue"/>
            <w:tcBorders/>
            <w:shd w:fill="auto" w:val="clear"/>
            <w:vAlign w:val="center"/>
          </w:tcPr>
          <w:p>
            <w:pPr>
              <w:pStyle w:val="Normal"/>
              <w:rPr/>
            </w:pPr>
            <w:r>
              <w:rPr/>
            </w:r>
          </w:p>
        </w:tc>
        <w:tc>
          <w:tcPr>
            <w:tcW w:w="77" w:type="dxa"/>
            <w:tcBorders>
              <w:top w:val="single" w:sz="6" w:space="0" w:color="000000"/>
            </w:tcBorders>
            <w:shd w:fill="auto" w:val="clear"/>
            <w:tcMar>
              <w:top w:w="28" w:type="dxa"/>
            </w:tcMar>
            <w:vAlign w:val="center"/>
          </w:tcPr>
          <w:p>
            <w:pPr>
              <w:pStyle w:val="TableContents"/>
              <w:spacing w:before="0" w:after="283"/>
              <w:rPr/>
            </w:pPr>
            <w:r>
              <w:rPr/>
              <w:t> </w:t>
            </w:r>
          </w:p>
        </w:tc>
        <w:tc>
          <w:tcPr>
            <w:tcW w:w="7673" w:type="dxa"/>
            <w:tcBorders>
              <w:top w:val="single" w:sz="6" w:space="0" w:color="000000"/>
            </w:tcBorders>
            <w:shd w:fill="auto" w:val="clear"/>
            <w:tcMar>
              <w:top w:w="28" w:type="dxa"/>
            </w:tcMar>
            <w:vAlign w:val="center"/>
          </w:tcPr>
          <w:p>
            <w:pPr>
              <w:pStyle w:val="TableContents"/>
              <w:spacing w:before="0" w:after="20"/>
              <w:rPr>
                <w:rFonts w:ascii="ARIAL" w:hAnsi="ARIAL"/>
                <w:sz w:val="18"/>
              </w:rPr>
            </w:pPr>
            <w:r>
              <w:rPr>
                <w:rFonts w:ascii="ARIAL" w:hAnsi="ARIAL"/>
                <w:sz w:val="18"/>
              </w:rPr>
              <w:t>Mr. Johnson was Chief Executive Officer of Dubai Aerospace Enterprise Ltd., a global aerospace engineering and services company, from August 2006 to December 2008. Mr. Johnson also served as</w:t>
            </w:r>
          </w:p>
        </w:tc>
        <w:tc>
          <w:tcPr>
            <w:tcW w:w="120" w:type="dxa"/>
            <w:vMerge w:val="continue"/>
            <w:tcBorders/>
            <w:shd w:fill="auto" w:val="clear"/>
            <w:vAlign w:val="center"/>
          </w:tcPr>
          <w:p>
            <w:pPr>
              <w:pStyle w:val="Normal"/>
              <w:rPr/>
            </w:pPr>
            <w:r>
              <w:rPr/>
            </w:r>
          </w:p>
        </w:tc>
        <w:tc>
          <w:tcPr>
            <w:tcW w:w="2104" w:type="dxa"/>
            <w:vMerge w:val="continue"/>
            <w:tcBorders/>
            <w:shd w:fill="auto" w:val="clear"/>
            <w:vAlign w:val="center"/>
          </w:tcPr>
          <w:p>
            <w:pPr>
              <w:pStyle w:val="Normal"/>
              <w:rPr/>
            </w:pPr>
            <w:r>
              <w:rPr/>
            </w:r>
          </w:p>
        </w:tc>
      </w:tr>
      <w:tr>
        <w:trPr/>
        <w:tc>
          <w:tcPr>
            <w:tcW w:w="7981" w:type="dxa"/>
            <w:gridSpan w:val="3"/>
            <w:tcBorders/>
            <w:shd w:fill="auto" w:val="clear"/>
            <w:vAlign w:val="center"/>
          </w:tcPr>
          <w:p>
            <w:pPr>
              <w:pStyle w:val="TableContents"/>
              <w:rPr/>
            </w:pPr>
            <w:r>
              <w:rPr>
                <w:sz w:val="18"/>
              </w:rPr>
              <w:t>Chairman of Honeywell Aerospace, a leading global supplier of aircraft engines, equipment, systems and services, from January 2005 to January 2006, and as its President and Chief Executive Officer from 1999 to 2005. Mr. Johnson similarly served as President and Chief Executive Officer for Honeywell Aerospace’s predecessor, AlliedSignal, Inc. an aerospace, automotive and engineering company. He also held management positions with AAR Corporation, a provider of aviation and expeditionary services to the global commercial, government and defense aviation industries, and GE Aviation, an aircraft engine supplier. Mr. Johnson has served as Chairman of the Board for Spirit AeroSystems Holdings, Inc., a global leader in aerostructures design and manufacturing, since 2006 and as a director of Spirit Airlines, Inc., since 2010.</w:t>
            </w:r>
            <w:r>
              <w:rPr/>
              <w:t xml:space="preserve"> </w:t>
            </w:r>
          </w:p>
          <w:p>
            <w:pPr>
              <w:pStyle w:val="TableContents"/>
              <w:spacing w:before="0" w:after="20"/>
              <w:rPr/>
            </w:pPr>
            <w:r>
              <w:rPr/>
              <w:t> </w:t>
            </w:r>
          </w:p>
        </w:tc>
        <w:tc>
          <w:tcPr>
            <w:tcW w:w="120" w:type="dxa"/>
            <w:vMerge w:val="continue"/>
            <w:tcBorders/>
            <w:shd w:fill="auto" w:val="clear"/>
            <w:vAlign w:val="center"/>
          </w:tcPr>
          <w:p>
            <w:pPr>
              <w:pStyle w:val="Normal"/>
              <w:rPr/>
            </w:pPr>
            <w:r>
              <w:rPr/>
            </w:r>
          </w:p>
        </w:tc>
        <w:tc>
          <w:tcPr>
            <w:tcW w:w="2104" w:type="dxa"/>
            <w:vMerge w:val="continue"/>
            <w:tcBorders/>
            <w:shd w:fill="auto" w:val="clear"/>
            <w:vAlign w:val="center"/>
          </w:tcPr>
          <w:p>
            <w:pPr>
              <w:pStyle w:val="Normal"/>
              <w:rPr/>
            </w:pPr>
            <w:r>
              <w:rPr/>
            </w:r>
          </w:p>
        </w:tc>
      </w:tr>
    </w:tbl>
    <w:p>
      <w:pPr>
        <w:pStyle w:val="TextBody"/>
        <w:spacing w:before="0" w:after="0"/>
        <w:jc w:val="left"/>
        <w:rPr/>
      </w:pPr>
      <w:r>
        <w:rPr/>
        <w:t> </w:t>
      </w:r>
    </w:p>
    <w:p>
      <w:pPr>
        <w:pStyle w:val="TextBody"/>
        <w:spacing w:before="0" w:after="0"/>
        <w:jc w:val="left"/>
        <w:rPr/>
      </w:pPr>
      <w:r>
        <w:rPr/>
        <w:t> </w:t>
      </w:r>
    </w:p>
    <w:tbl>
      <w:tblPr>
        <w:tblW w:w="5935" w:type="dxa"/>
        <w:jc w:val="left"/>
        <w:tblInd w:w="0" w:type="dxa"/>
        <w:tblCellMar>
          <w:top w:w="0" w:type="dxa"/>
          <w:left w:w="0" w:type="dxa"/>
          <w:bottom w:w="0" w:type="dxa"/>
          <w:right w:w="0" w:type="dxa"/>
        </w:tblCellMar>
      </w:tblPr>
      <w:tblGrid>
        <w:gridCol w:w="155"/>
        <w:gridCol w:w="60"/>
        <w:gridCol w:w="240"/>
        <w:gridCol w:w="60"/>
        <w:gridCol w:w="255"/>
        <w:gridCol w:w="60"/>
        <w:gridCol w:w="5105"/>
      </w:tblGrid>
      <w:tr>
        <w:trPr/>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before="0" w:after="283"/>
              <w:rPr>
                <w:b/>
                <w:color w:val="005CB9"/>
              </w:rPr>
            </w:pPr>
            <w:r>
              <w:rPr>
                <w:b/>
                <w:color w:val="005CB9"/>
              </w:rPr>
              <w:t>4</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BOARD OF DIRECTORS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25"/>
        <w:gridCol w:w="74"/>
        <w:gridCol w:w="7156"/>
        <w:gridCol w:w="120"/>
        <w:gridCol w:w="2630"/>
      </w:tblGrid>
      <w:tr>
        <w:trPr/>
        <w:tc>
          <w:tcPr>
            <w:tcW w:w="225"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71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30" w:type="dxa"/>
            <w:tcBorders/>
            <w:shd w:fill="auto" w:val="clear"/>
            <w:vAlign w:val="center"/>
          </w:tcPr>
          <w:p>
            <w:pPr>
              <w:pStyle w:val="TableContents"/>
              <w:spacing w:before="0" w:after="283"/>
              <w:rPr>
                <w:sz w:val="4"/>
                <w:szCs w:val="4"/>
              </w:rPr>
            </w:pPr>
            <w:r>
              <w:rPr>
                <w:sz w:val="4"/>
                <w:szCs w:val="4"/>
              </w:rPr>
            </w:r>
          </w:p>
        </w:tc>
      </w:tr>
      <w:tr>
        <w:trPr/>
        <w:tc>
          <w:tcPr>
            <w:tcW w:w="225" w:type="dxa"/>
            <w:vMerge w:val="restart"/>
            <w:tcBorders/>
            <w:shd w:fill="auto" w:val="clear"/>
            <w:vAlign w:val="center"/>
          </w:tcPr>
          <w:p>
            <w:pPr>
              <w:pStyle w:val="TableContents"/>
              <w:spacing w:before="0" w:after="283"/>
              <w:rPr/>
            </w:pPr>
            <w:r>
              <w:rPr/>
              <w:drawing>
                <wp:inline distT="0" distB="0" distL="0" distR="0">
                  <wp:extent cx="90805" cy="113665"/>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90805" cy="113665"/>
                          </a:xfrm>
                          <a:prstGeom prst="rect">
                            <a:avLst/>
                          </a:prstGeom>
                        </pic:spPr>
                      </pic:pic>
                    </a:graphicData>
                  </a:graphic>
                </wp:inline>
              </w:drawing>
            </w:r>
            <w:r>
              <w:rPr/>
              <w:t xml:space="preserve"> </w:t>
            </w:r>
          </w:p>
        </w:tc>
        <w:tc>
          <w:tcPr>
            <w:tcW w:w="74" w:type="dxa"/>
            <w:tcBorders/>
            <w:shd w:fill="D8E6F4" w:val="clear"/>
            <w:vAlign w:val="center"/>
          </w:tcPr>
          <w:p>
            <w:pPr>
              <w:pStyle w:val="TableContents"/>
              <w:spacing w:before="0" w:after="283"/>
              <w:rPr/>
            </w:pPr>
            <w:r>
              <w:rPr/>
              <w:t> </w:t>
            </w:r>
          </w:p>
        </w:tc>
        <w:tc>
          <w:tcPr>
            <w:tcW w:w="7156" w:type="dxa"/>
            <w:tcBorders/>
            <w:shd w:fill="D8E6F4" w:val="clear"/>
            <w:vAlign w:val="center"/>
          </w:tcPr>
          <w:p>
            <w:pPr>
              <w:pStyle w:val="TableContents"/>
              <w:spacing w:before="0" w:after="0"/>
              <w:rPr/>
            </w:pPr>
            <w:r>
              <w:rPr/>
              <w:t> </w:t>
            </w:r>
          </w:p>
          <w:p>
            <w:pPr>
              <w:pStyle w:val="TableContents"/>
              <w:spacing w:before="0" w:after="0"/>
              <w:rPr>
                <w:rFonts w:ascii="ARIAL" w:hAnsi="ARIAL"/>
                <w:b/>
                <w:color w:val="005CB9"/>
                <w:sz w:val="28"/>
              </w:rPr>
            </w:pPr>
            <w:r>
              <w:rPr>
                <w:rFonts w:ascii="ARIAL" w:hAnsi="ARIAL"/>
                <w:b/>
                <w:color w:val="005CB9"/>
                <w:sz w:val="28"/>
              </w:rPr>
              <w:t>Thomas P. Joyce, Jr.</w:t>
            </w:r>
          </w:p>
          <w:p>
            <w:pPr>
              <w:pStyle w:val="TableContents"/>
              <w:spacing w:before="0" w:after="0"/>
              <w:rPr/>
            </w:pPr>
            <w:r>
              <w:rPr/>
              <w:t> </w:t>
            </w:r>
          </w:p>
          <w:p>
            <w:pPr>
              <w:pStyle w:val="TableContents"/>
              <w:spacing w:before="0" w:after="0"/>
              <w:rPr>
                <w:rFonts w:ascii="ARIAL" w:hAnsi="ARIAL"/>
                <w:b/>
                <w:sz w:val="17"/>
              </w:rPr>
            </w:pPr>
            <w:r>
              <w:rPr>
                <w:rFonts w:ascii="ARIAL" w:hAnsi="ARIAL"/>
                <w:b/>
                <w:sz w:val="17"/>
              </w:rPr>
              <w:t>Retired President and Chief Executive Officer, Danaher Corporation</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2630" w:type="dxa"/>
            <w:tcBorders/>
            <w:shd w:fill="auto" w:val="clear"/>
            <w:vAlign w:val="center"/>
          </w:tcPr>
          <w:p>
            <w:pPr>
              <w:pStyle w:val="TableContents"/>
              <w:spacing w:before="0" w:after="0"/>
              <w:rPr>
                <w:rFonts w:ascii="ARIAL" w:hAnsi="ARIAL"/>
                <w:b/>
                <w:sz w:val="18"/>
              </w:rPr>
            </w:pPr>
            <w:r>
              <w:rPr>
                <w:rFonts w:ascii="ARIAL" w:hAnsi="ARIAL"/>
                <w:b/>
                <w:sz w:val="18"/>
              </w:rPr>
              <w:t>Director Since 2021</w:t>
            </w:r>
          </w:p>
          <w:p>
            <w:pPr>
              <w:pStyle w:val="TableContents"/>
              <w:spacing w:before="0" w:after="0"/>
              <w:rPr>
                <w:rFonts w:ascii="ARIAL" w:hAnsi="ARIAL"/>
                <w:b/>
                <w:sz w:val="18"/>
              </w:rPr>
            </w:pPr>
            <w:r>
              <w:rPr>
                <w:rFonts w:ascii="ARIAL" w:hAnsi="ARIAL"/>
                <w:b/>
                <w:sz w:val="18"/>
              </w:rPr>
              <w:t>Independent</w:t>
            </w:r>
          </w:p>
          <w:p>
            <w:pPr>
              <w:pStyle w:val="TableContents"/>
              <w:spacing w:before="0" w:after="20"/>
              <w:rPr>
                <w:rFonts w:ascii="ARIAL" w:hAnsi="ARIAL"/>
                <w:b/>
                <w:sz w:val="18"/>
              </w:rPr>
            </w:pPr>
            <w:r>
              <w:rPr>
                <w:rFonts w:ascii="ARIAL" w:hAnsi="ARIAL"/>
                <w:b/>
                <w:sz w:val="18"/>
              </w:rPr>
              <w:t>Age 62</w:t>
            </w:r>
          </w:p>
        </w:tc>
      </w:tr>
      <w:tr>
        <w:trPr/>
        <w:tc>
          <w:tcPr>
            <w:tcW w:w="225" w:type="dxa"/>
            <w:vMerge w:val="continue"/>
            <w:tcBorders/>
            <w:shd w:fill="auto" w:val="clear"/>
            <w:vAlign w:val="center"/>
          </w:tcPr>
          <w:p>
            <w:pPr>
              <w:pStyle w:val="Normal"/>
              <w:rPr/>
            </w:pPr>
            <w:r>
              <w:rPr/>
            </w:r>
          </w:p>
        </w:tc>
        <w:tc>
          <w:tcPr>
            <w:tcW w:w="74" w:type="dxa"/>
            <w:tcBorders/>
            <w:shd w:fill="auto" w:val="clear"/>
            <w:vAlign w:val="center"/>
          </w:tcPr>
          <w:p>
            <w:pPr>
              <w:pStyle w:val="TableContents"/>
              <w:spacing w:before="0" w:after="283"/>
              <w:rPr/>
            </w:pPr>
            <w:r>
              <w:rPr/>
              <w:t> </w:t>
            </w:r>
          </w:p>
        </w:tc>
        <w:tc>
          <w:tcPr>
            <w:tcW w:w="7156" w:type="dxa"/>
            <w:tcBorders/>
            <w:shd w:fill="auto" w:val="clear"/>
            <w:vAlign w:val="center"/>
          </w:tcPr>
          <w:p>
            <w:pPr>
              <w:pStyle w:val="TableContents"/>
              <w:spacing w:before="0" w:after="283"/>
              <w:rPr>
                <w:sz w:val="4"/>
                <w:szCs w:val="4"/>
              </w:rPr>
            </w:pPr>
            <w:r>
              <w:rPr>
                <w:sz w:val="4"/>
                <w:szCs w:val="4"/>
              </w:rPr>
            </w:r>
          </w:p>
        </w:tc>
        <w:tc>
          <w:tcPr>
            <w:tcW w:w="120" w:type="dxa"/>
            <w:vMerge w:val="restart"/>
            <w:tcBorders/>
            <w:shd w:fill="auto" w:val="clear"/>
            <w:vAlign w:val="center"/>
          </w:tcPr>
          <w:p>
            <w:pPr>
              <w:pStyle w:val="TableContents"/>
              <w:spacing w:before="0" w:after="283"/>
              <w:rPr/>
            </w:pPr>
            <w:r>
              <w:rPr/>
              <w:t>  </w:t>
            </w:r>
          </w:p>
        </w:tc>
        <w:tc>
          <w:tcPr>
            <w:tcW w:w="2630" w:type="dxa"/>
            <w:vMerge w:val="restart"/>
            <w:tcBorders/>
            <w:shd w:fill="auto" w:val="clear"/>
            <w:vAlign w:val="center"/>
          </w:tcPr>
          <w:p>
            <w:pPr>
              <w:pStyle w:val="TableContents"/>
              <w:spacing w:before="0" w:after="0"/>
              <w:rPr>
                <w:rFonts w:ascii="ARIAL" w:hAnsi="ARIAL"/>
                <w:b/>
                <w:sz w:val="18"/>
              </w:rPr>
            </w:pPr>
            <w:r>
              <w:rPr>
                <w:rFonts w:ascii="ARIAL" w:hAnsi="ARIAL"/>
                <w:b/>
                <w:sz w:val="18"/>
              </w:rPr>
              <w:t>Committees: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Audit</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Compensation</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Key Qualifications &amp; Expertise: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  Executive Leadership and management experience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  Multi-industry perspective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  Mergers and acquisitions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  Finance and accounting expertise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  Global business, industry, manufacturing and operations experience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  Business strategy expertise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  Risk management and controls</w:t>
            </w:r>
          </w:p>
          <w:p>
            <w:pPr>
              <w:pStyle w:val="TableContents"/>
              <w:spacing w:before="0" w:after="0"/>
              <w:rPr/>
            </w:pPr>
            <w:r>
              <w:rPr/>
              <w:t> </w:t>
            </w:r>
          </w:p>
          <w:p>
            <w:pPr>
              <w:pStyle w:val="TableContents"/>
              <w:spacing w:before="0" w:after="20"/>
              <w:rPr>
                <w:rFonts w:ascii="ARIAL" w:hAnsi="ARIAL"/>
                <w:sz w:val="18"/>
              </w:rPr>
            </w:pPr>
            <w:r>
              <w:rPr>
                <w:rFonts w:ascii="SYMBOL" w:hAnsi="SYMBOL"/>
                <w:color w:val="005CB9"/>
                <w:sz w:val="18"/>
              </w:rPr>
              <w:t>·</w:t>
            </w:r>
            <w:r>
              <w:rPr>
                <w:rFonts w:ascii="ARIAL" w:hAnsi="ARIAL"/>
                <w:sz w:val="18"/>
              </w:rPr>
              <w:t>  Management development and understanding of global challenges and opportunities</w:t>
            </w:r>
          </w:p>
        </w:tc>
      </w:tr>
      <w:tr>
        <w:trPr/>
        <w:tc>
          <w:tcPr>
            <w:tcW w:w="225" w:type="dxa"/>
            <w:vMerge w:val="continue"/>
            <w:tcBorders/>
            <w:shd w:fill="auto" w:val="clear"/>
            <w:vAlign w:val="center"/>
          </w:tcPr>
          <w:p>
            <w:pPr>
              <w:pStyle w:val="Normal"/>
              <w:rPr/>
            </w:pPr>
            <w:r>
              <w:rPr/>
            </w:r>
          </w:p>
        </w:tc>
        <w:tc>
          <w:tcPr>
            <w:tcW w:w="74" w:type="dxa"/>
            <w:tcBorders>
              <w:top w:val="single" w:sz="6" w:space="0" w:color="000000"/>
            </w:tcBorders>
            <w:shd w:fill="auto" w:val="clear"/>
            <w:tcMar>
              <w:top w:w="28" w:type="dxa"/>
            </w:tcMar>
            <w:vAlign w:val="center"/>
          </w:tcPr>
          <w:p>
            <w:pPr>
              <w:pStyle w:val="TableContents"/>
              <w:spacing w:before="0" w:after="283"/>
              <w:rPr/>
            </w:pPr>
            <w:r>
              <w:rPr/>
              <w:t> </w:t>
            </w:r>
          </w:p>
        </w:tc>
        <w:tc>
          <w:tcPr>
            <w:tcW w:w="7156" w:type="dxa"/>
            <w:tcBorders>
              <w:top w:val="single" w:sz="6" w:space="0" w:color="000000"/>
            </w:tcBorders>
            <w:shd w:fill="auto" w:val="clear"/>
            <w:tcMar>
              <w:top w:w="28" w:type="dxa"/>
            </w:tcM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Mr. Joyce served as Danaher Corporation’s President and Chief Executive Officer from September 2014 to September 2020. He also served as a senior advisor to</w:t>
            </w:r>
          </w:p>
        </w:tc>
        <w:tc>
          <w:tcPr>
            <w:tcW w:w="120" w:type="dxa"/>
            <w:vMerge w:val="continue"/>
            <w:tcBorders/>
            <w:shd w:fill="auto" w:val="clear"/>
            <w:vAlign w:val="center"/>
          </w:tcPr>
          <w:p>
            <w:pPr>
              <w:pStyle w:val="Normal"/>
              <w:rPr/>
            </w:pPr>
            <w:r>
              <w:rPr/>
            </w:r>
          </w:p>
        </w:tc>
        <w:tc>
          <w:tcPr>
            <w:tcW w:w="2630" w:type="dxa"/>
            <w:vMerge w:val="continue"/>
            <w:tcBorders/>
            <w:shd w:fill="auto" w:val="clear"/>
            <w:vAlign w:val="center"/>
          </w:tcPr>
          <w:p>
            <w:pPr>
              <w:pStyle w:val="Normal"/>
              <w:rPr/>
            </w:pPr>
            <w:r>
              <w:rPr/>
            </w:r>
          </w:p>
        </w:tc>
      </w:tr>
      <w:tr>
        <w:trPr/>
        <w:tc>
          <w:tcPr>
            <w:tcW w:w="7455" w:type="dxa"/>
            <w:gridSpan w:val="3"/>
            <w:tcBorders/>
            <w:shd w:fill="auto" w:val="clear"/>
            <w:vAlign w:val="center"/>
          </w:tcPr>
          <w:p>
            <w:pPr>
              <w:pStyle w:val="TableContents"/>
              <w:rPr/>
            </w:pPr>
            <w:r>
              <w:rPr/>
              <w:t>Danaher from September 2020 to February 2021. Mr. Joyce joined Danaher in 1989 and served in leadership positions in a variety of different functions and businesses before his promotion to President and Chief Executive Officer. Mr. Joyce also served as a director of Danaher from 2014 to 2020.</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20" w:type="dxa"/>
            <w:vMerge w:val="continue"/>
            <w:tcBorders/>
            <w:shd w:fill="auto" w:val="clear"/>
            <w:vAlign w:val="center"/>
          </w:tcPr>
          <w:p>
            <w:pPr>
              <w:pStyle w:val="Normal"/>
              <w:rPr/>
            </w:pPr>
            <w:r>
              <w:rPr/>
            </w:r>
          </w:p>
        </w:tc>
        <w:tc>
          <w:tcPr>
            <w:tcW w:w="2630" w:type="dxa"/>
            <w:vMerge w:val="continue"/>
            <w:tcBorders/>
            <w:shd w:fill="auto" w:val="clear"/>
            <w:vAlign w:val="center"/>
          </w:tcPr>
          <w:p>
            <w:pPr>
              <w:pStyle w:val="Normal"/>
              <w:rPr/>
            </w:pPr>
            <w:r>
              <w:rPr/>
            </w:r>
          </w:p>
        </w:tc>
      </w:tr>
    </w:tbl>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6"/>
        <w:gridCol w:w="87"/>
        <w:gridCol w:w="8132"/>
        <w:gridCol w:w="120"/>
        <w:gridCol w:w="1600"/>
      </w:tblGrid>
      <w:tr>
        <w:trPr/>
        <w:tc>
          <w:tcPr>
            <w:tcW w:w="266"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81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r>
      <w:tr>
        <w:trPr/>
        <w:tc>
          <w:tcPr>
            <w:tcW w:w="266" w:type="dxa"/>
            <w:vMerge w:val="restart"/>
            <w:tcBorders/>
            <w:shd w:fill="auto" w:val="clear"/>
            <w:vAlign w:val="center"/>
          </w:tcPr>
          <w:p>
            <w:pPr>
              <w:pStyle w:val="TableContents"/>
              <w:spacing w:before="0" w:after="283"/>
              <w:rPr/>
            </w:pPr>
            <w:r>
              <w:rPr/>
              <w:drawing>
                <wp:inline distT="0" distB="0" distL="0" distR="0">
                  <wp:extent cx="92075" cy="114300"/>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92075" cy="114300"/>
                          </a:xfrm>
                          <a:prstGeom prst="rect">
                            <a:avLst/>
                          </a:prstGeom>
                        </pic:spPr>
                      </pic:pic>
                    </a:graphicData>
                  </a:graphic>
                </wp:inline>
              </w:drawing>
            </w:r>
            <w:r>
              <w:rPr/>
              <w:t xml:space="preserve"> </w:t>
            </w:r>
          </w:p>
        </w:tc>
        <w:tc>
          <w:tcPr>
            <w:tcW w:w="87" w:type="dxa"/>
            <w:tcBorders/>
            <w:shd w:fill="D8E6F4" w:val="clear"/>
            <w:vAlign w:val="center"/>
          </w:tcPr>
          <w:p>
            <w:pPr>
              <w:pStyle w:val="TableContents"/>
              <w:spacing w:before="0" w:after="283"/>
              <w:rPr/>
            </w:pPr>
            <w:r>
              <w:rPr/>
              <w:t> </w:t>
            </w:r>
          </w:p>
        </w:tc>
        <w:tc>
          <w:tcPr>
            <w:tcW w:w="8132" w:type="dxa"/>
            <w:tcBorders/>
            <w:shd w:fill="D8E6F4" w:val="clear"/>
            <w:vAlign w:val="center"/>
          </w:tcPr>
          <w:p>
            <w:pPr>
              <w:pStyle w:val="TableContents"/>
              <w:spacing w:before="0" w:after="0"/>
              <w:rPr/>
            </w:pPr>
            <w:r>
              <w:rPr/>
              <w:t> </w:t>
            </w:r>
          </w:p>
          <w:p>
            <w:pPr>
              <w:pStyle w:val="TableContents"/>
              <w:spacing w:before="0" w:after="0"/>
              <w:rPr>
                <w:rFonts w:ascii="ARIAL" w:hAnsi="ARIAL"/>
                <w:b/>
                <w:color w:val="005CB9"/>
                <w:sz w:val="28"/>
              </w:rPr>
            </w:pPr>
            <w:r>
              <w:rPr>
                <w:rFonts w:ascii="ARIAL" w:hAnsi="ARIAL"/>
                <w:b/>
                <w:color w:val="005CB9"/>
                <w:sz w:val="28"/>
              </w:rPr>
              <w:t>Laura G. Thatcher</w:t>
            </w:r>
          </w:p>
          <w:p>
            <w:pPr>
              <w:pStyle w:val="TableContents"/>
              <w:spacing w:before="0" w:after="0"/>
              <w:rPr/>
            </w:pPr>
            <w:r>
              <w:rPr/>
              <w:t> </w:t>
            </w:r>
          </w:p>
          <w:p>
            <w:pPr>
              <w:pStyle w:val="TableContents"/>
              <w:spacing w:before="0" w:after="0"/>
              <w:rPr>
                <w:rFonts w:ascii="ARIAL" w:hAnsi="ARIAL"/>
                <w:b/>
                <w:sz w:val="17"/>
              </w:rPr>
            </w:pPr>
            <w:r>
              <w:rPr>
                <w:rFonts w:ascii="ARIAL" w:hAnsi="ARIAL"/>
                <w:b/>
                <w:sz w:val="17"/>
              </w:rPr>
              <w:t>Retired Head of Executive Compensation Practice, Alston &amp; Bird LLP</w:t>
            </w:r>
          </w:p>
          <w:p>
            <w:pPr>
              <w:pStyle w:val="TableContents"/>
              <w:spacing w:before="0" w:after="20"/>
              <w:rPr/>
            </w:pPr>
            <w:r>
              <w:rPr/>
              <w:t> </w:t>
            </w:r>
          </w:p>
        </w:tc>
        <w:tc>
          <w:tcPr>
            <w:tcW w:w="120" w:type="dxa"/>
            <w:vMerge w:val="restart"/>
            <w:tcBorders/>
            <w:shd w:fill="auto" w:val="clear"/>
            <w:vAlign w:val="center"/>
          </w:tcPr>
          <w:p>
            <w:pPr>
              <w:pStyle w:val="TableContents"/>
              <w:spacing w:before="0" w:after="283"/>
              <w:rPr/>
            </w:pPr>
            <w:r>
              <w:rPr/>
              <w:t>  </w:t>
            </w:r>
          </w:p>
        </w:tc>
        <w:tc>
          <w:tcPr>
            <w:tcW w:w="1600" w:type="dxa"/>
            <w:vMerge w:val="restart"/>
            <w:tcBorders/>
            <w:shd w:fill="auto" w:val="clear"/>
            <w:vAlign w:val="center"/>
          </w:tcPr>
          <w:p>
            <w:pPr>
              <w:pStyle w:val="TableContents"/>
              <w:spacing w:before="0" w:after="0"/>
              <w:rPr>
                <w:rFonts w:ascii="ARIAL" w:hAnsi="ARIAL"/>
                <w:b/>
                <w:sz w:val="18"/>
              </w:rPr>
            </w:pPr>
            <w:r>
              <w:rPr>
                <w:rFonts w:ascii="ARIAL" w:hAnsi="ARIAL"/>
                <w:b/>
                <w:sz w:val="18"/>
              </w:rPr>
              <w:t>Director Since 2015</w:t>
            </w:r>
          </w:p>
          <w:p>
            <w:pPr>
              <w:pStyle w:val="TableContents"/>
              <w:spacing w:before="0" w:after="0"/>
              <w:rPr>
                <w:rFonts w:ascii="ARIAL" w:hAnsi="ARIAL"/>
                <w:b/>
                <w:sz w:val="18"/>
              </w:rPr>
            </w:pPr>
            <w:r>
              <w:rPr>
                <w:rFonts w:ascii="ARIAL" w:hAnsi="ARIAL"/>
                <w:b/>
                <w:sz w:val="18"/>
              </w:rPr>
              <w:t>Independent</w:t>
            </w:r>
          </w:p>
          <w:p>
            <w:pPr>
              <w:pStyle w:val="TableContents"/>
              <w:spacing w:before="0" w:after="0"/>
              <w:rPr>
                <w:rFonts w:ascii="ARIAL" w:hAnsi="ARIAL"/>
                <w:b/>
                <w:sz w:val="18"/>
              </w:rPr>
            </w:pPr>
            <w:r>
              <w:rPr>
                <w:rFonts w:ascii="ARIAL" w:hAnsi="ARIAL"/>
                <w:b/>
                <w:sz w:val="18"/>
              </w:rPr>
              <w:t>Age 67</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Committees: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  Compensation (Chair)</w:t>
            </w:r>
          </w:p>
          <w:p>
            <w:pPr>
              <w:pStyle w:val="TableContents"/>
              <w:spacing w:before="0" w:after="0"/>
              <w:rPr>
                <w:rFonts w:ascii="ARIAL" w:hAnsi="ARIAL"/>
                <w:sz w:val="18"/>
              </w:rPr>
            </w:pPr>
            <w:r>
              <w:rPr>
                <w:rFonts w:ascii="SYMBOL" w:hAnsi="SYMBOL"/>
                <w:color w:val="005CB9"/>
                <w:sz w:val="18"/>
              </w:rPr>
              <w:t>·</w:t>
            </w:r>
            <w:r>
              <w:rPr>
                <w:rFonts w:ascii="ARIAL" w:hAnsi="ARIAL"/>
                <w:sz w:val="18"/>
              </w:rPr>
              <w:t>  Executive</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Key Qualifications &amp; Expertise: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  Executive compensation expertise</w:t>
            </w:r>
          </w:p>
          <w:p>
            <w:pPr>
              <w:pStyle w:val="TableContents"/>
              <w:spacing w:before="0" w:after="0"/>
              <w:rPr>
                <w:rFonts w:ascii="ARIAL" w:hAnsi="ARIAL"/>
                <w:sz w:val="18"/>
              </w:rPr>
            </w:pPr>
            <w:r>
              <w:rPr>
                <w:rFonts w:ascii="SYMBOL" w:hAnsi="SYMBOL"/>
                <w:color w:val="005CB9"/>
                <w:sz w:val="18"/>
              </w:rPr>
              <w:t>·</w:t>
            </w:r>
            <w:r>
              <w:rPr>
                <w:rFonts w:ascii="ARIAL" w:hAnsi="ARIAL"/>
                <w:sz w:val="18"/>
              </w:rPr>
              <w:t>  Organizational development</w:t>
            </w:r>
          </w:p>
          <w:p>
            <w:pPr>
              <w:pStyle w:val="TableContents"/>
              <w:spacing w:before="0" w:after="0"/>
              <w:rPr>
                <w:rFonts w:ascii="ARIAL" w:hAnsi="ARIAL"/>
                <w:sz w:val="18"/>
              </w:rPr>
            </w:pPr>
            <w:r>
              <w:rPr>
                <w:rFonts w:ascii="SYMBOL" w:hAnsi="SYMBOL"/>
                <w:color w:val="005CB9"/>
                <w:sz w:val="18"/>
              </w:rPr>
              <w:t>·</w:t>
            </w:r>
            <w:r>
              <w:rPr>
                <w:rFonts w:ascii="ARIAL" w:hAnsi="ARIAL"/>
                <w:sz w:val="18"/>
              </w:rPr>
              <w:t>  Senior leadership and management experience</w:t>
            </w:r>
          </w:p>
          <w:p>
            <w:pPr>
              <w:pStyle w:val="TableContents"/>
              <w:spacing w:before="0" w:after="0"/>
              <w:rPr>
                <w:rFonts w:ascii="ARIAL" w:hAnsi="ARIAL"/>
                <w:sz w:val="18"/>
              </w:rPr>
            </w:pPr>
            <w:r>
              <w:rPr>
                <w:rFonts w:ascii="SYMBOL" w:hAnsi="SYMBOL"/>
                <w:color w:val="005CB9"/>
                <w:sz w:val="18"/>
              </w:rPr>
              <w:t>·</w:t>
            </w:r>
            <w:r>
              <w:rPr>
                <w:rFonts w:ascii="ARIAL" w:hAnsi="ARIAL"/>
                <w:sz w:val="18"/>
              </w:rPr>
              <w:t>  Corporate governance</w:t>
            </w:r>
          </w:p>
          <w:p>
            <w:pPr>
              <w:pStyle w:val="TableContents"/>
              <w:spacing w:before="0" w:after="0"/>
              <w:rPr>
                <w:rFonts w:ascii="ARIAL" w:hAnsi="ARIAL"/>
                <w:sz w:val="18"/>
              </w:rPr>
            </w:pPr>
            <w:r>
              <w:rPr>
                <w:rFonts w:ascii="SYMBOL" w:hAnsi="SYMBOL"/>
                <w:color w:val="005CB9"/>
                <w:sz w:val="18"/>
              </w:rPr>
              <w:t>·</w:t>
            </w:r>
            <w:r>
              <w:rPr>
                <w:rFonts w:ascii="ARIAL" w:hAnsi="ARIAL"/>
                <w:sz w:val="18"/>
              </w:rPr>
              <w:t>  Mergers and acquisitions</w:t>
            </w:r>
          </w:p>
          <w:p>
            <w:pPr>
              <w:pStyle w:val="TableContents"/>
              <w:spacing w:before="0" w:after="0"/>
              <w:rPr/>
            </w:pPr>
            <w:r>
              <w:rPr/>
              <w:t> </w:t>
            </w:r>
          </w:p>
          <w:p>
            <w:pPr>
              <w:pStyle w:val="TableContents"/>
              <w:spacing w:before="0" w:after="20"/>
              <w:rPr>
                <w:rFonts w:ascii="ARIAL" w:hAnsi="ARIAL"/>
                <w:sz w:val="18"/>
              </w:rPr>
            </w:pPr>
            <w:r>
              <w:rPr>
                <w:rFonts w:ascii="SYMBOL" w:hAnsi="SYMBOL"/>
                <w:color w:val="005CB9"/>
                <w:sz w:val="18"/>
              </w:rPr>
              <w:t>·</w:t>
            </w:r>
            <w:r>
              <w:rPr>
                <w:rFonts w:ascii="ARIAL" w:hAnsi="ARIAL"/>
                <w:sz w:val="18"/>
              </w:rPr>
              <w:t>  Talent and team development</w:t>
            </w:r>
          </w:p>
        </w:tc>
      </w:tr>
      <w:tr>
        <w:trPr/>
        <w:tc>
          <w:tcPr>
            <w:tcW w:w="266" w:type="dxa"/>
            <w:vMerge w:val="continue"/>
            <w:tcBorders/>
            <w:shd w:fill="auto" w:val="clear"/>
            <w:vAlign w:val="center"/>
          </w:tcPr>
          <w:p>
            <w:pPr>
              <w:pStyle w:val="Normal"/>
              <w:rPr/>
            </w:pPr>
            <w:r>
              <w:rPr/>
            </w:r>
          </w:p>
        </w:tc>
        <w:tc>
          <w:tcPr>
            <w:tcW w:w="87" w:type="dxa"/>
            <w:tcBorders/>
            <w:shd w:fill="auto" w:val="clear"/>
            <w:vAlign w:val="center"/>
          </w:tcPr>
          <w:p>
            <w:pPr>
              <w:pStyle w:val="TableContents"/>
              <w:spacing w:before="0" w:after="283"/>
              <w:rPr/>
            </w:pPr>
            <w:r>
              <w:rPr/>
              <w:t> </w:t>
            </w:r>
          </w:p>
        </w:tc>
        <w:tc>
          <w:tcPr>
            <w:tcW w:w="8132" w:type="dxa"/>
            <w:tcBorders/>
            <w:shd w:fill="auto" w:val="clear"/>
            <w:vAlign w:val="center"/>
          </w:tcPr>
          <w:p>
            <w:pPr>
              <w:pStyle w:val="TableContents"/>
              <w:spacing w:before="0" w:after="0"/>
              <w:rPr/>
            </w:pPr>
            <w:r>
              <w:rPr/>
              <w:t> </w:t>
            </w:r>
          </w:p>
        </w:tc>
        <w:tc>
          <w:tcPr>
            <w:tcW w:w="120" w:type="dxa"/>
            <w:vMerge w:val="continue"/>
            <w:tcBorders/>
            <w:shd w:fill="auto" w:val="clear"/>
            <w:vAlign w:val="center"/>
          </w:tcPr>
          <w:p>
            <w:pPr>
              <w:pStyle w:val="Normal"/>
              <w:rPr/>
            </w:pPr>
            <w:r>
              <w:rPr/>
            </w:r>
          </w:p>
        </w:tc>
        <w:tc>
          <w:tcPr>
            <w:tcW w:w="1600" w:type="dxa"/>
            <w:vMerge w:val="continue"/>
            <w:tcBorders/>
            <w:shd w:fill="auto" w:val="clear"/>
            <w:vAlign w:val="center"/>
          </w:tcPr>
          <w:p>
            <w:pPr>
              <w:pStyle w:val="Normal"/>
              <w:rPr/>
            </w:pPr>
            <w:r>
              <w:rPr/>
            </w:r>
          </w:p>
        </w:tc>
      </w:tr>
      <w:tr>
        <w:trPr/>
        <w:tc>
          <w:tcPr>
            <w:tcW w:w="266" w:type="dxa"/>
            <w:vMerge w:val="continue"/>
            <w:tcBorders/>
            <w:shd w:fill="auto" w:val="clear"/>
            <w:vAlign w:val="center"/>
          </w:tcPr>
          <w:p>
            <w:pPr>
              <w:pStyle w:val="Normal"/>
              <w:rPr/>
            </w:pPr>
            <w:r>
              <w:rPr/>
            </w:r>
          </w:p>
        </w:tc>
        <w:tc>
          <w:tcPr>
            <w:tcW w:w="87" w:type="dxa"/>
            <w:tcBorders>
              <w:top w:val="single" w:sz="6" w:space="0" w:color="000000"/>
            </w:tcBorders>
            <w:shd w:fill="auto" w:val="clear"/>
            <w:tcMar>
              <w:top w:w="28" w:type="dxa"/>
            </w:tcMar>
            <w:vAlign w:val="center"/>
          </w:tcPr>
          <w:p>
            <w:pPr>
              <w:pStyle w:val="TableContents"/>
              <w:spacing w:before="0" w:after="283"/>
              <w:rPr/>
            </w:pPr>
            <w:r>
              <w:rPr/>
              <w:t> </w:t>
            </w:r>
          </w:p>
        </w:tc>
        <w:tc>
          <w:tcPr>
            <w:tcW w:w="8132" w:type="dxa"/>
            <w:tcBorders>
              <w:top w:val="single" w:sz="6" w:space="0" w:color="000000"/>
            </w:tcBorders>
            <w:shd w:fill="auto" w:val="clear"/>
            <w:tcMar>
              <w:top w:w="28" w:type="dxa"/>
            </w:tcMar>
            <w:vAlign w:val="center"/>
          </w:tcPr>
          <w:p>
            <w:pPr>
              <w:pStyle w:val="TableContents"/>
              <w:spacing w:before="0" w:after="20"/>
              <w:rPr>
                <w:rFonts w:ascii="ARIAL" w:hAnsi="ARIAL"/>
                <w:sz w:val="18"/>
              </w:rPr>
            </w:pPr>
            <w:r>
              <w:rPr>
                <w:rFonts w:ascii="ARIAL" w:hAnsi="ARIAL"/>
                <w:sz w:val="18"/>
              </w:rPr>
              <w:t>Ms. Thatcher retired in December 2013 after 33 years of legal practice at Alston &amp; Bird LLP, where she developed and led the firm’s executive compensation</w:t>
            </w:r>
          </w:p>
        </w:tc>
        <w:tc>
          <w:tcPr>
            <w:tcW w:w="120" w:type="dxa"/>
            <w:vMerge w:val="continue"/>
            <w:tcBorders/>
            <w:shd w:fill="auto" w:val="clear"/>
            <w:vAlign w:val="center"/>
          </w:tcPr>
          <w:p>
            <w:pPr>
              <w:pStyle w:val="Normal"/>
              <w:rPr/>
            </w:pPr>
            <w:r>
              <w:rPr/>
            </w:r>
          </w:p>
        </w:tc>
        <w:tc>
          <w:tcPr>
            <w:tcW w:w="1600" w:type="dxa"/>
            <w:vMerge w:val="continue"/>
            <w:tcBorders/>
            <w:shd w:fill="auto" w:val="clear"/>
            <w:vAlign w:val="center"/>
          </w:tcPr>
          <w:p>
            <w:pPr>
              <w:pStyle w:val="Normal"/>
              <w:rPr/>
            </w:pPr>
            <w:r>
              <w:rPr/>
            </w:r>
          </w:p>
        </w:tc>
      </w:tr>
      <w:tr>
        <w:trPr/>
        <w:tc>
          <w:tcPr>
            <w:tcW w:w="8485" w:type="dxa"/>
            <w:gridSpan w:val="3"/>
            <w:tcBorders/>
            <w:shd w:fill="auto" w:val="clear"/>
            <w:vAlign w:val="center"/>
          </w:tcPr>
          <w:p>
            <w:pPr>
              <w:pStyle w:val="TableContents"/>
              <w:rPr/>
            </w:pPr>
            <w:r>
              <w:rPr>
                <w:sz w:val="18"/>
              </w:rPr>
              <w:t>practice for 18 years and served as special executive compensation counsel to many U.S. and international publicly traded companies. Ms. Thatcher co-authored the Compensation Committee Handbook, 3rd edition (John Wiley &amp; Sons, 2008), which serves as a guidebook for executive compensation strategies and practices, addressing a full range of functional issues facing compensation committees of public companies, including organizing, planning, compliance and sound corporate governance. Ms. Thatcher served on the Board of Directors of Batson- Cook Company, a regional commercial construction and development company, from 1994 to 2007. She also served on the Board of Directors of The Atlanta Legal Aid Society, Inc., from 2008 to 2014, and was a Past Chair of the Advisory Board of the Certified Equity Professional Institute (CEPI) of Santa Clara University and was on the Board of Review for a special project sponsored by CEPI that provided universally accepted industry guidance regarding areas of risk and appropriate controls in equity compensation.</w:t>
            </w:r>
            <w:r>
              <w:rPr/>
              <w:t xml:space="preserve"> </w:t>
            </w:r>
          </w:p>
          <w:p>
            <w:pPr>
              <w:pStyle w:val="TableContents"/>
              <w:spacing w:before="0" w:after="20"/>
              <w:rPr/>
            </w:pPr>
            <w:r>
              <w:rPr/>
              <w:t> </w:t>
            </w:r>
          </w:p>
        </w:tc>
        <w:tc>
          <w:tcPr>
            <w:tcW w:w="120" w:type="dxa"/>
            <w:vMerge w:val="continue"/>
            <w:tcBorders/>
            <w:shd w:fill="auto" w:val="clear"/>
            <w:vAlign w:val="center"/>
          </w:tcPr>
          <w:p>
            <w:pPr>
              <w:pStyle w:val="Normal"/>
              <w:rPr/>
            </w:pPr>
            <w:r>
              <w:rPr/>
            </w:r>
          </w:p>
        </w:tc>
        <w:tc>
          <w:tcPr>
            <w:tcW w:w="1600" w:type="dxa"/>
            <w:vMerge w:val="continue"/>
            <w:tcBorders/>
            <w:shd w:fill="auto" w:val="clear"/>
            <w:vAlign w:val="center"/>
          </w:tcPr>
          <w:p>
            <w:pPr>
              <w:pStyle w:val="Normal"/>
              <w:rPr/>
            </w:pPr>
            <w:r>
              <w:rPr/>
            </w:r>
          </w:p>
        </w:tc>
      </w:tr>
    </w:tbl>
    <w:p>
      <w:pPr>
        <w:pStyle w:val="TextBody"/>
        <w:spacing w:before="0" w:after="0"/>
        <w:jc w:val="left"/>
        <w:rPr/>
      </w:pPr>
      <w:r>
        <w:rPr/>
        <w:t> </w:t>
      </w:r>
    </w:p>
    <w:tbl>
      <w:tblPr>
        <w:tblW w:w="607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21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color w:val="005CB9"/>
              </w:rPr>
            </w:pPr>
            <w:r>
              <w:rPr>
                <w:color w:val="005CB9"/>
              </w:rPr>
              <w:t> </w:t>
            </w:r>
            <w:r>
              <w:rPr>
                <w:b/>
                <w:color w:val="005CB9"/>
              </w:rPr>
              <w:t>5</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BOARD OF DIRECTORS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2"/>
        <w:gridCol w:w="80"/>
        <w:gridCol w:w="6986"/>
        <w:gridCol w:w="120"/>
        <w:gridCol w:w="2777"/>
      </w:tblGrid>
      <w:tr>
        <w:trPr/>
        <w:tc>
          <w:tcPr>
            <w:tcW w:w="24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9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77" w:type="dxa"/>
            <w:tcBorders/>
            <w:shd w:fill="auto" w:val="clear"/>
            <w:vAlign w:val="center"/>
          </w:tcPr>
          <w:p>
            <w:pPr>
              <w:pStyle w:val="TableContents"/>
              <w:spacing w:before="0" w:after="283"/>
              <w:rPr>
                <w:sz w:val="4"/>
                <w:szCs w:val="4"/>
              </w:rPr>
            </w:pPr>
            <w:r>
              <w:rPr>
                <w:sz w:val="4"/>
                <w:szCs w:val="4"/>
              </w:rPr>
            </w:r>
          </w:p>
        </w:tc>
      </w:tr>
      <w:tr>
        <w:trPr/>
        <w:tc>
          <w:tcPr>
            <w:tcW w:w="242" w:type="dxa"/>
            <w:vMerge w:val="restart"/>
            <w:tcBorders/>
            <w:shd w:fill="auto" w:val="clear"/>
            <w:vAlign w:val="center"/>
          </w:tcPr>
          <w:p>
            <w:pPr>
              <w:pStyle w:val="TableContents"/>
              <w:spacing w:before="0" w:after="283"/>
              <w:rPr/>
            </w:pPr>
            <w:r>
              <w:rPr/>
              <w:drawing>
                <wp:inline distT="0" distB="0" distL="0" distR="0">
                  <wp:extent cx="92075" cy="114300"/>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92075" cy="114300"/>
                          </a:xfrm>
                          <a:prstGeom prst="rect">
                            <a:avLst/>
                          </a:prstGeom>
                        </pic:spPr>
                      </pic:pic>
                    </a:graphicData>
                  </a:graphic>
                </wp:inline>
              </w:drawing>
            </w:r>
            <w:r>
              <w:rPr/>
              <w:t xml:space="preserve"> </w:t>
            </w:r>
          </w:p>
        </w:tc>
        <w:tc>
          <w:tcPr>
            <w:tcW w:w="80" w:type="dxa"/>
            <w:tcBorders/>
            <w:shd w:fill="D8E6F4" w:val="clear"/>
            <w:vAlign w:val="center"/>
          </w:tcPr>
          <w:p>
            <w:pPr>
              <w:pStyle w:val="TableContents"/>
              <w:spacing w:before="0" w:after="283"/>
              <w:rPr/>
            </w:pPr>
            <w:r>
              <w:rPr/>
              <w:t> </w:t>
            </w:r>
          </w:p>
        </w:tc>
        <w:tc>
          <w:tcPr>
            <w:tcW w:w="6986" w:type="dxa"/>
            <w:tcBorders/>
            <w:shd w:fill="D8E6F4" w:val="clear"/>
            <w:vAlign w:val="center"/>
          </w:tcPr>
          <w:p>
            <w:pPr>
              <w:pStyle w:val="TableContents"/>
              <w:spacing w:before="0" w:after="0"/>
              <w:rPr/>
            </w:pPr>
            <w:r>
              <w:rPr/>
              <w:t> </w:t>
            </w:r>
          </w:p>
          <w:p>
            <w:pPr>
              <w:pStyle w:val="TableContents"/>
              <w:spacing w:before="0" w:after="0"/>
              <w:rPr>
                <w:rFonts w:ascii="ARIAL" w:hAnsi="ARIAL"/>
                <w:b/>
                <w:color w:val="005CB9"/>
                <w:sz w:val="28"/>
              </w:rPr>
            </w:pPr>
            <w:r>
              <w:rPr>
                <w:rFonts w:ascii="ARIAL" w:hAnsi="ARIAL"/>
                <w:b/>
                <w:color w:val="005CB9"/>
                <w:sz w:val="28"/>
              </w:rPr>
              <w:t>Richard F. Wallman</w:t>
            </w:r>
          </w:p>
          <w:p>
            <w:pPr>
              <w:pStyle w:val="TableContents"/>
              <w:spacing w:before="0" w:after="0"/>
              <w:rPr/>
            </w:pPr>
            <w:r>
              <w:rPr/>
              <w:t> </w:t>
            </w:r>
          </w:p>
          <w:p>
            <w:pPr>
              <w:pStyle w:val="TableContents"/>
              <w:spacing w:before="0" w:after="0"/>
              <w:rPr>
                <w:rFonts w:ascii="ARIAL" w:hAnsi="ARIAL"/>
                <w:b/>
                <w:sz w:val="17"/>
              </w:rPr>
            </w:pPr>
            <w:r>
              <w:rPr>
                <w:rFonts w:ascii="ARIAL" w:hAnsi="ARIAL"/>
                <w:b/>
                <w:sz w:val="17"/>
              </w:rPr>
              <w:t>Retired Chief Financial Officer and Senior Vice President, Honeywell International Inc.</w:t>
            </w:r>
          </w:p>
          <w:p>
            <w:pPr>
              <w:pStyle w:val="TableContents"/>
              <w:spacing w:before="0" w:after="20"/>
              <w:rPr/>
            </w:pPr>
            <w:r>
              <w:rPr/>
              <w:t> </w:t>
            </w:r>
          </w:p>
        </w:tc>
        <w:tc>
          <w:tcPr>
            <w:tcW w:w="120" w:type="dxa"/>
            <w:vMerge w:val="restart"/>
            <w:tcBorders/>
            <w:shd w:fill="auto" w:val="clear"/>
            <w:vAlign w:val="center"/>
          </w:tcPr>
          <w:p>
            <w:pPr>
              <w:pStyle w:val="TableContents"/>
              <w:spacing w:before="0" w:after="283"/>
              <w:rPr/>
            </w:pPr>
            <w:r>
              <w:rPr/>
              <w:t>  </w:t>
            </w:r>
          </w:p>
        </w:tc>
        <w:tc>
          <w:tcPr>
            <w:tcW w:w="2777" w:type="dxa"/>
            <w:vMerge w:val="restart"/>
            <w:tcBorders/>
            <w:shd w:fill="auto" w:val="clear"/>
            <w:vAlign w:val="center"/>
          </w:tcPr>
          <w:p>
            <w:pPr>
              <w:pStyle w:val="TableContents"/>
              <w:spacing w:before="0" w:after="0"/>
              <w:rPr>
                <w:rFonts w:ascii="ARIAL" w:hAnsi="ARIAL"/>
                <w:b/>
                <w:sz w:val="18"/>
              </w:rPr>
            </w:pPr>
            <w:r>
              <w:rPr>
                <w:rFonts w:ascii="ARIAL" w:hAnsi="ARIAL"/>
                <w:b/>
                <w:sz w:val="18"/>
              </w:rPr>
              <w:t>Director Since 2007</w:t>
            </w:r>
          </w:p>
          <w:p>
            <w:pPr>
              <w:pStyle w:val="TableContents"/>
              <w:spacing w:before="0" w:after="0"/>
              <w:rPr>
                <w:rFonts w:ascii="ARIAL" w:hAnsi="ARIAL"/>
                <w:b/>
                <w:sz w:val="18"/>
              </w:rPr>
            </w:pPr>
            <w:r>
              <w:rPr>
                <w:rFonts w:ascii="ARIAL" w:hAnsi="ARIAL"/>
                <w:b/>
                <w:sz w:val="18"/>
              </w:rPr>
              <w:t>Independent</w:t>
            </w:r>
          </w:p>
          <w:p>
            <w:pPr>
              <w:pStyle w:val="TableContents"/>
              <w:spacing w:before="0" w:after="0"/>
              <w:rPr>
                <w:rFonts w:ascii="ARIAL" w:hAnsi="ARIAL"/>
                <w:b/>
                <w:sz w:val="18"/>
              </w:rPr>
            </w:pPr>
            <w:r>
              <w:rPr>
                <w:rFonts w:ascii="ARIAL" w:hAnsi="ARIAL"/>
                <w:b/>
                <w:sz w:val="18"/>
              </w:rPr>
              <w:t>Age 72</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Committees: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  Audit (Chair)</w:t>
            </w:r>
          </w:p>
          <w:p>
            <w:pPr>
              <w:pStyle w:val="TableContents"/>
              <w:spacing w:before="0" w:after="0"/>
              <w:rPr>
                <w:rFonts w:ascii="ARIAL" w:hAnsi="ARIAL"/>
                <w:sz w:val="18"/>
              </w:rPr>
            </w:pPr>
            <w:r>
              <w:rPr>
                <w:rFonts w:ascii="SYMBOL" w:hAnsi="SYMBOL"/>
                <w:color w:val="005CB9"/>
                <w:sz w:val="18"/>
              </w:rPr>
              <w:t>·</w:t>
            </w:r>
            <w:r>
              <w:rPr>
                <w:rFonts w:ascii="ARIAL" w:hAnsi="ARIAL"/>
                <w:sz w:val="18"/>
              </w:rPr>
              <w:t>  Executive</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Current Public Directorships: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  CECO Environmental Corp.</w:t>
            </w:r>
          </w:p>
          <w:p>
            <w:pPr>
              <w:pStyle w:val="TableContents"/>
              <w:spacing w:before="0" w:after="0"/>
              <w:rPr>
                <w:rFonts w:ascii="ARIAL" w:hAnsi="ARIAL"/>
                <w:sz w:val="18"/>
              </w:rPr>
            </w:pPr>
            <w:r>
              <w:rPr>
                <w:rFonts w:ascii="SYMBOL" w:hAnsi="SYMBOL"/>
                <w:color w:val="005CB9"/>
                <w:sz w:val="18"/>
              </w:rPr>
              <w:t>·</w:t>
            </w:r>
            <w:r>
              <w:rPr>
                <w:rFonts w:ascii="ARIAL" w:hAnsi="ARIAL"/>
                <w:sz w:val="18"/>
              </w:rPr>
              <w:t>  Charles River Laboratories International, Inc.</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  SmileDirectClub, Inc.</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Key Qualifications &amp; Expertise: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  Executive leadership and management experience</w:t>
            </w:r>
          </w:p>
          <w:p>
            <w:pPr>
              <w:pStyle w:val="TableContents"/>
              <w:spacing w:before="0" w:after="0"/>
              <w:rPr>
                <w:rFonts w:ascii="ARIAL" w:hAnsi="ARIAL"/>
                <w:sz w:val="18"/>
              </w:rPr>
            </w:pPr>
            <w:r>
              <w:rPr>
                <w:rFonts w:ascii="SYMBOL" w:hAnsi="SYMBOL"/>
                <w:color w:val="005CB9"/>
                <w:sz w:val="18"/>
              </w:rPr>
              <w:t>·</w:t>
            </w:r>
            <w:r>
              <w:rPr>
                <w:rFonts w:ascii="ARIAL" w:hAnsi="ARIAL"/>
                <w:sz w:val="18"/>
              </w:rPr>
              <w:t>  Finance and accounting expertise</w:t>
            </w:r>
          </w:p>
          <w:p>
            <w:pPr>
              <w:pStyle w:val="TableContents"/>
              <w:spacing w:before="0" w:after="0"/>
              <w:rPr>
                <w:rFonts w:ascii="ARIAL" w:hAnsi="ARIAL"/>
                <w:sz w:val="18"/>
              </w:rPr>
            </w:pPr>
            <w:r>
              <w:rPr>
                <w:rFonts w:ascii="SYMBOL" w:hAnsi="SYMBOL"/>
                <w:color w:val="005CB9"/>
                <w:sz w:val="18"/>
              </w:rPr>
              <w:t>·</w:t>
            </w:r>
            <w:r>
              <w:rPr>
                <w:rFonts w:ascii="ARIAL" w:hAnsi="ARIAL"/>
                <w:sz w:val="18"/>
              </w:rPr>
              <w:t>  Multi-industry perspective</w:t>
            </w:r>
          </w:p>
          <w:p>
            <w:pPr>
              <w:pStyle w:val="TableContents"/>
              <w:spacing w:before="0" w:after="0"/>
              <w:rPr>
                <w:rFonts w:ascii="ARIAL" w:hAnsi="ARIAL"/>
                <w:sz w:val="18"/>
              </w:rPr>
            </w:pPr>
            <w:r>
              <w:rPr>
                <w:rFonts w:ascii="SYMBOL" w:hAnsi="SYMBOL"/>
                <w:color w:val="005CB9"/>
                <w:sz w:val="18"/>
              </w:rPr>
              <w:t>·</w:t>
            </w:r>
            <w:r>
              <w:rPr>
                <w:rFonts w:ascii="ARIAL" w:hAnsi="ARIAL"/>
                <w:sz w:val="18"/>
              </w:rPr>
              <w:t>  Global business, industry, manufacturing and operations experience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  Mergers and acquisitions</w:t>
            </w:r>
          </w:p>
          <w:p>
            <w:pPr>
              <w:pStyle w:val="TableContents"/>
              <w:spacing w:before="0" w:after="0"/>
              <w:rPr>
                <w:rFonts w:ascii="ARIAL" w:hAnsi="ARIAL"/>
                <w:sz w:val="18"/>
              </w:rPr>
            </w:pPr>
            <w:r>
              <w:rPr>
                <w:rFonts w:ascii="SYMBOL" w:hAnsi="SYMBOL"/>
                <w:color w:val="005CB9"/>
                <w:sz w:val="18"/>
              </w:rPr>
              <w:t>·</w:t>
            </w:r>
            <w:r>
              <w:rPr>
                <w:rFonts w:ascii="ARIAL" w:hAnsi="ARIAL"/>
                <w:sz w:val="18"/>
              </w:rPr>
              <w:t>  Risk management and controls</w:t>
            </w:r>
          </w:p>
          <w:p>
            <w:pPr>
              <w:pStyle w:val="TableContents"/>
              <w:spacing w:before="0" w:after="0"/>
              <w:rPr>
                <w:rFonts w:ascii="ARIAL" w:hAnsi="ARIAL"/>
                <w:sz w:val="18"/>
              </w:rPr>
            </w:pPr>
            <w:r>
              <w:rPr>
                <w:rFonts w:ascii="SYMBOL" w:hAnsi="SYMBOL"/>
                <w:color w:val="005CB9"/>
                <w:sz w:val="18"/>
              </w:rPr>
              <w:t>·</w:t>
            </w:r>
            <w:r>
              <w:rPr>
                <w:rFonts w:ascii="ARIAL" w:hAnsi="ARIAL"/>
                <w:sz w:val="18"/>
              </w:rPr>
              <w:t>  Management development and understanding of global challenges and opportunities</w:t>
            </w:r>
          </w:p>
          <w:p>
            <w:pPr>
              <w:pStyle w:val="TableContents"/>
              <w:spacing w:before="0" w:after="20"/>
              <w:rPr>
                <w:rFonts w:ascii="ARIAL" w:hAnsi="ARIAL"/>
                <w:sz w:val="18"/>
              </w:rPr>
            </w:pPr>
            <w:r>
              <w:rPr>
                <w:rFonts w:ascii="SYMBOL" w:hAnsi="SYMBOL"/>
                <w:color w:val="005CB9"/>
                <w:sz w:val="18"/>
              </w:rPr>
              <w:t>·</w:t>
            </w:r>
            <w:r>
              <w:rPr>
                <w:rFonts w:ascii="ARIAL" w:hAnsi="ARIAL"/>
                <w:sz w:val="18"/>
              </w:rPr>
              <w:t>  Public company board experience</w:t>
            </w:r>
          </w:p>
        </w:tc>
      </w:tr>
      <w:tr>
        <w:trPr/>
        <w:tc>
          <w:tcPr>
            <w:tcW w:w="242" w:type="dxa"/>
            <w:vMerge w:val="continue"/>
            <w:tcBorders/>
            <w:shd w:fill="auto" w:val="clear"/>
            <w:vAlign w:val="center"/>
          </w:tcPr>
          <w:p>
            <w:pPr>
              <w:pStyle w:val="Normal"/>
              <w:rPr/>
            </w:pPr>
            <w:r>
              <w:rPr/>
            </w:r>
          </w:p>
        </w:tc>
        <w:tc>
          <w:tcPr>
            <w:tcW w:w="80" w:type="dxa"/>
            <w:tcBorders/>
            <w:shd w:fill="auto" w:val="clear"/>
            <w:vAlign w:val="center"/>
          </w:tcPr>
          <w:p>
            <w:pPr>
              <w:pStyle w:val="TableContents"/>
              <w:spacing w:before="0" w:after="283"/>
              <w:rPr/>
            </w:pPr>
            <w:r>
              <w:rPr/>
              <w:t> </w:t>
            </w:r>
          </w:p>
        </w:tc>
        <w:tc>
          <w:tcPr>
            <w:tcW w:w="6986" w:type="dxa"/>
            <w:tcBorders/>
            <w:shd w:fill="auto" w:val="clear"/>
            <w:vAlign w:val="center"/>
          </w:tcPr>
          <w:p>
            <w:pPr>
              <w:pStyle w:val="TableContents"/>
              <w:spacing w:before="0" w:after="0"/>
              <w:rPr/>
            </w:pPr>
            <w:r>
              <w:rPr/>
              <w:t> </w:t>
            </w:r>
          </w:p>
        </w:tc>
        <w:tc>
          <w:tcPr>
            <w:tcW w:w="120" w:type="dxa"/>
            <w:vMerge w:val="continue"/>
            <w:tcBorders/>
            <w:shd w:fill="auto" w:val="clear"/>
            <w:vAlign w:val="center"/>
          </w:tcPr>
          <w:p>
            <w:pPr>
              <w:pStyle w:val="Normal"/>
              <w:rPr/>
            </w:pPr>
            <w:r>
              <w:rPr/>
            </w:r>
          </w:p>
        </w:tc>
        <w:tc>
          <w:tcPr>
            <w:tcW w:w="2777" w:type="dxa"/>
            <w:vMerge w:val="continue"/>
            <w:tcBorders/>
            <w:shd w:fill="auto" w:val="clear"/>
            <w:vAlign w:val="center"/>
          </w:tcPr>
          <w:p>
            <w:pPr>
              <w:pStyle w:val="Normal"/>
              <w:rPr/>
            </w:pPr>
            <w:r>
              <w:rPr/>
            </w:r>
          </w:p>
        </w:tc>
      </w:tr>
      <w:tr>
        <w:trPr/>
        <w:tc>
          <w:tcPr>
            <w:tcW w:w="242" w:type="dxa"/>
            <w:vMerge w:val="continue"/>
            <w:tcBorders/>
            <w:shd w:fill="auto" w:val="clear"/>
            <w:vAlign w:val="center"/>
          </w:tcPr>
          <w:p>
            <w:pPr>
              <w:pStyle w:val="Normal"/>
              <w:rPr/>
            </w:pPr>
            <w:r>
              <w:rPr/>
            </w:r>
          </w:p>
        </w:tc>
        <w:tc>
          <w:tcPr>
            <w:tcW w:w="80" w:type="dxa"/>
            <w:tcBorders>
              <w:top w:val="single" w:sz="6" w:space="0" w:color="000000"/>
            </w:tcBorders>
            <w:shd w:fill="auto" w:val="clear"/>
            <w:tcMar>
              <w:top w:w="28" w:type="dxa"/>
            </w:tcMar>
            <w:vAlign w:val="center"/>
          </w:tcPr>
          <w:p>
            <w:pPr>
              <w:pStyle w:val="TableContents"/>
              <w:spacing w:before="0" w:after="283"/>
              <w:rPr/>
            </w:pPr>
            <w:r>
              <w:rPr/>
              <w:t> </w:t>
            </w:r>
          </w:p>
        </w:tc>
        <w:tc>
          <w:tcPr>
            <w:tcW w:w="6986" w:type="dxa"/>
            <w:tcBorders>
              <w:top w:val="single" w:sz="6" w:space="0" w:color="000000"/>
            </w:tcBorders>
            <w:shd w:fill="auto" w:val="clear"/>
            <w:tcMar>
              <w:top w:w="28" w:type="dxa"/>
            </w:tcM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Mr. Wallman served as the Chief Financial Officer and Senior Vice President of Honeywell International Inc., a diversified industrial technology and manufacturing</w:t>
            </w:r>
          </w:p>
        </w:tc>
        <w:tc>
          <w:tcPr>
            <w:tcW w:w="120" w:type="dxa"/>
            <w:vMerge w:val="continue"/>
            <w:tcBorders/>
            <w:shd w:fill="auto" w:val="clear"/>
            <w:vAlign w:val="center"/>
          </w:tcPr>
          <w:p>
            <w:pPr>
              <w:pStyle w:val="Normal"/>
              <w:rPr/>
            </w:pPr>
            <w:r>
              <w:rPr/>
            </w:r>
          </w:p>
        </w:tc>
        <w:tc>
          <w:tcPr>
            <w:tcW w:w="2777" w:type="dxa"/>
            <w:vMerge w:val="continue"/>
            <w:tcBorders/>
            <w:shd w:fill="auto" w:val="clear"/>
            <w:vAlign w:val="center"/>
          </w:tcPr>
          <w:p>
            <w:pPr>
              <w:pStyle w:val="Normal"/>
              <w:rPr/>
            </w:pPr>
            <w:r>
              <w:rPr/>
            </w:r>
          </w:p>
        </w:tc>
      </w:tr>
      <w:tr>
        <w:trPr/>
        <w:tc>
          <w:tcPr>
            <w:tcW w:w="7308" w:type="dxa"/>
            <w:gridSpan w:val="3"/>
            <w:tcBorders/>
            <w:shd w:fill="auto" w:val="clear"/>
            <w:vAlign w:val="center"/>
          </w:tcPr>
          <w:p>
            <w:pPr>
              <w:pStyle w:val="TableContents"/>
              <w:rPr/>
            </w:pPr>
            <w:r>
              <w:rPr>
                <w:sz w:val="18"/>
              </w:rPr>
              <w:t>company, and its predecessor AlliedSignal, Inc., from 1995 until his retirement in 2003. Mr. Wallman has also served in senior financial positions with IBM Corporation and Chrysler Corporation. Mr. Wallman has served as a director of CECO Environmental Corp., a global air quality and fluid handling company, since 2021, SmileDirectClub, Inc., an oral care company, since 2019, and Charles River Laboratories International, Inc., a provider of laboratory services for the pharmaceutical, medical device and biotechnology industries, since 2011. In the last five years, Mr. Wallman served as a director of Wright Medical Group N.V., a global medical device company, Boart Longyear Ltd., a global mineral exploration company, and Extended Stay America, Inc., a hospitality and lodging company.</w:t>
            </w:r>
            <w:r>
              <w:rPr/>
              <w:t xml:space="preserve"> </w:t>
            </w:r>
          </w:p>
          <w:p>
            <w:pPr>
              <w:pStyle w:val="TableContents"/>
              <w:spacing w:before="0" w:after="20"/>
              <w:rPr/>
            </w:pPr>
            <w:r>
              <w:rPr/>
              <w:t> </w:t>
            </w:r>
          </w:p>
        </w:tc>
        <w:tc>
          <w:tcPr>
            <w:tcW w:w="120" w:type="dxa"/>
            <w:vMerge w:val="continue"/>
            <w:tcBorders/>
            <w:shd w:fill="auto" w:val="clear"/>
            <w:vAlign w:val="center"/>
          </w:tcPr>
          <w:p>
            <w:pPr>
              <w:pStyle w:val="Normal"/>
              <w:rPr/>
            </w:pPr>
            <w:r>
              <w:rPr/>
            </w:r>
          </w:p>
        </w:tc>
        <w:tc>
          <w:tcPr>
            <w:tcW w:w="2777" w:type="dxa"/>
            <w:vMerge w:val="continue"/>
            <w:tcBorders/>
            <w:shd w:fill="auto" w:val="clear"/>
            <w:vAlign w:val="center"/>
          </w:tcPr>
          <w:p>
            <w:pPr>
              <w:pStyle w:val="Normal"/>
              <w:rPr/>
            </w:pPr>
            <w:r>
              <w:rPr/>
            </w:r>
          </w:p>
        </w:tc>
      </w:tr>
    </w:tbl>
    <w:p>
      <w:pPr>
        <w:pStyle w:val="TextBody"/>
        <w:spacing w:before="0" w:after="0"/>
        <w:jc w:val="left"/>
        <w:rPr/>
      </w:pPr>
      <w:r>
        <w:rPr/>
        <w:t> </w:t>
      </w:r>
    </w:p>
    <w:tbl>
      <w:tblPr>
        <w:tblW w:w="5935" w:type="dxa"/>
        <w:jc w:val="left"/>
        <w:tblInd w:w="0" w:type="dxa"/>
        <w:tblCellMar>
          <w:top w:w="0" w:type="dxa"/>
          <w:left w:w="0" w:type="dxa"/>
          <w:bottom w:w="0" w:type="dxa"/>
          <w:right w:w="0" w:type="dxa"/>
        </w:tblCellMar>
      </w:tblPr>
      <w:tblGrid>
        <w:gridCol w:w="155"/>
        <w:gridCol w:w="60"/>
        <w:gridCol w:w="240"/>
        <w:gridCol w:w="60"/>
        <w:gridCol w:w="255"/>
        <w:gridCol w:w="60"/>
        <w:gridCol w:w="5105"/>
      </w:tblGrid>
      <w:tr>
        <w:trPr/>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before="0" w:after="283"/>
              <w:rPr>
                <w:b/>
                <w:color w:val="005CB9"/>
              </w:rPr>
            </w:pPr>
            <w:r>
              <w:rPr>
                <w:b/>
                <w:color w:val="005CB9"/>
              </w:rPr>
              <w:t>6</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BOARD OF DIRECTORS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6"/>
        <w:gridCol w:w="81"/>
        <w:gridCol w:w="7145"/>
        <w:gridCol w:w="120"/>
        <w:gridCol w:w="2613"/>
      </w:tblGrid>
      <w:tr>
        <w:trPr/>
        <w:tc>
          <w:tcPr>
            <w:tcW w:w="246"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7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13" w:type="dxa"/>
            <w:tcBorders/>
            <w:shd w:fill="auto" w:val="clear"/>
            <w:vAlign w:val="center"/>
          </w:tcPr>
          <w:p>
            <w:pPr>
              <w:pStyle w:val="TableContents"/>
              <w:spacing w:before="0" w:after="283"/>
              <w:rPr>
                <w:sz w:val="4"/>
                <w:szCs w:val="4"/>
              </w:rPr>
            </w:pPr>
            <w:r>
              <w:rPr>
                <w:sz w:val="4"/>
                <w:szCs w:val="4"/>
              </w:rPr>
            </w:r>
          </w:p>
        </w:tc>
      </w:tr>
      <w:tr>
        <w:trPr/>
        <w:tc>
          <w:tcPr>
            <w:tcW w:w="246" w:type="dxa"/>
            <w:vMerge w:val="restart"/>
            <w:tcBorders/>
            <w:shd w:fill="auto" w:val="clear"/>
            <w:vAlign w:val="center"/>
          </w:tcPr>
          <w:p>
            <w:pPr>
              <w:pStyle w:val="TableContents"/>
              <w:spacing w:before="0" w:after="283"/>
              <w:rPr/>
            </w:pPr>
            <w:r>
              <w:rPr/>
              <w:drawing>
                <wp:inline distT="0" distB="0" distL="0" distR="0">
                  <wp:extent cx="92075" cy="114300"/>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92075" cy="114300"/>
                          </a:xfrm>
                          <a:prstGeom prst="rect">
                            <a:avLst/>
                          </a:prstGeom>
                        </pic:spPr>
                      </pic:pic>
                    </a:graphicData>
                  </a:graphic>
                </wp:inline>
              </w:drawing>
            </w:r>
            <w:r>
              <w:rPr/>
              <w:t xml:space="preserve"> </w:t>
            </w:r>
          </w:p>
        </w:tc>
        <w:tc>
          <w:tcPr>
            <w:tcW w:w="81" w:type="dxa"/>
            <w:tcBorders/>
            <w:shd w:fill="D8E6F4" w:val="clear"/>
            <w:vAlign w:val="center"/>
          </w:tcPr>
          <w:p>
            <w:pPr>
              <w:pStyle w:val="TableContents"/>
              <w:spacing w:before="0" w:after="283"/>
              <w:rPr/>
            </w:pPr>
            <w:r>
              <w:rPr/>
              <w:t> </w:t>
            </w:r>
          </w:p>
        </w:tc>
        <w:tc>
          <w:tcPr>
            <w:tcW w:w="7145" w:type="dxa"/>
            <w:tcBorders/>
            <w:shd w:fill="D8E6F4" w:val="clear"/>
            <w:vAlign w:val="center"/>
          </w:tcPr>
          <w:p>
            <w:pPr>
              <w:pStyle w:val="TableContents"/>
              <w:spacing w:before="0" w:after="0"/>
              <w:rPr/>
            </w:pPr>
            <w:r>
              <w:rPr/>
              <w:t> </w:t>
            </w:r>
          </w:p>
          <w:p>
            <w:pPr>
              <w:pStyle w:val="TableContents"/>
              <w:spacing w:before="0" w:after="0"/>
              <w:rPr>
                <w:rFonts w:ascii="ARIAL" w:hAnsi="ARIAL"/>
                <w:b/>
                <w:color w:val="005CB9"/>
                <w:sz w:val="28"/>
              </w:rPr>
            </w:pPr>
            <w:r>
              <w:rPr>
                <w:rFonts w:ascii="ARIAL" w:hAnsi="ARIAL"/>
                <w:b/>
                <w:color w:val="005CB9"/>
                <w:sz w:val="28"/>
              </w:rPr>
              <w:t>Christopher Wright</w:t>
            </w:r>
          </w:p>
          <w:p>
            <w:pPr>
              <w:pStyle w:val="TableContents"/>
              <w:spacing w:before="0" w:after="0"/>
              <w:rPr/>
            </w:pPr>
            <w:r>
              <w:rPr/>
              <w:t> </w:t>
            </w:r>
          </w:p>
          <w:p>
            <w:pPr>
              <w:pStyle w:val="TableContents"/>
              <w:spacing w:before="0" w:after="0"/>
              <w:rPr>
                <w:rFonts w:ascii="ARIAL" w:hAnsi="ARIAL"/>
                <w:b/>
                <w:sz w:val="17"/>
              </w:rPr>
            </w:pPr>
            <w:r>
              <w:rPr>
                <w:rFonts w:ascii="ARIAL" w:hAnsi="ARIAL"/>
                <w:b/>
                <w:sz w:val="17"/>
              </w:rPr>
              <w:t>Director, Merifin Capital</w:t>
            </w:r>
          </w:p>
          <w:p>
            <w:pPr>
              <w:pStyle w:val="TableContents"/>
              <w:spacing w:before="0" w:after="20"/>
              <w:rPr/>
            </w:pPr>
            <w:r>
              <w:rPr/>
              <w:t> </w:t>
            </w:r>
          </w:p>
        </w:tc>
        <w:tc>
          <w:tcPr>
            <w:tcW w:w="120" w:type="dxa"/>
            <w:vMerge w:val="restart"/>
            <w:tcBorders/>
            <w:shd w:fill="auto" w:val="clear"/>
            <w:vAlign w:val="center"/>
          </w:tcPr>
          <w:p>
            <w:pPr>
              <w:pStyle w:val="TableContents"/>
              <w:spacing w:before="0" w:after="283"/>
              <w:rPr/>
            </w:pPr>
            <w:r>
              <w:rPr/>
              <w:t>  </w:t>
            </w:r>
          </w:p>
        </w:tc>
        <w:tc>
          <w:tcPr>
            <w:tcW w:w="2613" w:type="dxa"/>
            <w:vMerge w:val="restart"/>
            <w:tcBorders/>
            <w:shd w:fill="auto" w:val="clear"/>
            <w:vAlign w:val="center"/>
          </w:tcPr>
          <w:p>
            <w:pPr>
              <w:pStyle w:val="TableContents"/>
              <w:spacing w:before="0" w:after="0"/>
              <w:rPr>
                <w:rFonts w:ascii="ARIAL" w:hAnsi="ARIAL"/>
                <w:b/>
                <w:sz w:val="18"/>
              </w:rPr>
            </w:pPr>
            <w:r>
              <w:rPr>
                <w:rFonts w:ascii="ARIAL" w:hAnsi="ARIAL"/>
                <w:b/>
                <w:sz w:val="18"/>
              </w:rPr>
              <w:t>Director Since 1991</w:t>
            </w:r>
          </w:p>
          <w:p>
            <w:pPr>
              <w:pStyle w:val="TableContents"/>
              <w:spacing w:before="0" w:after="0"/>
              <w:rPr>
                <w:rFonts w:ascii="ARIAL" w:hAnsi="ARIAL"/>
                <w:b/>
                <w:sz w:val="18"/>
              </w:rPr>
            </w:pPr>
            <w:r>
              <w:rPr>
                <w:rFonts w:ascii="ARIAL" w:hAnsi="ARIAL"/>
                <w:b/>
                <w:sz w:val="18"/>
              </w:rPr>
              <w:t>Independent</w:t>
            </w:r>
          </w:p>
          <w:p>
            <w:pPr>
              <w:pStyle w:val="TableContents"/>
              <w:spacing w:before="0" w:after="0"/>
              <w:rPr>
                <w:rFonts w:ascii="ARIAL" w:hAnsi="ARIAL"/>
                <w:b/>
                <w:sz w:val="18"/>
              </w:rPr>
            </w:pPr>
            <w:r>
              <w:rPr>
                <w:rFonts w:ascii="ARIAL" w:hAnsi="ARIAL"/>
                <w:b/>
                <w:sz w:val="18"/>
              </w:rPr>
              <w:t>Age 65</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Committees: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  Audit</w:t>
            </w:r>
          </w:p>
          <w:p>
            <w:pPr>
              <w:pStyle w:val="TableContents"/>
              <w:spacing w:before="0" w:after="0"/>
              <w:rPr>
                <w:rFonts w:ascii="ARIAL" w:hAnsi="ARIAL"/>
                <w:sz w:val="18"/>
              </w:rPr>
            </w:pPr>
            <w:r>
              <w:rPr>
                <w:rFonts w:ascii="SYMBOL" w:hAnsi="SYMBOL"/>
                <w:color w:val="005CB9"/>
                <w:sz w:val="18"/>
              </w:rPr>
              <w:t>·</w:t>
            </w:r>
            <w:r>
              <w:rPr>
                <w:rFonts w:ascii="ARIAL" w:hAnsi="ARIAL"/>
                <w:sz w:val="18"/>
              </w:rPr>
              <w:t>  Compensation</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Current Public Directorships: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  G.P. Investments Limited (Luxembourg)</w:t>
            </w:r>
          </w:p>
          <w:p>
            <w:pPr>
              <w:pStyle w:val="TableContents"/>
              <w:spacing w:before="0" w:after="0"/>
              <w:rPr>
                <w:rFonts w:ascii="ARIAL" w:hAnsi="ARIAL"/>
                <w:sz w:val="18"/>
              </w:rPr>
            </w:pPr>
            <w:r>
              <w:rPr>
                <w:rFonts w:ascii="SYMBOL" w:hAnsi="SYMBOL"/>
                <w:color w:val="005CB9"/>
                <w:sz w:val="18"/>
              </w:rPr>
              <w:t>·</w:t>
            </w:r>
            <w:r>
              <w:rPr>
                <w:rFonts w:ascii="ARIAL" w:hAnsi="ARIAL"/>
                <w:sz w:val="18"/>
              </w:rPr>
              <w:t>  Spice Private Equity A.G. (Zurich)</w:t>
            </w:r>
          </w:p>
          <w:p>
            <w:pPr>
              <w:pStyle w:val="TableContents"/>
              <w:spacing w:before="0" w:after="0"/>
              <w:rPr/>
            </w:pPr>
            <w:r>
              <w:rPr/>
              <w:t> </w:t>
            </w:r>
          </w:p>
          <w:p>
            <w:pPr>
              <w:pStyle w:val="TableContents"/>
              <w:spacing w:before="0" w:after="0"/>
              <w:rPr>
                <w:rFonts w:ascii="ARIAL" w:hAnsi="ARIAL"/>
                <w:b/>
                <w:sz w:val="18"/>
              </w:rPr>
            </w:pPr>
            <w:r>
              <w:rPr>
                <w:rFonts w:ascii="ARIAL" w:hAnsi="ARIAL"/>
                <w:b/>
                <w:sz w:val="18"/>
              </w:rPr>
              <w:t>Key Qualifications &amp; Expertise: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  Executive and management experience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  Global public and private company board experience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  Finance and accounting expertise</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  Mergers, acquisitions, and private equity investing/fund management</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  In-depth knowledge of the Company</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  Broad experience in technology, software and healthcare sectors</w:t>
            </w:r>
          </w:p>
          <w:p>
            <w:pPr>
              <w:pStyle w:val="TableContents"/>
              <w:spacing w:before="0" w:after="0"/>
              <w:rPr/>
            </w:pPr>
            <w:r>
              <w:rPr/>
              <w:t> </w:t>
            </w:r>
          </w:p>
          <w:p>
            <w:pPr>
              <w:pStyle w:val="TableContents"/>
              <w:spacing w:before="0" w:after="0"/>
              <w:rPr>
                <w:rFonts w:ascii="ARIAL" w:hAnsi="ARIAL"/>
                <w:sz w:val="18"/>
              </w:rPr>
            </w:pPr>
            <w:r>
              <w:rPr>
                <w:rFonts w:ascii="SYMBOL" w:hAnsi="SYMBOL"/>
                <w:color w:val="005CB9"/>
                <w:sz w:val="18"/>
              </w:rPr>
              <w:t>·</w:t>
            </w:r>
            <w:r>
              <w:rPr>
                <w:rFonts w:ascii="ARIAL" w:hAnsi="ARIAL"/>
                <w:sz w:val="18"/>
              </w:rPr>
              <w:t>  Cybersecurity expertise</w:t>
            </w:r>
          </w:p>
          <w:p>
            <w:pPr>
              <w:pStyle w:val="TableContents"/>
              <w:spacing w:before="0" w:after="0"/>
              <w:rPr/>
            </w:pPr>
            <w:r>
              <w:rPr/>
              <w:t> </w:t>
            </w:r>
          </w:p>
          <w:p>
            <w:pPr>
              <w:pStyle w:val="TableContents"/>
              <w:spacing w:before="0" w:after="20"/>
              <w:rPr>
                <w:rFonts w:ascii="ARIAL" w:hAnsi="ARIAL"/>
                <w:sz w:val="18"/>
              </w:rPr>
            </w:pPr>
            <w:r>
              <w:rPr>
                <w:rFonts w:ascii="SYMBOL" w:hAnsi="SYMBOL"/>
                <w:color w:val="005CB9"/>
                <w:sz w:val="18"/>
              </w:rPr>
              <w:t>·</w:t>
            </w:r>
            <w:r>
              <w:rPr>
                <w:rFonts w:ascii="ARIAL" w:hAnsi="ARIAL"/>
                <w:sz w:val="18"/>
              </w:rPr>
              <w:t>  Understanding of global challenges, risk and opportunities</w:t>
            </w:r>
          </w:p>
        </w:tc>
      </w:tr>
      <w:tr>
        <w:trPr/>
        <w:tc>
          <w:tcPr>
            <w:tcW w:w="246" w:type="dxa"/>
            <w:vMerge w:val="continue"/>
            <w:tcBorders/>
            <w:shd w:fill="auto" w:val="clear"/>
            <w:vAlign w:val="center"/>
          </w:tcPr>
          <w:p>
            <w:pPr>
              <w:pStyle w:val="Normal"/>
              <w:rPr/>
            </w:pPr>
            <w:r>
              <w:rPr/>
            </w:r>
          </w:p>
        </w:tc>
        <w:tc>
          <w:tcPr>
            <w:tcW w:w="81" w:type="dxa"/>
            <w:tcBorders/>
            <w:shd w:fill="auto" w:val="clear"/>
            <w:vAlign w:val="center"/>
          </w:tcPr>
          <w:p>
            <w:pPr>
              <w:pStyle w:val="TableContents"/>
              <w:spacing w:before="0" w:after="283"/>
              <w:rPr/>
            </w:pPr>
            <w:r>
              <w:rPr/>
              <w:t> </w:t>
            </w:r>
          </w:p>
        </w:tc>
        <w:tc>
          <w:tcPr>
            <w:tcW w:w="7145" w:type="dxa"/>
            <w:tcBorders/>
            <w:shd w:fill="auto" w:val="clear"/>
            <w:vAlign w:val="center"/>
          </w:tcPr>
          <w:p>
            <w:pPr>
              <w:pStyle w:val="TableContents"/>
              <w:spacing w:before="0" w:after="0"/>
              <w:rPr/>
            </w:pPr>
            <w:r>
              <w:rPr/>
              <w:t> </w:t>
            </w:r>
          </w:p>
        </w:tc>
        <w:tc>
          <w:tcPr>
            <w:tcW w:w="120" w:type="dxa"/>
            <w:vMerge w:val="continue"/>
            <w:tcBorders/>
            <w:shd w:fill="auto" w:val="clear"/>
            <w:vAlign w:val="center"/>
          </w:tcPr>
          <w:p>
            <w:pPr>
              <w:pStyle w:val="Normal"/>
              <w:rPr/>
            </w:pPr>
            <w:r>
              <w:rPr/>
            </w:r>
          </w:p>
        </w:tc>
        <w:tc>
          <w:tcPr>
            <w:tcW w:w="2613" w:type="dxa"/>
            <w:vMerge w:val="continue"/>
            <w:tcBorders/>
            <w:shd w:fill="auto" w:val="clear"/>
            <w:vAlign w:val="center"/>
          </w:tcPr>
          <w:p>
            <w:pPr>
              <w:pStyle w:val="Normal"/>
              <w:rPr/>
            </w:pPr>
            <w:r>
              <w:rPr/>
            </w:r>
          </w:p>
        </w:tc>
      </w:tr>
      <w:tr>
        <w:trPr/>
        <w:tc>
          <w:tcPr>
            <w:tcW w:w="246" w:type="dxa"/>
            <w:vMerge w:val="continue"/>
            <w:tcBorders/>
            <w:shd w:fill="auto" w:val="clear"/>
            <w:vAlign w:val="center"/>
          </w:tcPr>
          <w:p>
            <w:pPr>
              <w:pStyle w:val="Normal"/>
              <w:rPr/>
            </w:pPr>
            <w:r>
              <w:rPr/>
            </w:r>
          </w:p>
        </w:tc>
        <w:tc>
          <w:tcPr>
            <w:tcW w:w="81" w:type="dxa"/>
            <w:tcBorders>
              <w:top w:val="single" w:sz="6" w:space="0" w:color="000000"/>
            </w:tcBorders>
            <w:shd w:fill="auto" w:val="clear"/>
            <w:tcMar>
              <w:top w:w="28" w:type="dxa"/>
            </w:tcMar>
            <w:vAlign w:val="center"/>
          </w:tcPr>
          <w:p>
            <w:pPr>
              <w:pStyle w:val="TableContents"/>
              <w:spacing w:before="0" w:after="283"/>
              <w:rPr/>
            </w:pPr>
            <w:r>
              <w:rPr/>
              <w:t> </w:t>
            </w:r>
          </w:p>
        </w:tc>
        <w:tc>
          <w:tcPr>
            <w:tcW w:w="7145" w:type="dxa"/>
            <w:tcBorders>
              <w:top w:val="single" w:sz="6" w:space="0" w:color="000000"/>
            </w:tcBorders>
            <w:shd w:fill="auto" w:val="clear"/>
            <w:tcMar>
              <w:top w:w="28" w:type="dxa"/>
            </w:tcM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Mr. Wright is a board member of Merifin Capital, a single family investment company based in Europe. Until 2003 he was a Group Management Board</w:t>
            </w:r>
          </w:p>
        </w:tc>
        <w:tc>
          <w:tcPr>
            <w:tcW w:w="120" w:type="dxa"/>
            <w:vMerge w:val="continue"/>
            <w:tcBorders/>
            <w:shd w:fill="auto" w:val="clear"/>
            <w:vAlign w:val="center"/>
          </w:tcPr>
          <w:p>
            <w:pPr>
              <w:pStyle w:val="Normal"/>
              <w:rPr/>
            </w:pPr>
            <w:r>
              <w:rPr/>
            </w:r>
          </w:p>
        </w:tc>
        <w:tc>
          <w:tcPr>
            <w:tcW w:w="2613" w:type="dxa"/>
            <w:vMerge w:val="continue"/>
            <w:tcBorders/>
            <w:shd w:fill="auto" w:val="clear"/>
            <w:vAlign w:val="center"/>
          </w:tcPr>
          <w:p>
            <w:pPr>
              <w:pStyle w:val="Normal"/>
              <w:rPr/>
            </w:pPr>
            <w:r>
              <w:rPr/>
            </w:r>
          </w:p>
        </w:tc>
      </w:tr>
      <w:tr>
        <w:trPr/>
        <w:tc>
          <w:tcPr>
            <w:tcW w:w="7472" w:type="dxa"/>
            <w:gridSpan w:val="3"/>
            <w:tcBorders/>
            <w:shd w:fill="auto" w:val="clear"/>
            <w:vAlign w:val="center"/>
          </w:tcPr>
          <w:p>
            <w:pPr>
              <w:pStyle w:val="TableContents"/>
              <w:rPr/>
            </w:pPr>
            <w:r>
              <w:rPr>
                <w:sz w:val="18"/>
              </w:rPr>
              <w:t>Member of Dresdner Kleinwort, part of Allianz SE, and was CEO of its global alternative assets division working from NYC/ Frankfurt/London. He has sat on the boards of publicly listed companies in Europe and the USA, and of private companies in Brazil, South Africa, India and China. Until 2023, he was Chairman of Kestrel Partners, a UK public equities asset management company focused on B2B software investing. He is currently a director of Spice PE A.G. and also of GP Investments Ltd., both listed European companies. He previously served as a director of Yatra Ltd. (Euronext) from 2010 to 2018. He is Hon. Fellow, Corpus Christi College, University of Oxford, sitting also on its Endowment Board, and is a director of the Sutton Trust, an educational charity, among other pro bono activities.</w:t>
            </w:r>
            <w:r>
              <w:rPr/>
              <w:t xml:space="preserve">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20" w:type="dxa"/>
            <w:vMerge w:val="continue"/>
            <w:tcBorders/>
            <w:shd w:fill="auto" w:val="clear"/>
            <w:vAlign w:val="center"/>
          </w:tcPr>
          <w:p>
            <w:pPr>
              <w:pStyle w:val="Normal"/>
              <w:rPr/>
            </w:pPr>
            <w:r>
              <w:rPr/>
            </w:r>
          </w:p>
        </w:tc>
        <w:tc>
          <w:tcPr>
            <w:tcW w:w="2613" w:type="dxa"/>
            <w:vMerge w:val="continue"/>
            <w:tcBorders/>
            <w:shd w:fill="auto" w:val="clear"/>
            <w:vAlign w:val="center"/>
          </w:tcPr>
          <w:p>
            <w:pPr>
              <w:pStyle w:val="Normal"/>
              <w:rPr/>
            </w:pPr>
            <w:r>
              <w:rPr/>
            </w:r>
          </w:p>
        </w:tc>
      </w:tr>
    </w:tbl>
    <w:p>
      <w:pPr>
        <w:pStyle w:val="TextBody"/>
        <w:spacing w:before="0" w:after="0"/>
        <w:jc w:val="left"/>
        <w:rPr/>
      </w:pPr>
      <w:r>
        <w:rPr/>
        <w:t> </w:t>
      </w:r>
    </w:p>
    <w:tbl>
      <w:tblPr>
        <w:tblW w:w="607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21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color w:val="005CB9"/>
              </w:rPr>
            </w:pPr>
            <w:r>
              <w:rPr>
                <w:color w:val="005CB9"/>
              </w:rPr>
              <w:t> </w:t>
            </w:r>
            <w:r>
              <w:rPr>
                <w:b/>
                <w:color w:val="005CB9"/>
              </w:rPr>
              <w:t>7</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32"/>
        </w:rPr>
      </w:pPr>
      <w:bookmarkStart w:id="6" w:name="toc356364_4"/>
      <w:bookmarkEnd w:id="6"/>
      <w:r>
        <w:rPr>
          <w:rFonts w:ascii="ARIAL" w:hAnsi="ARIAL"/>
          <w:color w:val="005CB9"/>
          <w:sz w:val="32"/>
        </w:rPr>
        <w:t xml:space="preserve">CORPORATE GOVERNANCE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3110230" cy="6924040"/>
                <wp:effectExtent l="0" t="0" r="0" b="0"/>
                <wp:wrapSquare wrapText="largest"/>
                <wp:docPr id="43" name="Frame3"/>
                <a:graphic xmlns:a="http://schemas.openxmlformats.org/drawingml/2006/main">
                  <a:graphicData uri="http://schemas.microsoft.com/office/word/2010/wordprocessingShape">
                    <wps:wsp>
                      <wps:cNvSpPr txBox="1"/>
                      <wps:spPr>
                        <a:xfrm>
                          <a:off x="0" y="0"/>
                          <a:ext cx="3110230" cy="6924040"/>
                        </a:xfrm>
                        <a:prstGeom prst="rect"/>
                      </wps:spPr>
                      <wps:txbx>
                        <w:txbxContent>
                          <w:p>
                            <w:pPr>
                              <w:pStyle w:val="TextBody"/>
                              <w:spacing w:before="0" w:after="0"/>
                              <w:rPr>
                                <w:rFonts w:ascii="ARIAL" w:hAnsi="ARIAL"/>
                                <w:b/>
                                <w:color w:val="005CB9"/>
                                <w:sz w:val="20"/>
                              </w:rPr>
                            </w:pPr>
                            <w:r>
                              <w:rPr>
                                <w:rFonts w:ascii="ARIAL" w:hAnsi="ARIAL"/>
                                <w:b/>
                                <w:color w:val="005CB9"/>
                                <w:sz w:val="20"/>
                              </w:rPr>
                              <w:t xml:space="preserve">Corporate Governance Guidelines </w:t>
                            </w:r>
                          </w:p>
                          <w:p>
                            <w:pPr>
                              <w:pStyle w:val="TextBody"/>
                              <w:spacing w:before="120" w:after="0"/>
                              <w:rPr>
                                <w:rFonts w:ascii="ARIAL" w:hAnsi="ARIAL"/>
                                <w:sz w:val="19"/>
                              </w:rPr>
                            </w:pPr>
                            <w:r>
                              <w:rPr>
                                <w:rFonts w:ascii="ARIAL" w:hAnsi="ARIAL"/>
                                <w:sz w:val="19"/>
                              </w:rPr>
                              <w:t xml:space="preserve">Our Board is committed to maintaining high standards of ethical business conduct and sound corporate governance practices and policies. Our Corporate Governance Guidelines reflect our Board of Directors’ commitment to monitoring the effectiveness of the Board and its committees in exercising their responsibilities. </w:t>
                            </w:r>
                          </w:p>
                          <w:p>
                            <w:pPr>
                              <w:pStyle w:val="TextBody"/>
                              <w:spacing w:before="240" w:after="0"/>
                              <w:rPr>
                                <w:rFonts w:ascii="ARIAL" w:hAnsi="ARIAL"/>
                                <w:b/>
                                <w:color w:val="005CB9"/>
                                <w:sz w:val="20"/>
                              </w:rPr>
                            </w:pPr>
                            <w:r>
                              <w:rPr>
                                <w:rFonts w:ascii="ARIAL" w:hAnsi="ARIAL"/>
                                <w:b/>
                                <w:color w:val="005CB9"/>
                                <w:sz w:val="20"/>
                              </w:rPr>
                              <w:t xml:space="preserve">Business Code of Ethics and Standard of Conduct </w:t>
                            </w:r>
                          </w:p>
                          <w:p>
                            <w:pPr>
                              <w:pStyle w:val="TextBody"/>
                              <w:spacing w:before="120" w:after="0"/>
                              <w:rPr>
                                <w:rFonts w:ascii="ARIAL" w:hAnsi="ARIAL"/>
                                <w:sz w:val="19"/>
                              </w:rPr>
                            </w:pPr>
                            <w:r>
                              <w:rPr>
                                <w:rFonts w:ascii="ARIAL" w:hAnsi="ARIAL"/>
                                <w:sz w:val="19"/>
                              </w:rPr>
                              <w:t xml:space="preserve">Our Business Code of Ethics and Standards of Conduct (the “Code of Ethics”) addresses the professional, honest and transparent conduct of our directors, officers and employees. The Code of Ethics also addresses conflicts of interest, disclosure processes, compliance with laws, rules and regulations (including insider trading laws), corporate opportunities, confidentiality, fair dealing, and protection and proper use of Company assets. The Code of Ethics encourages the reporting of any illegal or unethical behavior. Any amendments to, or waivers of, the Code of Ethics will be disclosed on our website promptly following the date of such amendment or waiver as required by law. Copies of the Code of Ethics may be obtained in print without charge upon written request by any stockholder to the Company’s office at 6901 Professional Parkway, Suite 200, Sarasota, Florida 34240. After July 1, 2023, such requests should be sent to 6496 University Parkway, Sarasota, Florida 34240. </w:t>
                            </w:r>
                          </w:p>
                          <w:p>
                            <w:pPr>
                              <w:pStyle w:val="TextBody"/>
                              <w:spacing w:before="240" w:after="0"/>
                              <w:rPr>
                                <w:rFonts w:ascii="ARIAL" w:hAnsi="ARIAL"/>
                                <w:b/>
                                <w:color w:val="005CB9"/>
                                <w:sz w:val="20"/>
                              </w:rPr>
                            </w:pPr>
                            <w:r>
                              <w:rPr>
                                <w:rFonts w:ascii="ARIAL" w:hAnsi="ARIAL"/>
                                <w:b/>
                                <w:color w:val="005CB9"/>
                                <w:sz w:val="20"/>
                              </w:rPr>
                              <w:t xml:space="preserve">Director Independence </w:t>
                            </w:r>
                          </w:p>
                          <w:p>
                            <w:pPr>
                              <w:pStyle w:val="TextBody"/>
                              <w:spacing w:before="120" w:after="0"/>
                              <w:rPr>
                                <w:rFonts w:ascii="ARIAL" w:hAnsi="ARIAL"/>
                                <w:sz w:val="19"/>
                              </w:rPr>
                            </w:pPr>
                            <w:r>
                              <w:rPr>
                                <w:rFonts w:ascii="ARIAL" w:hAnsi="ARIAL"/>
                                <w:sz w:val="19"/>
                              </w:rPr>
                              <w:t xml:space="preserve">Our Corporate Governance Guidelines require that a majority of our directors qualify as “independent,” as defined by the listing standards of the New York Stock Exchange (the “NYSE”). As required by these director independence standards, our Board reviewed and analyzed the independence of each director earlier this year to determine whether any particular relationship or transaction involving any director, or any of that director’s affiliates or immediate family members, was inconsistent with a determination that the director is independent for purposes of serving on our Board of Directors and its committees. During this review, our Board examined transactions and relationships between directors or their affiliates and immediate family members and Roper and/or Roper’s management. As a result of this review our Board affirmatively determined that all directors are independent, except for Mr. Hunn, and that each member of the Audit, Compensation, and Nominating and Governance Committees is independent under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05CB9"/>
                          <w:sz w:val="20"/>
                        </w:rPr>
                      </w:pPr>
                      <w:r>
                        <w:rPr>
                          <w:rFonts w:ascii="ARIAL" w:hAnsi="ARIAL"/>
                          <w:b/>
                          <w:color w:val="005CB9"/>
                          <w:sz w:val="20"/>
                        </w:rPr>
                        <w:t xml:space="preserve">Corporate Governance Guidelines </w:t>
                      </w:r>
                    </w:p>
                    <w:p>
                      <w:pPr>
                        <w:pStyle w:val="TextBody"/>
                        <w:spacing w:before="120" w:after="0"/>
                        <w:rPr>
                          <w:rFonts w:ascii="ARIAL" w:hAnsi="ARIAL"/>
                          <w:sz w:val="19"/>
                        </w:rPr>
                      </w:pPr>
                      <w:r>
                        <w:rPr>
                          <w:rFonts w:ascii="ARIAL" w:hAnsi="ARIAL"/>
                          <w:sz w:val="19"/>
                        </w:rPr>
                        <w:t xml:space="preserve">Our Board is committed to maintaining high standards of ethical business conduct and sound corporate governance practices and policies. Our Corporate Governance Guidelines reflect our Board of Directors’ commitment to monitoring the effectiveness of the Board and its committees in exercising their responsibilities. </w:t>
                      </w:r>
                    </w:p>
                    <w:p>
                      <w:pPr>
                        <w:pStyle w:val="TextBody"/>
                        <w:spacing w:before="240" w:after="0"/>
                        <w:rPr>
                          <w:rFonts w:ascii="ARIAL" w:hAnsi="ARIAL"/>
                          <w:b/>
                          <w:color w:val="005CB9"/>
                          <w:sz w:val="20"/>
                        </w:rPr>
                      </w:pPr>
                      <w:r>
                        <w:rPr>
                          <w:rFonts w:ascii="ARIAL" w:hAnsi="ARIAL"/>
                          <w:b/>
                          <w:color w:val="005CB9"/>
                          <w:sz w:val="20"/>
                        </w:rPr>
                        <w:t xml:space="preserve">Business Code of Ethics and Standard of Conduct </w:t>
                      </w:r>
                    </w:p>
                    <w:p>
                      <w:pPr>
                        <w:pStyle w:val="TextBody"/>
                        <w:spacing w:before="120" w:after="0"/>
                        <w:rPr>
                          <w:rFonts w:ascii="ARIAL" w:hAnsi="ARIAL"/>
                          <w:sz w:val="19"/>
                        </w:rPr>
                      </w:pPr>
                      <w:r>
                        <w:rPr>
                          <w:rFonts w:ascii="ARIAL" w:hAnsi="ARIAL"/>
                          <w:sz w:val="19"/>
                        </w:rPr>
                        <w:t xml:space="preserve">Our Business Code of Ethics and Standards of Conduct (the “Code of Ethics”) addresses the professional, honest and transparent conduct of our directors, officers and employees. The Code of Ethics also addresses conflicts of interest, disclosure processes, compliance with laws, rules and regulations (including insider trading laws), corporate opportunities, confidentiality, fair dealing, and protection and proper use of Company assets. The Code of Ethics encourages the reporting of any illegal or unethical behavior. Any amendments to, or waivers of, the Code of Ethics will be disclosed on our website promptly following the date of such amendment or waiver as required by law. Copies of the Code of Ethics may be obtained in print without charge upon written request by any stockholder to the Company’s office at 6901 Professional Parkway, Suite 200, Sarasota, Florida 34240. After July 1, 2023, such requests should be sent to 6496 University Parkway, Sarasota, Florida 34240. </w:t>
                      </w:r>
                    </w:p>
                    <w:p>
                      <w:pPr>
                        <w:pStyle w:val="TextBody"/>
                        <w:spacing w:before="240" w:after="0"/>
                        <w:rPr>
                          <w:rFonts w:ascii="ARIAL" w:hAnsi="ARIAL"/>
                          <w:b/>
                          <w:color w:val="005CB9"/>
                          <w:sz w:val="20"/>
                        </w:rPr>
                      </w:pPr>
                      <w:r>
                        <w:rPr>
                          <w:rFonts w:ascii="ARIAL" w:hAnsi="ARIAL"/>
                          <w:b/>
                          <w:color w:val="005CB9"/>
                          <w:sz w:val="20"/>
                        </w:rPr>
                        <w:t xml:space="preserve">Director Independence </w:t>
                      </w:r>
                    </w:p>
                    <w:p>
                      <w:pPr>
                        <w:pStyle w:val="TextBody"/>
                        <w:spacing w:before="120" w:after="0"/>
                        <w:rPr>
                          <w:rFonts w:ascii="ARIAL" w:hAnsi="ARIAL"/>
                          <w:sz w:val="19"/>
                        </w:rPr>
                      </w:pPr>
                      <w:r>
                        <w:rPr>
                          <w:rFonts w:ascii="ARIAL" w:hAnsi="ARIAL"/>
                          <w:sz w:val="19"/>
                        </w:rPr>
                        <w:t xml:space="preserve">Our Corporate Governance Guidelines require that a majority of our directors qualify as “independent,” as defined by the listing standards of the New York Stock Exchange (the “NYSE”). As required by these director independence standards, our Board reviewed and analyzed the independence of each director earlier this year to determine whether any particular relationship or transaction involving any director, or any of that director’s affiliates or immediate family members, was inconsistent with a determination that the director is independent for purposes of serving on our Board of Directors and its committees. During this review, our Board examined transactions and relationships between directors or their affiliates and immediate family members and Roper and/or Roper’s management. As a result of this review our Board affirmatively determined that all directors are independent, except for Mr. Hunn, and that each member of the Audit, Compensation, and Nominating and Governance Committees is independent under </w:t>
                      </w:r>
                    </w:p>
                  </w:txbxContent>
                </v:textbox>
                <w10:wrap type="square" side="right"/>
              </v:rect>
            </w:pict>
          </mc:Fallback>
        </mc:AlternateConten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3175000" cy="9484995"/>
                <wp:effectExtent l="0" t="0" r="0" b="0"/>
                <wp:wrapSquare wrapText="largest"/>
                <wp:docPr id="44" name="Frame4"/>
                <a:graphic xmlns:a="http://schemas.openxmlformats.org/drawingml/2006/main">
                  <a:graphicData uri="http://schemas.microsoft.com/office/word/2010/wordprocessingShape">
                    <wps:wsp>
                      <wps:cNvSpPr txBox="1"/>
                      <wps:spPr>
                        <a:xfrm>
                          <a:off x="0" y="0"/>
                          <a:ext cx="3175000" cy="9484995"/>
                        </a:xfrm>
                        <a:prstGeom prst="rect"/>
                      </wps:spPr>
                      <wps:txbx>
                        <w:txbxContent>
                          <w:p>
                            <w:pPr>
                              <w:pStyle w:val="TextBody"/>
                              <w:spacing w:before="0" w:after="0"/>
                              <w:rPr>
                                <w:rFonts w:ascii="ARIAL" w:hAnsi="ARIAL"/>
                                <w:sz w:val="19"/>
                              </w:rPr>
                            </w:pPr>
                            <w:r>
                              <w:rPr>
                                <w:rFonts w:ascii="ARIAL" w:hAnsi="ARIAL"/>
                                <w:sz w:val="19"/>
                              </w:rPr>
                              <w:t xml:space="preserve">applicable NYSE and Securities and Exchange Commission (“SEC”) rules for purposes of serving on such committees. </w:t>
                            </w:r>
                          </w:p>
                          <w:p>
                            <w:pPr>
                              <w:pStyle w:val="TextBody"/>
                              <w:spacing w:before="240" w:after="0"/>
                              <w:rPr>
                                <w:rFonts w:ascii="ARIAL" w:hAnsi="ARIAL"/>
                                <w:b/>
                                <w:color w:val="005CB9"/>
                                <w:sz w:val="20"/>
                              </w:rPr>
                            </w:pPr>
                            <w:r>
                              <w:rPr>
                                <w:rFonts w:ascii="ARIAL" w:hAnsi="ARIAL"/>
                                <w:b/>
                                <w:color w:val="005CB9"/>
                                <w:sz w:val="20"/>
                              </w:rPr>
                              <w:t xml:space="preserve">Nominating Process </w:t>
                            </w:r>
                          </w:p>
                          <w:p>
                            <w:pPr>
                              <w:pStyle w:val="TextBody"/>
                              <w:spacing w:before="120" w:after="0"/>
                              <w:rPr>
                                <w:rFonts w:ascii="ARIAL" w:hAnsi="ARIAL"/>
                                <w:sz w:val="19"/>
                              </w:rPr>
                            </w:pPr>
                            <w:r>
                              <w:rPr>
                                <w:rFonts w:ascii="ARIAL" w:hAnsi="ARIAL"/>
                                <w:sz w:val="19"/>
                              </w:rPr>
                              <w:t xml:space="preserve">The Nominating and Governance Committee, acting under its charter, determines the desired skills, abilities, judgment, diversity (including gender, race and ethnicity as well as background and experience) and other criteria deemed appropriate for service as a director and is responsible for recommending new director candidates and renomination of incumbent directors based on those criteria, which includes but is not limited to: </w:t>
                            </w:r>
                          </w:p>
                          <w:p>
                            <w:pPr>
                              <w:pStyle w:val="TextBody"/>
                              <w:spacing w:before="0" w:after="0"/>
                              <w:rPr/>
                            </w:pPr>
                            <w:r>
                              <w:rPr/>
                              <w:t> </w:t>
                            </w:r>
                          </w:p>
                          <w:tbl>
                            <w:tblPr>
                              <w:tblW w:w="3880" w:type="dxa"/>
                              <w:jc w:val="left"/>
                              <w:tblInd w:w="0" w:type="dxa"/>
                              <w:tblCellMar>
                                <w:top w:w="0" w:type="dxa"/>
                                <w:left w:w="0" w:type="dxa"/>
                                <w:bottom w:w="0" w:type="dxa"/>
                                <w:right w:w="0" w:type="dxa"/>
                              </w:tblCellMar>
                            </w:tblPr>
                            <w:tblGrid>
                              <w:gridCol w:w="75"/>
                              <w:gridCol w:w="110"/>
                              <w:gridCol w:w="60"/>
                              <w:gridCol w:w="36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283"/>
                                    <w:jc w:val="left"/>
                                    <w:rPr/>
                                  </w:pPr>
                                  <w:r>
                                    <w:rPr/>
                                    <w:t xml:space="preserve">high personal and professional ethics; </w:t>
                                  </w:r>
                                </w:p>
                              </w:tc>
                            </w:tr>
                          </w:tbl>
                          <w:p>
                            <w:pPr>
                              <w:pStyle w:val="TextBody"/>
                              <w:spacing w:before="0" w:after="0"/>
                              <w:rPr/>
                            </w:pPr>
                            <w:r>
                              <w:rPr/>
                              <w:t> </w:t>
                            </w:r>
                          </w:p>
                          <w:tbl>
                            <w:tblPr>
                              <w:tblW w:w="2245" w:type="dxa"/>
                              <w:jc w:val="left"/>
                              <w:tblInd w:w="0" w:type="dxa"/>
                              <w:tblCellMar>
                                <w:top w:w="0" w:type="dxa"/>
                                <w:left w:w="0" w:type="dxa"/>
                                <w:bottom w:w="0" w:type="dxa"/>
                                <w:right w:w="0" w:type="dxa"/>
                              </w:tblCellMar>
                            </w:tblPr>
                            <w:tblGrid>
                              <w:gridCol w:w="75"/>
                              <w:gridCol w:w="110"/>
                              <w:gridCol w:w="60"/>
                              <w:gridCol w:w="20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jc w:val="left"/>
                                    <w:rPr/>
                                  </w:pPr>
                                  <w:r>
                                    <w:rPr/>
                                    <w:t xml:space="preserve">integrity and values; </w:t>
                                  </w:r>
                                </w:p>
                              </w:tc>
                            </w:tr>
                          </w:tbl>
                          <w:p>
                            <w:pPr>
                              <w:pStyle w:val="TextBody"/>
                              <w:spacing w:before="0" w:after="0"/>
                              <w:rPr/>
                            </w:pPr>
                            <w:r>
                              <w:rPr/>
                              <w:t> </w:t>
                            </w:r>
                          </w:p>
                          <w:tbl>
                            <w:tblPr>
                              <w:tblW w:w="4180" w:type="dxa"/>
                              <w:jc w:val="left"/>
                              <w:tblInd w:w="0" w:type="dxa"/>
                              <w:tblCellMar>
                                <w:top w:w="0" w:type="dxa"/>
                                <w:left w:w="0" w:type="dxa"/>
                                <w:bottom w:w="0" w:type="dxa"/>
                                <w:right w:w="0" w:type="dxa"/>
                              </w:tblCellMar>
                            </w:tblPr>
                            <w:tblGrid>
                              <w:gridCol w:w="75"/>
                              <w:gridCol w:w="110"/>
                              <w:gridCol w:w="60"/>
                              <w:gridCol w:w="3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283"/>
                                    <w:jc w:val="left"/>
                                    <w:rPr/>
                                  </w:pPr>
                                  <w:r>
                                    <w:rPr/>
                                    <w:t xml:space="preserve">knowledge of our business environment; </w:t>
                                  </w:r>
                                </w:p>
                              </w:tc>
                            </w:tr>
                          </w:tbl>
                          <w:p>
                            <w:pPr>
                              <w:pStyle w:val="TextBody"/>
                              <w:spacing w:before="0" w:after="0"/>
                              <w:rPr/>
                            </w:pPr>
                            <w:r>
                              <w:rPr/>
                              <w:t> </w:t>
                            </w:r>
                          </w:p>
                          <w:tbl>
                            <w:tblPr>
                              <w:tblW w:w="3925" w:type="dxa"/>
                              <w:jc w:val="left"/>
                              <w:tblInd w:w="0" w:type="dxa"/>
                              <w:tblCellMar>
                                <w:top w:w="0" w:type="dxa"/>
                                <w:left w:w="0" w:type="dxa"/>
                                <w:bottom w:w="0" w:type="dxa"/>
                                <w:right w:w="0" w:type="dxa"/>
                              </w:tblCellMar>
                            </w:tblPr>
                            <w:tblGrid>
                              <w:gridCol w:w="75"/>
                              <w:gridCol w:w="110"/>
                              <w:gridCol w:w="60"/>
                              <w:gridCol w:w="36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283"/>
                                    <w:jc w:val="left"/>
                                    <w:rPr/>
                                  </w:pPr>
                                  <w:r>
                                    <w:rPr/>
                                    <w:t xml:space="preserve">sound judgment and analytical ability; </w:t>
                                  </w:r>
                                </w:p>
                              </w:tc>
                            </w:tr>
                          </w:tbl>
                          <w:p>
                            <w:pPr>
                              <w:pStyle w:val="TextBody"/>
                              <w:spacing w:before="0" w:after="0"/>
                              <w:rPr/>
                            </w:pPr>
                            <w:r>
                              <w:rPr/>
                              <w:t> </w:t>
                            </w:r>
                          </w:p>
                          <w:tbl>
                            <w:tblPr>
                              <w:tblW w:w="6175" w:type="dxa"/>
                              <w:jc w:val="left"/>
                              <w:tblInd w:w="0" w:type="dxa"/>
                              <w:tblCellMar>
                                <w:top w:w="0" w:type="dxa"/>
                                <w:left w:w="0" w:type="dxa"/>
                                <w:bottom w:w="0" w:type="dxa"/>
                                <w:right w:w="0" w:type="dxa"/>
                              </w:tblCellMar>
                            </w:tblPr>
                            <w:tblGrid>
                              <w:gridCol w:w="75"/>
                              <w:gridCol w:w="110"/>
                              <w:gridCol w:w="60"/>
                              <w:gridCol w:w="59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30" w:type="dxa"/>
                                  <w:tcBorders/>
                                  <w:shd w:fill="auto" w:val="clear"/>
                                  <w:vAlign w:val="center"/>
                                </w:tcPr>
                                <w:p>
                                  <w:pPr>
                                    <w:pStyle w:val="TableContents"/>
                                    <w:spacing w:before="0" w:after="283"/>
                                    <w:jc w:val="left"/>
                                    <w:rPr/>
                                  </w:pPr>
                                  <w:r>
                                    <w:rPr/>
                                    <w:t xml:space="preserve">skills and experience in the context of the needs of our Board; </w:t>
                                  </w:r>
                                </w:p>
                              </w:tc>
                            </w:tr>
                          </w:tbl>
                          <w:p>
                            <w:pPr>
                              <w:pStyle w:val="TextBody"/>
                              <w:spacing w:before="0" w:after="0"/>
                              <w:rPr/>
                            </w:pPr>
                            <w:r>
                              <w:rPr/>
                              <w:t> </w:t>
                            </w:r>
                          </w:p>
                          <w:tbl>
                            <w:tblPr>
                              <w:tblW w:w="6355" w:type="dxa"/>
                              <w:jc w:val="left"/>
                              <w:tblInd w:w="0" w:type="dxa"/>
                              <w:tblCellMar>
                                <w:top w:w="0" w:type="dxa"/>
                                <w:left w:w="0" w:type="dxa"/>
                                <w:bottom w:w="0" w:type="dxa"/>
                                <w:right w:w="0" w:type="dxa"/>
                              </w:tblCellMar>
                            </w:tblPr>
                            <w:tblGrid>
                              <w:gridCol w:w="75"/>
                              <w:gridCol w:w="110"/>
                              <w:gridCol w:w="60"/>
                              <w:gridCol w:w="61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10" w:type="dxa"/>
                                  <w:tcBorders/>
                                  <w:shd w:fill="auto" w:val="clear"/>
                                  <w:vAlign w:val="center"/>
                                </w:tcPr>
                                <w:p>
                                  <w:pPr>
                                    <w:pStyle w:val="TableContents"/>
                                    <w:spacing w:before="0" w:after="283"/>
                                    <w:jc w:val="left"/>
                                    <w:rPr/>
                                  </w:pPr>
                                  <w:r>
                                    <w:rPr/>
                                    <w:t xml:space="preserve">breadth of business experience and diversity of perspective; and </w:t>
                                  </w:r>
                                </w:p>
                              </w:tc>
                            </w:tr>
                          </w:tbl>
                          <w:p>
                            <w:pPr>
                              <w:pStyle w:val="TextBody"/>
                              <w:spacing w:before="0" w:after="0"/>
                              <w:rPr/>
                            </w:pPr>
                            <w:r>
                              <w:rPr/>
                              <w:t> </w:t>
                            </w:r>
                          </w:p>
                          <w:tbl>
                            <w:tblPr>
                              <w:tblW w:w="10150" w:type="dxa"/>
                              <w:jc w:val="left"/>
                              <w:tblInd w:w="0" w:type="dxa"/>
                              <w:tblCellMar>
                                <w:top w:w="0" w:type="dxa"/>
                                <w:left w:w="0" w:type="dxa"/>
                                <w:bottom w:w="0" w:type="dxa"/>
                                <w:right w:w="0" w:type="dxa"/>
                              </w:tblCellMar>
                            </w:tblPr>
                            <w:tblGrid>
                              <w:gridCol w:w="75"/>
                              <w:gridCol w:w="110"/>
                              <w:gridCol w:w="60"/>
                              <w:gridCol w:w="99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05" w:type="dxa"/>
                                  <w:tcBorders/>
                                  <w:shd w:fill="auto" w:val="clear"/>
                                  <w:vAlign w:val="center"/>
                                </w:tcPr>
                                <w:p>
                                  <w:pPr>
                                    <w:pStyle w:val="TableContents"/>
                                    <w:spacing w:before="0" w:after="283"/>
                                    <w:jc w:val="left"/>
                                    <w:rPr/>
                                  </w:pPr>
                                  <w:r>
                                    <w:rPr/>
                                    <w:t xml:space="preserve">whether the candidate meets the applicable independence requirements under the NYSE and SEC rules. </w:t>
                                  </w:r>
                                </w:p>
                              </w:tc>
                            </w:tr>
                          </w:tbl>
                          <w:p>
                            <w:pPr>
                              <w:pStyle w:val="TextBody"/>
                              <w:spacing w:before="240" w:after="0"/>
                              <w:rPr>
                                <w:rFonts w:ascii="ARIAL" w:hAnsi="ARIAL"/>
                                <w:sz w:val="19"/>
                              </w:rPr>
                            </w:pPr>
                            <w:r>
                              <w:rPr>
                                <w:rFonts w:ascii="ARIAL" w:hAnsi="ARIAL"/>
                                <w:sz w:val="19"/>
                              </w:rPr>
                              <w:t xml:space="preserve">Our Board’s process for identifying and evaluating potential director nominees includes soliciting recommendations from our directors and engaging a third party to assist in identifying potential director nominees when a Board position becomes available. Our Board ensures that diverse candidates are included in the pool of candidates from which it considers possible new director candidates and will continue to ensure ethnically, racially and/or gender diverse candidates are identified and interviewed during the search process. </w:t>
                            </w:r>
                          </w:p>
                          <w:p>
                            <w:pPr>
                              <w:pStyle w:val="TextBody"/>
                              <w:spacing w:before="240" w:after="0"/>
                              <w:rPr>
                                <w:rFonts w:ascii="ARIAL" w:hAnsi="ARIAL"/>
                                <w:sz w:val="19"/>
                              </w:rPr>
                            </w:pPr>
                            <w:r>
                              <w:rPr>
                                <w:rFonts w:ascii="ARIAL" w:hAnsi="ARIAL"/>
                                <w:sz w:val="19"/>
                              </w:rPr>
                              <w:t xml:space="preserve">Neither the Board of Directors nor the Nominating and Governance Committee has a specific policy regarding consideration of shareholder director nominees. Shareholder nominees submitted pursuant to the requirements set forth in the By-laws will be considered under the same criteria that are applied to other candidates. A shareholder of record who nominates a director candidate must provide a notice along with the additional information and materials required by our By-laws. See “Information Regarding the 2024 Annual Meeting of Shareholders” for additional information regarding nominating director candidates.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46.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applicable NYSE and Securities and Exchange Commission (“SEC”) rules for purposes of serving on such committees. </w:t>
                      </w:r>
                    </w:p>
                    <w:p>
                      <w:pPr>
                        <w:pStyle w:val="TextBody"/>
                        <w:spacing w:before="240" w:after="0"/>
                        <w:rPr>
                          <w:rFonts w:ascii="ARIAL" w:hAnsi="ARIAL"/>
                          <w:b/>
                          <w:color w:val="005CB9"/>
                          <w:sz w:val="20"/>
                        </w:rPr>
                      </w:pPr>
                      <w:r>
                        <w:rPr>
                          <w:rFonts w:ascii="ARIAL" w:hAnsi="ARIAL"/>
                          <w:b/>
                          <w:color w:val="005CB9"/>
                          <w:sz w:val="20"/>
                        </w:rPr>
                        <w:t xml:space="preserve">Nominating Process </w:t>
                      </w:r>
                    </w:p>
                    <w:p>
                      <w:pPr>
                        <w:pStyle w:val="TextBody"/>
                        <w:spacing w:before="120" w:after="0"/>
                        <w:rPr>
                          <w:rFonts w:ascii="ARIAL" w:hAnsi="ARIAL"/>
                          <w:sz w:val="19"/>
                        </w:rPr>
                      </w:pPr>
                      <w:r>
                        <w:rPr>
                          <w:rFonts w:ascii="ARIAL" w:hAnsi="ARIAL"/>
                          <w:sz w:val="19"/>
                        </w:rPr>
                        <w:t xml:space="preserve">The Nominating and Governance Committee, acting under its charter, determines the desired skills, abilities, judgment, diversity (including gender, race and ethnicity as well as background and experience) and other criteria deemed appropriate for service as a director and is responsible for recommending new director candidates and renomination of incumbent directors based on those criteria, which includes but is not limited to: </w:t>
                      </w:r>
                    </w:p>
                    <w:p>
                      <w:pPr>
                        <w:pStyle w:val="TextBody"/>
                        <w:spacing w:before="0" w:after="0"/>
                        <w:rPr/>
                      </w:pPr>
                      <w:r>
                        <w:rPr/>
                        <w:t> </w:t>
                      </w:r>
                    </w:p>
                    <w:tbl>
                      <w:tblPr>
                        <w:tblW w:w="3880" w:type="dxa"/>
                        <w:jc w:val="left"/>
                        <w:tblInd w:w="0" w:type="dxa"/>
                        <w:tblCellMar>
                          <w:top w:w="0" w:type="dxa"/>
                          <w:left w:w="0" w:type="dxa"/>
                          <w:bottom w:w="0" w:type="dxa"/>
                          <w:right w:w="0" w:type="dxa"/>
                        </w:tblCellMar>
                      </w:tblPr>
                      <w:tblGrid>
                        <w:gridCol w:w="75"/>
                        <w:gridCol w:w="110"/>
                        <w:gridCol w:w="60"/>
                        <w:gridCol w:w="36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283"/>
                              <w:jc w:val="left"/>
                              <w:rPr/>
                            </w:pPr>
                            <w:r>
                              <w:rPr/>
                              <w:t xml:space="preserve">high personal and professional ethics; </w:t>
                            </w:r>
                          </w:p>
                        </w:tc>
                      </w:tr>
                    </w:tbl>
                    <w:p>
                      <w:pPr>
                        <w:pStyle w:val="TextBody"/>
                        <w:spacing w:before="0" w:after="0"/>
                        <w:rPr/>
                      </w:pPr>
                      <w:r>
                        <w:rPr/>
                        <w:t> </w:t>
                      </w:r>
                    </w:p>
                    <w:tbl>
                      <w:tblPr>
                        <w:tblW w:w="2245" w:type="dxa"/>
                        <w:jc w:val="left"/>
                        <w:tblInd w:w="0" w:type="dxa"/>
                        <w:tblCellMar>
                          <w:top w:w="0" w:type="dxa"/>
                          <w:left w:w="0" w:type="dxa"/>
                          <w:bottom w:w="0" w:type="dxa"/>
                          <w:right w:w="0" w:type="dxa"/>
                        </w:tblCellMar>
                      </w:tblPr>
                      <w:tblGrid>
                        <w:gridCol w:w="75"/>
                        <w:gridCol w:w="110"/>
                        <w:gridCol w:w="60"/>
                        <w:gridCol w:w="20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jc w:val="left"/>
                              <w:rPr/>
                            </w:pPr>
                            <w:r>
                              <w:rPr/>
                              <w:t xml:space="preserve">integrity and values; </w:t>
                            </w:r>
                          </w:p>
                        </w:tc>
                      </w:tr>
                    </w:tbl>
                    <w:p>
                      <w:pPr>
                        <w:pStyle w:val="TextBody"/>
                        <w:spacing w:before="0" w:after="0"/>
                        <w:rPr/>
                      </w:pPr>
                      <w:r>
                        <w:rPr/>
                        <w:t> </w:t>
                      </w:r>
                    </w:p>
                    <w:tbl>
                      <w:tblPr>
                        <w:tblW w:w="4180" w:type="dxa"/>
                        <w:jc w:val="left"/>
                        <w:tblInd w:w="0" w:type="dxa"/>
                        <w:tblCellMar>
                          <w:top w:w="0" w:type="dxa"/>
                          <w:left w:w="0" w:type="dxa"/>
                          <w:bottom w:w="0" w:type="dxa"/>
                          <w:right w:w="0" w:type="dxa"/>
                        </w:tblCellMar>
                      </w:tblPr>
                      <w:tblGrid>
                        <w:gridCol w:w="75"/>
                        <w:gridCol w:w="110"/>
                        <w:gridCol w:w="60"/>
                        <w:gridCol w:w="3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283"/>
                              <w:jc w:val="left"/>
                              <w:rPr/>
                            </w:pPr>
                            <w:r>
                              <w:rPr/>
                              <w:t xml:space="preserve">knowledge of our business environment; </w:t>
                            </w:r>
                          </w:p>
                        </w:tc>
                      </w:tr>
                    </w:tbl>
                    <w:p>
                      <w:pPr>
                        <w:pStyle w:val="TextBody"/>
                        <w:spacing w:before="0" w:after="0"/>
                        <w:rPr/>
                      </w:pPr>
                      <w:r>
                        <w:rPr/>
                        <w:t> </w:t>
                      </w:r>
                    </w:p>
                    <w:tbl>
                      <w:tblPr>
                        <w:tblW w:w="3925" w:type="dxa"/>
                        <w:jc w:val="left"/>
                        <w:tblInd w:w="0" w:type="dxa"/>
                        <w:tblCellMar>
                          <w:top w:w="0" w:type="dxa"/>
                          <w:left w:w="0" w:type="dxa"/>
                          <w:bottom w:w="0" w:type="dxa"/>
                          <w:right w:w="0" w:type="dxa"/>
                        </w:tblCellMar>
                      </w:tblPr>
                      <w:tblGrid>
                        <w:gridCol w:w="75"/>
                        <w:gridCol w:w="110"/>
                        <w:gridCol w:w="60"/>
                        <w:gridCol w:w="36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283"/>
                              <w:jc w:val="left"/>
                              <w:rPr/>
                            </w:pPr>
                            <w:r>
                              <w:rPr/>
                              <w:t xml:space="preserve">sound judgment and analytical ability; </w:t>
                            </w:r>
                          </w:p>
                        </w:tc>
                      </w:tr>
                    </w:tbl>
                    <w:p>
                      <w:pPr>
                        <w:pStyle w:val="TextBody"/>
                        <w:spacing w:before="0" w:after="0"/>
                        <w:rPr/>
                      </w:pPr>
                      <w:r>
                        <w:rPr/>
                        <w:t> </w:t>
                      </w:r>
                    </w:p>
                    <w:tbl>
                      <w:tblPr>
                        <w:tblW w:w="6175" w:type="dxa"/>
                        <w:jc w:val="left"/>
                        <w:tblInd w:w="0" w:type="dxa"/>
                        <w:tblCellMar>
                          <w:top w:w="0" w:type="dxa"/>
                          <w:left w:w="0" w:type="dxa"/>
                          <w:bottom w:w="0" w:type="dxa"/>
                          <w:right w:w="0" w:type="dxa"/>
                        </w:tblCellMar>
                      </w:tblPr>
                      <w:tblGrid>
                        <w:gridCol w:w="75"/>
                        <w:gridCol w:w="110"/>
                        <w:gridCol w:w="60"/>
                        <w:gridCol w:w="59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30" w:type="dxa"/>
                            <w:tcBorders/>
                            <w:shd w:fill="auto" w:val="clear"/>
                            <w:vAlign w:val="center"/>
                          </w:tcPr>
                          <w:p>
                            <w:pPr>
                              <w:pStyle w:val="TableContents"/>
                              <w:spacing w:before="0" w:after="283"/>
                              <w:jc w:val="left"/>
                              <w:rPr/>
                            </w:pPr>
                            <w:r>
                              <w:rPr/>
                              <w:t xml:space="preserve">skills and experience in the context of the needs of our Board; </w:t>
                            </w:r>
                          </w:p>
                        </w:tc>
                      </w:tr>
                    </w:tbl>
                    <w:p>
                      <w:pPr>
                        <w:pStyle w:val="TextBody"/>
                        <w:spacing w:before="0" w:after="0"/>
                        <w:rPr/>
                      </w:pPr>
                      <w:r>
                        <w:rPr/>
                        <w:t> </w:t>
                      </w:r>
                    </w:p>
                    <w:tbl>
                      <w:tblPr>
                        <w:tblW w:w="6355" w:type="dxa"/>
                        <w:jc w:val="left"/>
                        <w:tblInd w:w="0" w:type="dxa"/>
                        <w:tblCellMar>
                          <w:top w:w="0" w:type="dxa"/>
                          <w:left w:w="0" w:type="dxa"/>
                          <w:bottom w:w="0" w:type="dxa"/>
                          <w:right w:w="0" w:type="dxa"/>
                        </w:tblCellMar>
                      </w:tblPr>
                      <w:tblGrid>
                        <w:gridCol w:w="75"/>
                        <w:gridCol w:w="110"/>
                        <w:gridCol w:w="60"/>
                        <w:gridCol w:w="61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10" w:type="dxa"/>
                            <w:tcBorders/>
                            <w:shd w:fill="auto" w:val="clear"/>
                            <w:vAlign w:val="center"/>
                          </w:tcPr>
                          <w:p>
                            <w:pPr>
                              <w:pStyle w:val="TableContents"/>
                              <w:spacing w:before="0" w:after="283"/>
                              <w:jc w:val="left"/>
                              <w:rPr/>
                            </w:pPr>
                            <w:r>
                              <w:rPr/>
                              <w:t xml:space="preserve">breadth of business experience and diversity of perspective; and </w:t>
                            </w:r>
                          </w:p>
                        </w:tc>
                      </w:tr>
                    </w:tbl>
                    <w:p>
                      <w:pPr>
                        <w:pStyle w:val="TextBody"/>
                        <w:spacing w:before="0" w:after="0"/>
                        <w:rPr/>
                      </w:pPr>
                      <w:r>
                        <w:rPr/>
                        <w:t> </w:t>
                      </w:r>
                    </w:p>
                    <w:tbl>
                      <w:tblPr>
                        <w:tblW w:w="10150" w:type="dxa"/>
                        <w:jc w:val="left"/>
                        <w:tblInd w:w="0" w:type="dxa"/>
                        <w:tblCellMar>
                          <w:top w:w="0" w:type="dxa"/>
                          <w:left w:w="0" w:type="dxa"/>
                          <w:bottom w:w="0" w:type="dxa"/>
                          <w:right w:w="0" w:type="dxa"/>
                        </w:tblCellMar>
                      </w:tblPr>
                      <w:tblGrid>
                        <w:gridCol w:w="75"/>
                        <w:gridCol w:w="110"/>
                        <w:gridCol w:w="60"/>
                        <w:gridCol w:w="99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05" w:type="dxa"/>
                            <w:tcBorders/>
                            <w:shd w:fill="auto" w:val="clear"/>
                            <w:vAlign w:val="center"/>
                          </w:tcPr>
                          <w:p>
                            <w:pPr>
                              <w:pStyle w:val="TableContents"/>
                              <w:spacing w:before="0" w:after="283"/>
                              <w:jc w:val="left"/>
                              <w:rPr/>
                            </w:pPr>
                            <w:r>
                              <w:rPr/>
                              <w:t xml:space="preserve">whether the candidate meets the applicable independence requirements under the NYSE and SEC rules. </w:t>
                            </w:r>
                          </w:p>
                        </w:tc>
                      </w:tr>
                    </w:tbl>
                    <w:p>
                      <w:pPr>
                        <w:pStyle w:val="TextBody"/>
                        <w:spacing w:before="240" w:after="0"/>
                        <w:rPr>
                          <w:rFonts w:ascii="ARIAL" w:hAnsi="ARIAL"/>
                          <w:sz w:val="19"/>
                        </w:rPr>
                      </w:pPr>
                      <w:r>
                        <w:rPr>
                          <w:rFonts w:ascii="ARIAL" w:hAnsi="ARIAL"/>
                          <w:sz w:val="19"/>
                        </w:rPr>
                        <w:t xml:space="preserve">Our Board’s process for identifying and evaluating potential director nominees includes soliciting recommendations from our directors and engaging a third party to assist in identifying potential director nominees when a Board position becomes available. Our Board ensures that diverse candidates are included in the pool of candidates from which it considers possible new director candidates and will continue to ensure ethnically, racially and/or gender diverse candidates are identified and interviewed during the search process. </w:t>
                      </w:r>
                    </w:p>
                    <w:p>
                      <w:pPr>
                        <w:pStyle w:val="TextBody"/>
                        <w:spacing w:before="240" w:after="0"/>
                        <w:rPr>
                          <w:rFonts w:ascii="ARIAL" w:hAnsi="ARIAL"/>
                          <w:sz w:val="19"/>
                        </w:rPr>
                      </w:pPr>
                      <w:r>
                        <w:rPr>
                          <w:rFonts w:ascii="ARIAL" w:hAnsi="ARIAL"/>
                          <w:sz w:val="19"/>
                        </w:rPr>
                        <w:t xml:space="preserve">Neither the Board of Directors nor the Nominating and Governance Committee has a specific policy regarding consideration of shareholder director nominees. Shareholder nominees submitted pursuant to the requirements set forth in the By-laws will be considered under the same criteria that are applied to other candidates. A shareholder of record who nominates a director candidate must provide a notice along with the additional information and materials required by our By-laws. See “Information Regarding the 2024 Annual Meeting of Shareholders” for additional information regarding nominating director candidates. </w:t>
                      </w:r>
                    </w:p>
                  </w:txbxContent>
                </v:textbox>
                <w10:wrap type="square" side="right"/>
              </v:rect>
            </w:pict>
          </mc:Fallback>
        </mc:AlternateContent>
      </w:r>
    </w:p>
    <w:p>
      <w:pPr>
        <w:pStyle w:val="TextBody"/>
        <w:spacing w:before="0" w:after="0"/>
        <w:jc w:val="left"/>
        <w:rPr/>
      </w:pPr>
      <w:r>
        <w:rPr/>
        <w:t> </w:t>
      </w:r>
    </w:p>
    <w:tbl>
      <w:tblPr>
        <w:tblW w:w="5935" w:type="dxa"/>
        <w:jc w:val="left"/>
        <w:tblInd w:w="0" w:type="dxa"/>
        <w:tblCellMar>
          <w:top w:w="0" w:type="dxa"/>
          <w:left w:w="0" w:type="dxa"/>
          <w:bottom w:w="0" w:type="dxa"/>
          <w:right w:w="0" w:type="dxa"/>
        </w:tblCellMar>
      </w:tblPr>
      <w:tblGrid>
        <w:gridCol w:w="155"/>
        <w:gridCol w:w="60"/>
        <w:gridCol w:w="240"/>
        <w:gridCol w:w="60"/>
        <w:gridCol w:w="255"/>
        <w:gridCol w:w="60"/>
        <w:gridCol w:w="5105"/>
      </w:tblGrid>
      <w:tr>
        <w:trPr/>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before="0" w:after="283"/>
              <w:rPr>
                <w:b/>
                <w:color w:val="005CB9"/>
              </w:rPr>
            </w:pPr>
            <w:r>
              <w:rPr>
                <w:b/>
                <w:color w:val="005CB9"/>
              </w:rPr>
              <w:t>8</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CORPORATE GOVERNANCE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color w:val="005CB9"/>
          <w:sz w:val="20"/>
        </w:rPr>
      </w:pPr>
      <w:r>
        <w:rPr>
          <w:rFonts w:ascii="ARIAL" w:hAnsi="ARIAL"/>
          <w:b/>
          <w:color w:val="005CB9"/>
          <w:sz w:val="20"/>
        </w:rPr>
        <w:t xml:space="preserve">BOARD SNAPSHOT </w:t>
      </w:r>
    </w:p>
    <w:p>
      <w:pPr>
        <w:pStyle w:val="TextBody"/>
        <w:spacing w:before="0" w:after="0"/>
        <w:jc w:val="left"/>
        <w:rPr/>
      </w:pPr>
      <w:r>
        <w:rPr/>
        <w:t> </w:t>
      </w:r>
    </w:p>
    <w:tbl>
      <w:tblPr>
        <w:tblW w:w="7205" w:type="dxa"/>
        <w:jc w:val="left"/>
        <w:tblInd w:w="0" w:type="dxa"/>
        <w:tblCellMar>
          <w:top w:w="0" w:type="dxa"/>
          <w:left w:w="0" w:type="dxa"/>
          <w:bottom w:w="0" w:type="dxa"/>
          <w:right w:w="0" w:type="dxa"/>
        </w:tblCellMar>
      </w:tblPr>
      <w:tblGrid>
        <w:gridCol w:w="4580"/>
        <w:gridCol w:w="60"/>
        <w:gridCol w:w="230"/>
        <w:gridCol w:w="60"/>
        <w:gridCol w:w="230"/>
        <w:gridCol w:w="60"/>
        <w:gridCol w:w="230"/>
        <w:gridCol w:w="60"/>
        <w:gridCol w:w="230"/>
        <w:gridCol w:w="60"/>
        <w:gridCol w:w="230"/>
        <w:gridCol w:w="60"/>
        <w:gridCol w:w="230"/>
        <w:gridCol w:w="60"/>
        <w:gridCol w:w="230"/>
        <w:gridCol w:w="60"/>
        <w:gridCol w:w="230"/>
        <w:gridCol w:w="60"/>
        <w:gridCol w:w="245"/>
      </w:tblGrid>
      <w:tr>
        <w:trPr/>
        <w:tc>
          <w:tcPr>
            <w:tcW w:w="45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7205" w:type="dxa"/>
            <w:gridSpan w:val="19"/>
            <w:tcBorders>
              <w:top w:val="single" w:sz="8" w:space="0" w:color="005CB9"/>
            </w:tcBorders>
            <w:shd w:fill="auto" w:val="clear"/>
            <w:tcMar>
              <w:top w:w="28" w:type="dxa"/>
            </w:tcMar>
            <w:vAlign w:val="center"/>
          </w:tcPr>
          <w:p>
            <w:pPr>
              <w:pStyle w:val="TableContents"/>
              <w:spacing w:before="0" w:after="283"/>
              <w:rPr/>
            </w:pPr>
            <w:r>
              <w:rPr/>
              <w:t> </w:t>
            </w:r>
          </w:p>
        </w:tc>
      </w:tr>
      <w:tr>
        <w:trPr/>
        <w:tc>
          <w:tcPr>
            <w:tcW w:w="7205" w:type="dxa"/>
            <w:gridSpan w:val="19"/>
            <w:tcBorders/>
            <w:shd w:fill="auto" w:val="clear"/>
            <w:vAlign w:val="center"/>
          </w:tcPr>
          <w:p>
            <w:pPr>
              <w:pStyle w:val="TableContents"/>
              <w:spacing w:before="0" w:after="283"/>
              <w:jc w:val="center"/>
              <w:rPr>
                <w:b/>
                <w:color w:val="005CB9"/>
              </w:rPr>
            </w:pPr>
            <w:r>
              <w:rPr>
                <w:b/>
                <w:color w:val="005CB9"/>
              </w:rPr>
              <w:t>Skills and Expertise</w:t>
            </w:r>
          </w:p>
        </w:tc>
      </w:tr>
      <w:tr>
        <w:trPr/>
        <w:tc>
          <w:tcPr>
            <w:tcW w:w="4580" w:type="dxa"/>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305" w:type="dxa"/>
            <w:gridSpan w:val="2"/>
            <w:tcBorders>
              <w:top w:val="single" w:sz="8" w:space="0" w:color="005CB9"/>
            </w:tcBorders>
            <w:shd w:fill="auto" w:val="clear"/>
            <w:tcMar>
              <w:top w:w="28" w:type="dxa"/>
            </w:tcM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center"/>
              <w:rPr/>
            </w:pPr>
            <w:r>
              <w:rPr/>
              <w:drawing>
                <wp:inline distT="0" distB="0" distL="0" distR="0">
                  <wp:extent cx="14605" cy="60960"/>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4605" cy="6096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center"/>
              <w:rPr/>
            </w:pPr>
            <w:r>
              <w:rPr/>
              <w:drawing>
                <wp:inline distT="0" distB="0" distL="0" distR="0">
                  <wp:extent cx="14605" cy="4000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4605" cy="4000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center"/>
              <w:rPr/>
            </w:pPr>
            <w:r>
              <w:rPr/>
              <w:drawing>
                <wp:inline distT="0" distB="0" distL="0" distR="0">
                  <wp:extent cx="14605" cy="38100"/>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460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center"/>
              <w:rPr/>
            </w:pPr>
            <w:r>
              <w:rPr/>
              <w:drawing>
                <wp:inline distT="0" distB="0" distL="0" distR="0">
                  <wp:extent cx="14605" cy="2603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4605" cy="2603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center"/>
              <w:rPr/>
            </w:pPr>
            <w:r>
              <w:rPr/>
              <w:drawing>
                <wp:inline distT="0" distB="0" distL="0" distR="0">
                  <wp:extent cx="14605" cy="41910"/>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4605" cy="4191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center"/>
              <w:rPr/>
            </w:pPr>
            <w:r>
              <w:rPr/>
              <w:drawing>
                <wp:inline distT="0" distB="0" distL="0" distR="0">
                  <wp:extent cx="14605" cy="2857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4605" cy="2857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center"/>
              <w:rPr/>
            </w:pPr>
            <w:r>
              <w:rPr/>
              <w:drawing>
                <wp:inline distT="0" distB="0" distL="0" distR="0">
                  <wp:extent cx="14605" cy="4254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4605" cy="4254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center"/>
              <w:rPr/>
            </w:pPr>
            <w:r>
              <w:rPr/>
              <w:drawing>
                <wp:inline distT="0" distB="0" distL="0" distR="0">
                  <wp:extent cx="14605" cy="41910"/>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4605" cy="4191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center"/>
              <w:rPr/>
            </w:pPr>
            <w:r>
              <w:rPr/>
              <w:drawing>
                <wp:inline distT="0" distB="0" distL="0" distR="0">
                  <wp:extent cx="14605" cy="3238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4605" cy="32385"/>
                          </a:xfrm>
                          <a:prstGeom prst="rect">
                            <a:avLst/>
                          </a:prstGeom>
                        </pic:spPr>
                      </pic:pic>
                    </a:graphicData>
                  </a:graphic>
                </wp:inline>
              </w:drawing>
            </w:r>
            <w:r>
              <w:rPr/>
              <w:t xml:space="preserve"> </w:t>
            </w:r>
          </w:p>
        </w:tc>
      </w:tr>
      <w:tr>
        <w:trPr/>
        <w:tc>
          <w:tcPr>
            <w:tcW w:w="4580" w:type="dxa"/>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EAEAEA"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EAEAEA"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EAEAEA"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EAEAEA"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305" w:type="dxa"/>
            <w:gridSpan w:val="2"/>
            <w:tcBorders>
              <w:top w:val="single" w:sz="8" w:space="0" w:color="005CB9"/>
            </w:tcBorders>
            <w:shd w:fill="EAEAEA" w:val="clear"/>
            <w:tcMar>
              <w:top w:w="28" w:type="dxa"/>
            </w:tcMar>
            <w:vAlign w:val="center"/>
          </w:tcPr>
          <w:p>
            <w:pPr>
              <w:pStyle w:val="TableContents"/>
              <w:spacing w:before="0" w:after="283"/>
              <w:rPr/>
            </w:pPr>
            <w:r>
              <w:rPr/>
              <w:t> </w:t>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Executive Leadership Experience</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Financial and Accounting Expertise</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Corporate Governance Experience</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Decentralized Operating Model Experience</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Software/Technology Industry Experience</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Cybersecurity Experience</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Healthcare Industry Experience</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Industrial Experience</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Capital Deployment Experience</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Organizational Development/Talent Management Experience</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Risk Management Experience</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Strategic Planning Experience</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r>
      <w:tr>
        <w:trPr/>
        <w:tc>
          <w:tcPr>
            <w:tcW w:w="7205" w:type="dxa"/>
            <w:gridSpan w:val="19"/>
            <w:tcBorders/>
            <w:shd w:fill="auto" w:val="clear"/>
            <w:vAlign w:val="center"/>
          </w:tcPr>
          <w:p>
            <w:pPr>
              <w:pStyle w:val="TableContents"/>
              <w:spacing w:before="0" w:after="283"/>
              <w:rPr>
                <w:sz w:val="4"/>
                <w:szCs w:val="4"/>
              </w:rPr>
            </w:pPr>
            <w:r>
              <w:rPr>
                <w:sz w:val="4"/>
                <w:szCs w:val="4"/>
              </w:rPr>
            </w:r>
          </w:p>
        </w:tc>
      </w:tr>
      <w:tr>
        <w:trPr/>
        <w:tc>
          <w:tcPr>
            <w:tcW w:w="7205" w:type="dxa"/>
            <w:gridSpan w:val="19"/>
            <w:tcBorders/>
            <w:shd w:fill="auto" w:val="clear"/>
            <w:vAlign w:val="center"/>
          </w:tcPr>
          <w:p>
            <w:pPr>
              <w:pStyle w:val="TableContents"/>
              <w:spacing w:before="0" w:after="283"/>
              <w:jc w:val="center"/>
              <w:rPr>
                <w:b/>
                <w:color w:val="005CB9"/>
              </w:rPr>
            </w:pPr>
            <w:r>
              <w:rPr>
                <w:b/>
                <w:color w:val="005CB9"/>
              </w:rPr>
              <w:t>Background and Diversity</w:t>
            </w:r>
          </w:p>
        </w:tc>
      </w:tr>
      <w:tr>
        <w:trPr/>
        <w:tc>
          <w:tcPr>
            <w:tcW w:w="4580" w:type="dxa"/>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EAEAEA"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EAEAEA"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EAEAEA"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EAEAEA" w:val="clear"/>
            <w:tcMar>
              <w:top w:w="28" w:type="dxa"/>
            </w:tcMar>
            <w:vAlign w:val="center"/>
          </w:tcPr>
          <w:p>
            <w:pPr>
              <w:pStyle w:val="TableContents"/>
              <w:spacing w:before="0" w:after="283"/>
              <w:rPr/>
            </w:pPr>
            <w:r>
              <w:rPr/>
              <w:t> </w:t>
            </w:r>
          </w:p>
        </w:tc>
        <w:tc>
          <w:tcPr>
            <w:tcW w:w="290" w:type="dxa"/>
            <w:gridSpan w:val="2"/>
            <w:tcBorders>
              <w:top w:val="single" w:sz="8" w:space="0" w:color="005CB9"/>
            </w:tcBorders>
            <w:shd w:fill="auto" w:val="clear"/>
            <w:tcMar>
              <w:top w:w="28" w:type="dxa"/>
            </w:tcMar>
            <w:vAlign w:val="center"/>
          </w:tcPr>
          <w:p>
            <w:pPr>
              <w:pStyle w:val="TableContents"/>
              <w:spacing w:before="0" w:after="283"/>
              <w:rPr/>
            </w:pPr>
            <w:r>
              <w:rPr/>
              <w:t> </w:t>
            </w:r>
          </w:p>
        </w:tc>
        <w:tc>
          <w:tcPr>
            <w:tcW w:w="305" w:type="dxa"/>
            <w:gridSpan w:val="2"/>
            <w:tcBorders>
              <w:top w:val="single" w:sz="8" w:space="0" w:color="005CB9"/>
            </w:tcBorders>
            <w:shd w:fill="EAEAEA" w:val="clear"/>
            <w:tcMar>
              <w:top w:w="28" w:type="dxa"/>
            </w:tcMar>
            <w:vAlign w:val="center"/>
          </w:tcPr>
          <w:p>
            <w:pPr>
              <w:pStyle w:val="TableContents"/>
              <w:spacing w:before="0" w:after="283"/>
              <w:rPr/>
            </w:pPr>
            <w:r>
              <w:rPr/>
              <w:t> </w:t>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Years on the Board</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5</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8</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2</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5</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18</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2</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8</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16</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32</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Age</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60</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67</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64</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51</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75</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62</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67</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72</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65</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Gender</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F</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F</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F</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M</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M</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M</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F</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M</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lineRule="atLeast" w:line="300" w:before="0" w:after="0"/>
              <w:jc w:val="center"/>
              <w:rPr>
                <w:rFonts w:ascii="ARIAL" w:hAnsi="ARIAL"/>
                <w:b/>
                <w:color w:val="005CB9"/>
                <w:sz w:val="20"/>
              </w:rPr>
            </w:pPr>
            <w:r>
              <w:rPr>
                <w:rFonts w:ascii="ARIAL" w:hAnsi="ARIAL"/>
                <w:b/>
                <w:color w:val="005CB9"/>
                <w:sz w:val="20"/>
              </w:rPr>
              <w:t>M</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African American/Black</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Hispanic/Latinx</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before="0" w:after="283"/>
              <w:rPr/>
            </w:pPr>
            <w:r>
              <w:rPr/>
              <w:t> </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90" w:type="dxa"/>
            <w:gridSpan w:val="2"/>
            <w:tcBorders/>
            <w:shd w:fill="EAEAEA"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EAEAEA" w:val="clear"/>
            <w:vAlign w:val="center"/>
          </w:tcPr>
          <w:p>
            <w:pPr>
              <w:pStyle w:val="TableContents"/>
              <w:spacing w:before="0" w:after="283"/>
              <w:rPr>
                <w:sz w:val="4"/>
                <w:szCs w:val="4"/>
              </w:rPr>
            </w:pPr>
            <w:r>
              <w:rPr>
                <w:sz w:val="4"/>
                <w:szCs w:val="4"/>
              </w:rPr>
            </w:r>
          </w:p>
        </w:tc>
      </w:tr>
      <w:tr>
        <w:trPr/>
        <w:tc>
          <w:tcPr>
            <w:tcW w:w="4580" w:type="dxa"/>
            <w:tcBorders>
              <w:bottom w:val="single" w:sz="8" w:space="0" w:color="005CB9"/>
            </w:tcBorders>
            <w:shd w:fill="auto" w:val="clear"/>
            <w:tcMar>
              <w:bottom w:w="28" w:type="dxa"/>
            </w:tcMar>
            <w:vAlign w:val="center"/>
          </w:tcPr>
          <w:p>
            <w:pPr>
              <w:pStyle w:val="TableContents"/>
              <w:spacing w:lineRule="atLeast" w:line="300" w:before="0" w:after="0"/>
              <w:rPr>
                <w:color w:val="005CB9"/>
              </w:rPr>
            </w:pPr>
            <w:r>
              <w:rPr>
                <w:color w:val="005CB9"/>
              </w:rPr>
              <w:t>  </w:t>
            </w:r>
            <w:r>
              <w:rPr>
                <w:rFonts w:ascii="ARIAL" w:hAnsi="ARIAL"/>
                <w:b/>
                <w:color w:val="005CB9"/>
                <w:sz w:val="15"/>
              </w:rPr>
              <w:t>White</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before="0" w:after="283"/>
              <w:rPr/>
            </w:pPr>
            <w:r>
              <w:rPr/>
              <w:t> </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30"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auto" w:val="clear"/>
            <w:tcMar>
              <w:bottom w:w="28" w:type="dxa"/>
            </w:tcMar>
            <w:vAlign w:val="center"/>
          </w:tcPr>
          <w:p>
            <w:pPr>
              <w:pStyle w:val="TableContents"/>
              <w:spacing w:before="0" w:after="283"/>
              <w:rPr/>
            </w:pPr>
            <w:r>
              <w:rPr/>
              <w:t> </w:t>
            </w:r>
          </w:p>
        </w:tc>
        <w:tc>
          <w:tcPr>
            <w:tcW w:w="230" w:type="dxa"/>
            <w:tcBorders>
              <w:bottom w:val="single" w:sz="8" w:space="0" w:color="005CB9"/>
            </w:tcBorders>
            <w:shd w:fill="auto" w:val="clear"/>
            <w:tcMar>
              <w:bottom w:w="28" w:type="dxa"/>
            </w:tcMar>
            <w:vAlign w:val="center"/>
          </w:tcPr>
          <w:p>
            <w:pPr>
              <w:pStyle w:val="TableContents"/>
              <w:spacing w:lineRule="atLeast" w:line="300" w:before="0" w:after="0"/>
              <w:jc w:val="center"/>
              <w:rPr>
                <w:color w:val="005CB9"/>
              </w:rPr>
            </w:pPr>
            <w:r>
              <w:rPr>
                <w:color w:val="005CB9"/>
              </w:rPr>
              <w:t>∎</w:t>
            </w:r>
          </w:p>
        </w:tc>
        <w:tc>
          <w:tcPr>
            <w:tcW w:w="60" w:type="dxa"/>
            <w:tcBorders>
              <w:bottom w:val="single" w:sz="8" w:space="0" w:color="005CB9"/>
            </w:tcBorders>
            <w:shd w:fill="EAEAEA" w:val="clear"/>
            <w:tcMar>
              <w:bottom w:w="28" w:type="dxa"/>
            </w:tcMar>
            <w:vAlign w:val="center"/>
          </w:tcPr>
          <w:p>
            <w:pPr>
              <w:pStyle w:val="TableContents"/>
              <w:spacing w:before="0" w:after="283"/>
              <w:rPr/>
            </w:pPr>
            <w:r>
              <w:rPr/>
              <w:t> </w:t>
            </w:r>
          </w:p>
        </w:tc>
        <w:tc>
          <w:tcPr>
            <w:tcW w:w="245" w:type="dxa"/>
            <w:tcBorders>
              <w:bottom w:val="single" w:sz="8" w:space="0" w:color="005CB9"/>
            </w:tcBorders>
            <w:shd w:fill="EAEAEA" w:val="clear"/>
            <w:tcMar>
              <w:bottom w:w="28" w:type="dxa"/>
            </w:tcMar>
            <w:vAlign w:val="center"/>
          </w:tcPr>
          <w:p>
            <w:pPr>
              <w:pStyle w:val="TableContents"/>
              <w:spacing w:lineRule="atLeast" w:line="300" w:before="0" w:after="0"/>
              <w:jc w:val="center"/>
              <w:rPr>
                <w:color w:val="005CB9"/>
              </w:rPr>
            </w:pPr>
            <w:r>
              <w:rPr>
                <w:color w:val="005CB9"/>
              </w:rPr>
              <w:t>∎</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27050" cy="159385"/>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527050" cy="159385"/>
                    </a:xfrm>
                    <a:prstGeom prst="rect">
                      <a:avLst/>
                    </a:prstGeom>
                  </pic:spPr>
                </pic:pic>
              </a:graphicData>
            </a:graphic>
          </wp:inline>
        </w:drawing>
      </w:r>
      <w:r>
        <w:rPr/>
        <w:t xml:space="preserve"> </w:t>
      </w:r>
    </w:p>
    <w:p>
      <w:pPr>
        <w:pStyle w:val="TextBody"/>
        <w:spacing w:before="0" w:after="0"/>
        <w:jc w:val="left"/>
        <w:rPr/>
      </w:pPr>
      <w:r>
        <w:rPr/>
        <w:t> </w:t>
      </w:r>
    </w:p>
    <w:tbl>
      <w:tblPr>
        <w:tblW w:w="607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21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color w:val="005CB9"/>
              </w:rPr>
            </w:pPr>
            <w:r>
              <w:rPr>
                <w:color w:val="005CB9"/>
              </w:rPr>
              <w:t> </w:t>
            </w:r>
            <w:r>
              <w:rPr>
                <w:b/>
                <w:color w:val="005CB9"/>
              </w:rPr>
              <w:t>9</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20"/>
        </w:rPr>
      </w:pPr>
      <w:r>
        <w:rPr>
          <w:rFonts w:ascii="ARIAL" w:hAnsi="ARIAL"/>
          <w:color w:val="005CB9"/>
          <w:sz w:val="20"/>
        </w:rPr>
        <w:t xml:space="preserve">CORPORATE GOVERNANCE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3110230" cy="4792980"/>
                <wp:effectExtent l="0" t="0" r="0" b="0"/>
                <wp:wrapSquare wrapText="largest"/>
                <wp:docPr id="57" name="Frame5"/>
                <a:graphic xmlns:a="http://schemas.openxmlformats.org/drawingml/2006/main">
                  <a:graphicData uri="http://schemas.microsoft.com/office/word/2010/wordprocessingShape">
                    <wps:wsp>
                      <wps:cNvSpPr txBox="1"/>
                      <wps:spPr>
                        <a:xfrm>
                          <a:off x="0" y="0"/>
                          <a:ext cx="3110230" cy="4792980"/>
                        </a:xfrm>
                        <a:prstGeom prst="rect"/>
                      </wps:spPr>
                      <wps:txbx>
                        <w:txbxContent>
                          <w:p>
                            <w:pPr>
                              <w:pStyle w:val="TextBody"/>
                              <w:spacing w:before="0" w:after="0"/>
                              <w:rPr>
                                <w:rFonts w:ascii="ARIAL" w:hAnsi="ARIAL"/>
                                <w:b/>
                                <w:color w:val="005CB9"/>
                                <w:sz w:val="20"/>
                              </w:rPr>
                            </w:pPr>
                            <w:r>
                              <w:rPr>
                                <w:rFonts w:ascii="ARIAL" w:hAnsi="ARIAL"/>
                                <w:b/>
                                <w:color w:val="005CB9"/>
                                <w:sz w:val="20"/>
                              </w:rPr>
                              <w:t xml:space="preserve">Proxy Access </w:t>
                            </w:r>
                          </w:p>
                          <w:p>
                            <w:pPr>
                              <w:pStyle w:val="TextBody"/>
                              <w:spacing w:before="120" w:after="0"/>
                              <w:rPr>
                                <w:rFonts w:ascii="ARIAL" w:hAnsi="ARIAL"/>
                                <w:sz w:val="19"/>
                              </w:rPr>
                            </w:pPr>
                            <w:r>
                              <w:rPr>
                                <w:rFonts w:ascii="ARIAL" w:hAnsi="ARIAL"/>
                                <w:sz w:val="19"/>
                              </w:rPr>
                              <w:t xml:space="preserve">Our By-laws enable a shareholder, or a group of up to twenty shareholders, owning 3% or more of the Company’s outstanding common stock continuously for at least three years to nominate and include in our proxy materials up to the greater of two directors or 20% of the number of our directors then in office, provided that the shareholders and the nominees satisfy the requirements set forth in the By-laws. </w:t>
                            </w:r>
                          </w:p>
                          <w:p>
                            <w:pPr>
                              <w:pStyle w:val="TextBody"/>
                              <w:spacing w:before="240" w:after="0"/>
                              <w:rPr>
                                <w:rFonts w:ascii="ARIAL" w:hAnsi="ARIAL"/>
                                <w:b/>
                                <w:color w:val="005CB9"/>
                                <w:sz w:val="20"/>
                              </w:rPr>
                            </w:pPr>
                            <w:r>
                              <w:rPr>
                                <w:rFonts w:ascii="ARIAL" w:hAnsi="ARIAL"/>
                                <w:b/>
                                <w:color w:val="005CB9"/>
                                <w:sz w:val="20"/>
                              </w:rPr>
                              <w:t xml:space="preserve">Review and Approval of Related Person Transactions </w:t>
                            </w:r>
                          </w:p>
                          <w:p>
                            <w:pPr>
                              <w:pStyle w:val="TextBody"/>
                              <w:spacing w:before="120" w:after="0"/>
                              <w:rPr>
                                <w:rFonts w:ascii="ARIAL" w:hAnsi="ARIAL"/>
                                <w:sz w:val="19"/>
                              </w:rPr>
                            </w:pPr>
                            <w:r>
                              <w:rPr>
                                <w:rFonts w:ascii="ARIAL" w:hAnsi="ARIAL"/>
                                <w:sz w:val="19"/>
                              </w:rPr>
                              <w:t xml:space="preserve">The Audit Committee is responsible for reviewing and approving, as appropriate, all transactions with related persons. Although we have not adopted written procedures for reviewing related person transactions, we will review any relationship or transaction in which the Company and our directors, executive officers or their immediate family members are participants to determine whether such persons have a direct or indirect material interest. There were no related person transactions during 2022. </w:t>
                            </w:r>
                          </w:p>
                          <w:p>
                            <w:pPr>
                              <w:pStyle w:val="TextBody"/>
                              <w:spacing w:before="240" w:after="0"/>
                              <w:rPr>
                                <w:rFonts w:ascii="ARIAL" w:hAnsi="ARIAL"/>
                                <w:b/>
                                <w:color w:val="005CB9"/>
                                <w:sz w:val="20"/>
                              </w:rPr>
                            </w:pPr>
                            <w:r>
                              <w:rPr>
                                <w:rFonts w:ascii="ARIAL" w:hAnsi="ARIAL"/>
                                <w:b/>
                                <w:color w:val="005CB9"/>
                                <w:sz w:val="20"/>
                              </w:rPr>
                              <w:t xml:space="preserve">Shareholder Communications </w:t>
                            </w:r>
                          </w:p>
                          <w:p>
                            <w:pPr>
                              <w:pStyle w:val="TextBody"/>
                              <w:spacing w:before="120" w:after="0"/>
                              <w:rPr>
                                <w:rFonts w:ascii="ARIAL" w:hAnsi="ARIAL"/>
                                <w:sz w:val="19"/>
                              </w:rPr>
                            </w:pPr>
                            <w:r>
                              <w:rPr>
                                <w:rFonts w:ascii="ARIAL" w:hAnsi="ARIAL"/>
                                <w:sz w:val="19"/>
                              </w:rPr>
                              <w:t xml:space="preserve">Shareholders or other interested parties may send written communications to our Board of Directors or non-management Board members in care of the Corporate Secretary to the address set forth below. </w:t>
                            </w:r>
                          </w:p>
                          <w:p>
                            <w:pPr>
                              <w:pStyle w:val="TextBody"/>
                              <w:spacing w:before="120" w:after="0"/>
                              <w:rPr>
                                <w:rFonts w:ascii="ARIAL" w:hAnsi="ARIAL"/>
                                <w:sz w:val="19"/>
                              </w:rPr>
                            </w:pPr>
                            <w:r>
                              <w:rPr>
                                <w:rFonts w:ascii="ARIAL" w:hAnsi="ARIAL"/>
                                <w:sz w:val="19"/>
                              </w:rPr>
                              <w:t xml:space="preserve">This process is also set forth on our website at </w:t>
                            </w:r>
                            <w:r>
                              <w:rPr>
                                <w:rFonts w:ascii="ARIAL" w:hAnsi="ARIAL"/>
                                <w:i/>
                                <w:sz w:val="19"/>
                              </w:rPr>
                              <w:t>www.ropertech.com</w:t>
                            </w:r>
                            <w:r>
                              <w:rPr>
                                <w:rFonts w:ascii="ARIAL" w:hAnsi="ARIAL"/>
                                <w:sz w:val="19"/>
                              </w:rPr>
                              <w:t xml:space="preserve">. All communications will be kept confidential and promptly forwarded to the appropriate director. Items unrelated to a director’s duties and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77.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05CB9"/>
                          <w:sz w:val="20"/>
                        </w:rPr>
                      </w:pPr>
                      <w:r>
                        <w:rPr>
                          <w:rFonts w:ascii="ARIAL" w:hAnsi="ARIAL"/>
                          <w:b/>
                          <w:color w:val="005CB9"/>
                          <w:sz w:val="20"/>
                        </w:rPr>
                        <w:t xml:space="preserve">Proxy Access </w:t>
                      </w:r>
                    </w:p>
                    <w:p>
                      <w:pPr>
                        <w:pStyle w:val="TextBody"/>
                        <w:spacing w:before="120" w:after="0"/>
                        <w:rPr>
                          <w:rFonts w:ascii="ARIAL" w:hAnsi="ARIAL"/>
                          <w:sz w:val="19"/>
                        </w:rPr>
                      </w:pPr>
                      <w:r>
                        <w:rPr>
                          <w:rFonts w:ascii="ARIAL" w:hAnsi="ARIAL"/>
                          <w:sz w:val="19"/>
                        </w:rPr>
                        <w:t xml:space="preserve">Our By-laws enable a shareholder, or a group of up to twenty shareholders, owning 3% or more of the Company’s outstanding common stock continuously for at least three years to nominate and include in our proxy materials up to the greater of two directors or 20% of the number of our directors then in office, provided that the shareholders and the nominees satisfy the requirements set forth in the By-laws. </w:t>
                      </w:r>
                    </w:p>
                    <w:p>
                      <w:pPr>
                        <w:pStyle w:val="TextBody"/>
                        <w:spacing w:before="240" w:after="0"/>
                        <w:rPr>
                          <w:rFonts w:ascii="ARIAL" w:hAnsi="ARIAL"/>
                          <w:b/>
                          <w:color w:val="005CB9"/>
                          <w:sz w:val="20"/>
                        </w:rPr>
                      </w:pPr>
                      <w:r>
                        <w:rPr>
                          <w:rFonts w:ascii="ARIAL" w:hAnsi="ARIAL"/>
                          <w:b/>
                          <w:color w:val="005CB9"/>
                          <w:sz w:val="20"/>
                        </w:rPr>
                        <w:t xml:space="preserve">Review and Approval of Related Person Transactions </w:t>
                      </w:r>
                    </w:p>
                    <w:p>
                      <w:pPr>
                        <w:pStyle w:val="TextBody"/>
                        <w:spacing w:before="120" w:after="0"/>
                        <w:rPr>
                          <w:rFonts w:ascii="ARIAL" w:hAnsi="ARIAL"/>
                          <w:sz w:val="19"/>
                        </w:rPr>
                      </w:pPr>
                      <w:r>
                        <w:rPr>
                          <w:rFonts w:ascii="ARIAL" w:hAnsi="ARIAL"/>
                          <w:sz w:val="19"/>
                        </w:rPr>
                        <w:t xml:space="preserve">The Audit Committee is responsible for reviewing and approving, as appropriate, all transactions with related persons. Although we have not adopted written procedures for reviewing related person transactions, we will review any relationship or transaction in which the Company and our directors, executive officers or their immediate family members are participants to determine whether such persons have a direct or indirect material interest. There were no related person transactions during 2022. </w:t>
                      </w:r>
                    </w:p>
                    <w:p>
                      <w:pPr>
                        <w:pStyle w:val="TextBody"/>
                        <w:spacing w:before="240" w:after="0"/>
                        <w:rPr>
                          <w:rFonts w:ascii="ARIAL" w:hAnsi="ARIAL"/>
                          <w:b/>
                          <w:color w:val="005CB9"/>
                          <w:sz w:val="20"/>
                        </w:rPr>
                      </w:pPr>
                      <w:r>
                        <w:rPr>
                          <w:rFonts w:ascii="ARIAL" w:hAnsi="ARIAL"/>
                          <w:b/>
                          <w:color w:val="005CB9"/>
                          <w:sz w:val="20"/>
                        </w:rPr>
                        <w:t xml:space="preserve">Shareholder Communications </w:t>
                      </w:r>
                    </w:p>
                    <w:p>
                      <w:pPr>
                        <w:pStyle w:val="TextBody"/>
                        <w:spacing w:before="120" w:after="0"/>
                        <w:rPr>
                          <w:rFonts w:ascii="ARIAL" w:hAnsi="ARIAL"/>
                          <w:sz w:val="19"/>
                        </w:rPr>
                      </w:pPr>
                      <w:r>
                        <w:rPr>
                          <w:rFonts w:ascii="ARIAL" w:hAnsi="ARIAL"/>
                          <w:sz w:val="19"/>
                        </w:rPr>
                        <w:t xml:space="preserve">Shareholders or other interested parties may send written communications to our Board of Directors or non-management Board members in care of the Corporate Secretary to the address set forth below. </w:t>
                      </w:r>
                    </w:p>
                    <w:p>
                      <w:pPr>
                        <w:pStyle w:val="TextBody"/>
                        <w:spacing w:before="120" w:after="0"/>
                        <w:rPr>
                          <w:rFonts w:ascii="ARIAL" w:hAnsi="ARIAL"/>
                          <w:sz w:val="19"/>
                        </w:rPr>
                      </w:pPr>
                      <w:r>
                        <w:rPr>
                          <w:rFonts w:ascii="ARIAL" w:hAnsi="ARIAL"/>
                          <w:sz w:val="19"/>
                        </w:rPr>
                        <w:t xml:space="preserve">This process is also set forth on our website at </w:t>
                      </w:r>
                      <w:r>
                        <w:rPr>
                          <w:rFonts w:ascii="ARIAL" w:hAnsi="ARIAL"/>
                          <w:i/>
                          <w:sz w:val="19"/>
                        </w:rPr>
                        <w:t>www.ropertech.com</w:t>
                      </w:r>
                      <w:r>
                        <w:rPr>
                          <w:rFonts w:ascii="ARIAL" w:hAnsi="ARIAL"/>
                          <w:sz w:val="19"/>
                        </w:rPr>
                        <w:t xml:space="preserve">. All communications will be kept confidential and promptly forwarded to the appropriate director. Items unrelated to a director’s duties and </w:t>
                      </w:r>
                    </w:p>
                  </w:txbxContent>
                </v:textbox>
                <w10:wrap type="square" side="right"/>
              </v:rect>
            </w:pict>
          </mc:Fallback>
        </mc:AlternateConten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3175000" cy="4485640"/>
                <wp:effectExtent l="0" t="0" r="0" b="0"/>
                <wp:wrapSquare wrapText="largest"/>
                <wp:docPr id="58" name="Frame6"/>
                <a:graphic xmlns:a="http://schemas.openxmlformats.org/drawingml/2006/main">
                  <a:graphicData uri="http://schemas.microsoft.com/office/word/2010/wordprocessingShape">
                    <wps:wsp>
                      <wps:cNvSpPr txBox="1"/>
                      <wps:spPr>
                        <a:xfrm>
                          <a:off x="0" y="0"/>
                          <a:ext cx="3175000" cy="4485640"/>
                        </a:xfrm>
                        <a:prstGeom prst="rect"/>
                      </wps:spPr>
                      <wps:txbx>
                        <w:txbxContent>
                          <w:p>
                            <w:pPr>
                              <w:pStyle w:val="TextBody"/>
                              <w:spacing w:before="0" w:after="0"/>
                              <w:rPr>
                                <w:rFonts w:ascii="ARIAL" w:hAnsi="ARIAL"/>
                                <w:sz w:val="19"/>
                              </w:rPr>
                            </w:pPr>
                            <w:r>
                              <w:rPr>
                                <w:rFonts w:ascii="ARIAL" w:hAnsi="ARIAL"/>
                                <w:sz w:val="19"/>
                              </w:rPr>
                              <w:t xml:space="preserve">responsibilities as a Board member may be excluded by the Corporate Secretary, including, without limitation: solicitations and advertisements; junk mail; product-related communications; job referral materials such as resumes; surveys; and material that is determined to be illegal or otherwise inappropriate. The director to whom such information is addressed is informed that the information has been removed, and that it will be made available to such director upon request. </w:t>
                            </w:r>
                          </w:p>
                          <w:p>
                            <w:pPr>
                              <w:pStyle w:val="TextBody"/>
                              <w:spacing w:before="120" w:after="0"/>
                              <w:rPr>
                                <w:rFonts w:ascii="ARIAL" w:hAnsi="ARIAL"/>
                                <w:sz w:val="19"/>
                              </w:rPr>
                            </w:pPr>
                            <w:r>
                              <w:rPr>
                                <w:rFonts w:ascii="ARIAL" w:hAnsi="ARIAL"/>
                                <w:sz w:val="19"/>
                              </w:rPr>
                              <w:t xml:space="preserve">Our Corporate Governance Guidelines, Code of Ethics, Director Independence Standards, and By-laws are available on our website at </w:t>
                            </w:r>
                            <w:r>
                              <w:rPr>
                                <w:rFonts w:ascii="ARIAL" w:hAnsi="ARIAL"/>
                                <w:i/>
                                <w:sz w:val="19"/>
                              </w:rPr>
                              <w:t>www.ropertech.com/governance-documents</w:t>
                            </w:r>
                            <w:r>
                              <w:rPr>
                                <w:rFonts w:ascii="ARIAL" w:hAnsi="ARIAL"/>
                                <w:sz w:val="19"/>
                              </w:rPr>
                              <w:t xml:space="preserve">. Requests for copies of these documents or of the full text of the By-law provision regarding director candidate nominations and communications to our Board of Directors or non-management Board members should be addressed to: </w:t>
                            </w:r>
                          </w:p>
                          <w:p>
                            <w:pPr>
                              <w:pStyle w:val="TextBody"/>
                              <w:spacing w:before="120" w:after="0"/>
                              <w:ind w:left="760" w:right="0" w:hanging="0"/>
                              <w:rPr>
                                <w:rFonts w:ascii="ARIAL" w:hAnsi="ARIAL"/>
                                <w:sz w:val="19"/>
                              </w:rPr>
                            </w:pPr>
                            <w:r>
                              <w:rPr>
                                <w:rFonts w:ascii="ARIAL" w:hAnsi="ARIAL"/>
                                <w:sz w:val="19"/>
                              </w:rPr>
                              <w:t xml:space="preserve">Before July 1, 2023: </w:t>
                            </w:r>
                          </w:p>
                          <w:p>
                            <w:pPr>
                              <w:pStyle w:val="TextBody"/>
                              <w:spacing w:before="240" w:after="0"/>
                              <w:ind w:left="760" w:right="0" w:hanging="0"/>
                              <w:rPr>
                                <w:rFonts w:ascii="ARIAL" w:hAnsi="ARIAL"/>
                                <w:sz w:val="19"/>
                              </w:rPr>
                            </w:pPr>
                            <w:r>
                              <w:rPr>
                                <w:rFonts w:ascii="ARIAL" w:hAnsi="ARIAL"/>
                                <w:sz w:val="19"/>
                              </w:rPr>
                              <w:t xml:space="preserve">Roper Technologies, Inc. </w:t>
                            </w:r>
                          </w:p>
                          <w:p>
                            <w:pPr>
                              <w:pStyle w:val="TextBody"/>
                              <w:spacing w:before="0" w:after="0"/>
                              <w:ind w:left="760" w:right="0" w:hanging="0"/>
                              <w:rPr>
                                <w:rFonts w:ascii="ARIAL" w:hAnsi="ARIAL"/>
                                <w:sz w:val="19"/>
                              </w:rPr>
                            </w:pPr>
                            <w:r>
                              <w:rPr>
                                <w:rFonts w:ascii="ARIAL" w:hAnsi="ARIAL"/>
                                <w:sz w:val="19"/>
                              </w:rPr>
                              <w:t xml:space="preserve">6901 Professional Parkway </w:t>
                            </w:r>
                          </w:p>
                          <w:p>
                            <w:pPr>
                              <w:pStyle w:val="TextBody"/>
                              <w:spacing w:before="0" w:after="0"/>
                              <w:ind w:left="760" w:right="0" w:hanging="0"/>
                              <w:rPr>
                                <w:rFonts w:ascii="ARIAL" w:hAnsi="ARIAL"/>
                                <w:sz w:val="19"/>
                              </w:rPr>
                            </w:pPr>
                            <w:r>
                              <w:rPr>
                                <w:rFonts w:ascii="ARIAL" w:hAnsi="ARIAL"/>
                                <w:sz w:val="19"/>
                              </w:rPr>
                              <w:t xml:space="preserve">Suite 200 </w:t>
                            </w:r>
                          </w:p>
                          <w:p>
                            <w:pPr>
                              <w:pStyle w:val="TextBody"/>
                              <w:spacing w:before="0" w:after="0"/>
                              <w:ind w:left="760" w:right="0" w:hanging="0"/>
                              <w:rPr>
                                <w:rFonts w:ascii="ARIAL" w:hAnsi="ARIAL"/>
                                <w:sz w:val="19"/>
                              </w:rPr>
                            </w:pPr>
                            <w:r>
                              <w:rPr>
                                <w:rFonts w:ascii="ARIAL" w:hAnsi="ARIAL"/>
                                <w:sz w:val="19"/>
                              </w:rPr>
                              <w:t xml:space="preserve">Sarasota, Florida 34240 </w:t>
                            </w:r>
                          </w:p>
                          <w:p>
                            <w:pPr>
                              <w:pStyle w:val="TextBody"/>
                              <w:spacing w:before="0" w:after="0"/>
                              <w:ind w:left="760" w:right="0" w:hanging="0"/>
                              <w:rPr>
                                <w:rFonts w:ascii="ARIAL" w:hAnsi="ARIAL"/>
                                <w:sz w:val="19"/>
                              </w:rPr>
                            </w:pPr>
                            <w:r>
                              <w:rPr>
                                <w:rFonts w:ascii="ARIAL" w:hAnsi="ARIAL"/>
                                <w:sz w:val="19"/>
                              </w:rPr>
                              <w:t xml:space="preserve">Attention: Corporate Secretary </w:t>
                            </w:r>
                          </w:p>
                          <w:p>
                            <w:pPr>
                              <w:pStyle w:val="TextBody"/>
                              <w:spacing w:before="240" w:after="0"/>
                              <w:ind w:left="760" w:right="0" w:hanging="0"/>
                              <w:rPr>
                                <w:rFonts w:ascii="ARIAL" w:hAnsi="ARIAL"/>
                                <w:sz w:val="19"/>
                              </w:rPr>
                            </w:pPr>
                            <w:r>
                              <w:rPr>
                                <w:rFonts w:ascii="ARIAL" w:hAnsi="ARIAL"/>
                                <w:sz w:val="19"/>
                              </w:rPr>
                              <w:t xml:space="preserve">After July 1, 2023 </w:t>
                            </w:r>
                          </w:p>
                          <w:p>
                            <w:pPr>
                              <w:pStyle w:val="TextBody"/>
                              <w:spacing w:before="240" w:after="0"/>
                              <w:ind w:left="760" w:right="0" w:hanging="0"/>
                              <w:rPr>
                                <w:rFonts w:ascii="ARIAL" w:hAnsi="ARIAL"/>
                                <w:sz w:val="19"/>
                              </w:rPr>
                            </w:pPr>
                            <w:r>
                              <w:rPr>
                                <w:rFonts w:ascii="ARIAL" w:hAnsi="ARIAL"/>
                                <w:sz w:val="19"/>
                              </w:rPr>
                              <w:t xml:space="preserve">Roper Technologies, Inc. </w:t>
                            </w:r>
                          </w:p>
                          <w:p>
                            <w:pPr>
                              <w:pStyle w:val="TextBody"/>
                              <w:spacing w:before="0" w:after="0"/>
                              <w:ind w:left="760" w:right="0" w:hanging="0"/>
                              <w:rPr>
                                <w:rFonts w:ascii="ARIAL" w:hAnsi="ARIAL"/>
                                <w:sz w:val="19"/>
                              </w:rPr>
                            </w:pPr>
                            <w:r>
                              <w:rPr>
                                <w:rFonts w:ascii="ARIAL" w:hAnsi="ARIAL"/>
                                <w:sz w:val="19"/>
                              </w:rPr>
                              <w:t xml:space="preserve">6496 University Parkway </w:t>
                            </w:r>
                          </w:p>
                          <w:p>
                            <w:pPr>
                              <w:pStyle w:val="TextBody"/>
                              <w:spacing w:before="0" w:after="0"/>
                              <w:ind w:left="760" w:right="0" w:hanging="0"/>
                              <w:rPr>
                                <w:rFonts w:ascii="ARIAL" w:hAnsi="ARIAL"/>
                                <w:sz w:val="19"/>
                              </w:rPr>
                            </w:pPr>
                            <w:r>
                              <w:rPr>
                                <w:rFonts w:ascii="ARIAL" w:hAnsi="ARIAL"/>
                                <w:sz w:val="19"/>
                              </w:rPr>
                              <w:t xml:space="preserve">Sarasota, Florida 34240 </w:t>
                            </w:r>
                          </w:p>
                          <w:p>
                            <w:pPr>
                              <w:pStyle w:val="TextBody"/>
                              <w:spacing w:before="0" w:after="0"/>
                              <w:ind w:left="760" w:right="0" w:hanging="0"/>
                              <w:rPr>
                                <w:rFonts w:ascii="ARIAL" w:hAnsi="ARIAL"/>
                                <w:sz w:val="19"/>
                              </w:rPr>
                            </w:pPr>
                            <w:r>
                              <w:rPr>
                                <w:rFonts w:ascii="ARIAL" w:hAnsi="ARIAL"/>
                                <w:sz w:val="19"/>
                              </w:rPr>
                              <w:t xml:space="preserve">Attention: Corporate Secretary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53.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responsibilities as a Board member may be excluded by the Corporate Secretary, including, without limitation: solicitations and advertisements; junk mail; product-related communications; job referral materials such as resumes; surveys; and material that is determined to be illegal or otherwise inappropriate. The director to whom such information is addressed is informed that the information has been removed, and that it will be made available to such director upon request. </w:t>
                      </w:r>
                    </w:p>
                    <w:p>
                      <w:pPr>
                        <w:pStyle w:val="TextBody"/>
                        <w:spacing w:before="120" w:after="0"/>
                        <w:rPr>
                          <w:rFonts w:ascii="ARIAL" w:hAnsi="ARIAL"/>
                          <w:sz w:val="19"/>
                        </w:rPr>
                      </w:pPr>
                      <w:r>
                        <w:rPr>
                          <w:rFonts w:ascii="ARIAL" w:hAnsi="ARIAL"/>
                          <w:sz w:val="19"/>
                        </w:rPr>
                        <w:t xml:space="preserve">Our Corporate Governance Guidelines, Code of Ethics, Director Independence Standards, and By-laws are available on our website at </w:t>
                      </w:r>
                      <w:r>
                        <w:rPr>
                          <w:rFonts w:ascii="ARIAL" w:hAnsi="ARIAL"/>
                          <w:i/>
                          <w:sz w:val="19"/>
                        </w:rPr>
                        <w:t>www.ropertech.com/governance-documents</w:t>
                      </w:r>
                      <w:r>
                        <w:rPr>
                          <w:rFonts w:ascii="ARIAL" w:hAnsi="ARIAL"/>
                          <w:sz w:val="19"/>
                        </w:rPr>
                        <w:t xml:space="preserve">. Requests for copies of these documents or of the full text of the By-law provision regarding director candidate nominations and communications to our Board of Directors or non-management Board members should be addressed to: </w:t>
                      </w:r>
                    </w:p>
                    <w:p>
                      <w:pPr>
                        <w:pStyle w:val="TextBody"/>
                        <w:spacing w:before="120" w:after="0"/>
                        <w:ind w:left="760" w:right="0" w:hanging="0"/>
                        <w:rPr>
                          <w:rFonts w:ascii="ARIAL" w:hAnsi="ARIAL"/>
                          <w:sz w:val="19"/>
                        </w:rPr>
                      </w:pPr>
                      <w:r>
                        <w:rPr>
                          <w:rFonts w:ascii="ARIAL" w:hAnsi="ARIAL"/>
                          <w:sz w:val="19"/>
                        </w:rPr>
                        <w:t xml:space="preserve">Before July 1, 2023: </w:t>
                      </w:r>
                    </w:p>
                    <w:p>
                      <w:pPr>
                        <w:pStyle w:val="TextBody"/>
                        <w:spacing w:before="240" w:after="0"/>
                        <w:ind w:left="760" w:right="0" w:hanging="0"/>
                        <w:rPr>
                          <w:rFonts w:ascii="ARIAL" w:hAnsi="ARIAL"/>
                          <w:sz w:val="19"/>
                        </w:rPr>
                      </w:pPr>
                      <w:r>
                        <w:rPr>
                          <w:rFonts w:ascii="ARIAL" w:hAnsi="ARIAL"/>
                          <w:sz w:val="19"/>
                        </w:rPr>
                        <w:t xml:space="preserve">Roper Technologies, Inc. </w:t>
                      </w:r>
                    </w:p>
                    <w:p>
                      <w:pPr>
                        <w:pStyle w:val="TextBody"/>
                        <w:spacing w:before="0" w:after="0"/>
                        <w:ind w:left="760" w:right="0" w:hanging="0"/>
                        <w:rPr>
                          <w:rFonts w:ascii="ARIAL" w:hAnsi="ARIAL"/>
                          <w:sz w:val="19"/>
                        </w:rPr>
                      </w:pPr>
                      <w:r>
                        <w:rPr>
                          <w:rFonts w:ascii="ARIAL" w:hAnsi="ARIAL"/>
                          <w:sz w:val="19"/>
                        </w:rPr>
                        <w:t xml:space="preserve">6901 Professional Parkway </w:t>
                      </w:r>
                    </w:p>
                    <w:p>
                      <w:pPr>
                        <w:pStyle w:val="TextBody"/>
                        <w:spacing w:before="0" w:after="0"/>
                        <w:ind w:left="760" w:right="0" w:hanging="0"/>
                        <w:rPr>
                          <w:rFonts w:ascii="ARIAL" w:hAnsi="ARIAL"/>
                          <w:sz w:val="19"/>
                        </w:rPr>
                      </w:pPr>
                      <w:r>
                        <w:rPr>
                          <w:rFonts w:ascii="ARIAL" w:hAnsi="ARIAL"/>
                          <w:sz w:val="19"/>
                        </w:rPr>
                        <w:t xml:space="preserve">Suite 200 </w:t>
                      </w:r>
                    </w:p>
                    <w:p>
                      <w:pPr>
                        <w:pStyle w:val="TextBody"/>
                        <w:spacing w:before="0" w:after="0"/>
                        <w:ind w:left="760" w:right="0" w:hanging="0"/>
                        <w:rPr>
                          <w:rFonts w:ascii="ARIAL" w:hAnsi="ARIAL"/>
                          <w:sz w:val="19"/>
                        </w:rPr>
                      </w:pPr>
                      <w:r>
                        <w:rPr>
                          <w:rFonts w:ascii="ARIAL" w:hAnsi="ARIAL"/>
                          <w:sz w:val="19"/>
                        </w:rPr>
                        <w:t xml:space="preserve">Sarasota, Florida 34240 </w:t>
                      </w:r>
                    </w:p>
                    <w:p>
                      <w:pPr>
                        <w:pStyle w:val="TextBody"/>
                        <w:spacing w:before="0" w:after="0"/>
                        <w:ind w:left="760" w:right="0" w:hanging="0"/>
                        <w:rPr>
                          <w:rFonts w:ascii="ARIAL" w:hAnsi="ARIAL"/>
                          <w:sz w:val="19"/>
                        </w:rPr>
                      </w:pPr>
                      <w:r>
                        <w:rPr>
                          <w:rFonts w:ascii="ARIAL" w:hAnsi="ARIAL"/>
                          <w:sz w:val="19"/>
                        </w:rPr>
                        <w:t xml:space="preserve">Attention: Corporate Secretary </w:t>
                      </w:r>
                    </w:p>
                    <w:p>
                      <w:pPr>
                        <w:pStyle w:val="TextBody"/>
                        <w:spacing w:before="240" w:after="0"/>
                        <w:ind w:left="760" w:right="0" w:hanging="0"/>
                        <w:rPr>
                          <w:rFonts w:ascii="ARIAL" w:hAnsi="ARIAL"/>
                          <w:sz w:val="19"/>
                        </w:rPr>
                      </w:pPr>
                      <w:r>
                        <w:rPr>
                          <w:rFonts w:ascii="ARIAL" w:hAnsi="ARIAL"/>
                          <w:sz w:val="19"/>
                        </w:rPr>
                        <w:t xml:space="preserve">After July 1, 2023 </w:t>
                      </w:r>
                    </w:p>
                    <w:p>
                      <w:pPr>
                        <w:pStyle w:val="TextBody"/>
                        <w:spacing w:before="240" w:after="0"/>
                        <w:ind w:left="760" w:right="0" w:hanging="0"/>
                        <w:rPr>
                          <w:rFonts w:ascii="ARIAL" w:hAnsi="ARIAL"/>
                          <w:sz w:val="19"/>
                        </w:rPr>
                      </w:pPr>
                      <w:r>
                        <w:rPr>
                          <w:rFonts w:ascii="ARIAL" w:hAnsi="ARIAL"/>
                          <w:sz w:val="19"/>
                        </w:rPr>
                        <w:t xml:space="preserve">Roper Technologies, Inc. </w:t>
                      </w:r>
                    </w:p>
                    <w:p>
                      <w:pPr>
                        <w:pStyle w:val="TextBody"/>
                        <w:spacing w:before="0" w:after="0"/>
                        <w:ind w:left="760" w:right="0" w:hanging="0"/>
                        <w:rPr>
                          <w:rFonts w:ascii="ARIAL" w:hAnsi="ARIAL"/>
                          <w:sz w:val="19"/>
                        </w:rPr>
                      </w:pPr>
                      <w:r>
                        <w:rPr>
                          <w:rFonts w:ascii="ARIAL" w:hAnsi="ARIAL"/>
                          <w:sz w:val="19"/>
                        </w:rPr>
                        <w:t xml:space="preserve">6496 University Parkway </w:t>
                      </w:r>
                    </w:p>
                    <w:p>
                      <w:pPr>
                        <w:pStyle w:val="TextBody"/>
                        <w:spacing w:before="0" w:after="0"/>
                        <w:ind w:left="760" w:right="0" w:hanging="0"/>
                        <w:rPr>
                          <w:rFonts w:ascii="ARIAL" w:hAnsi="ARIAL"/>
                          <w:sz w:val="19"/>
                        </w:rPr>
                      </w:pPr>
                      <w:r>
                        <w:rPr>
                          <w:rFonts w:ascii="ARIAL" w:hAnsi="ARIAL"/>
                          <w:sz w:val="19"/>
                        </w:rPr>
                        <w:t xml:space="preserve">Sarasota, Florida 34240 </w:t>
                      </w:r>
                    </w:p>
                    <w:p>
                      <w:pPr>
                        <w:pStyle w:val="TextBody"/>
                        <w:spacing w:before="0" w:after="0"/>
                        <w:ind w:left="760" w:right="0" w:hanging="0"/>
                        <w:rPr>
                          <w:rFonts w:ascii="ARIAL" w:hAnsi="ARIAL"/>
                          <w:sz w:val="19"/>
                        </w:rPr>
                      </w:pPr>
                      <w:r>
                        <w:rPr>
                          <w:rFonts w:ascii="ARIAL" w:hAnsi="ARIAL"/>
                          <w:sz w:val="19"/>
                        </w:rPr>
                        <w:t xml:space="preserve">Attention: Corporate Secretary </w:t>
                      </w:r>
                    </w:p>
                  </w:txbxContent>
                </v:textbox>
                <w10:wrap type="square" side="right"/>
              </v:rect>
            </w:pict>
          </mc:Fallback>
        </mc:AlternateConten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10</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3" descr=""/>
                          <pic:cNvPicPr>
                            <a:picLocks noChangeAspect="1" noChangeArrowheads="1"/>
                          </pic:cNvPicPr>
                        </pic:nvPicPr>
                        <pic:blipFill>
                          <a:blip r:embed="rId54"/>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32"/>
        </w:rPr>
      </w:pPr>
      <w:bookmarkStart w:id="7" w:name="toc356364_5"/>
      <w:bookmarkEnd w:id="7"/>
      <w:r>
        <w:rPr>
          <w:rFonts w:ascii="ARIAL" w:hAnsi="ARIAL"/>
          <w:color w:val="005CB9"/>
          <w:sz w:val="32"/>
        </w:rPr>
        <w:t xml:space="preserve">ESG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3110230" cy="6910070"/>
                <wp:effectExtent l="0" t="0" r="0" b="0"/>
                <wp:wrapSquare wrapText="largest"/>
                <wp:docPr id="60" name="Frame7"/>
                <a:graphic xmlns:a="http://schemas.openxmlformats.org/drawingml/2006/main">
                  <a:graphicData uri="http://schemas.microsoft.com/office/word/2010/wordprocessingShape">
                    <wps:wsp>
                      <wps:cNvSpPr txBox="1"/>
                      <wps:spPr>
                        <a:xfrm>
                          <a:off x="0" y="0"/>
                          <a:ext cx="3110230" cy="6910070"/>
                        </a:xfrm>
                        <a:prstGeom prst="rect"/>
                      </wps:spPr>
                      <wps:txbx>
                        <w:txbxContent>
                          <w:p>
                            <w:pPr>
                              <w:pStyle w:val="TextBody"/>
                              <w:spacing w:before="0" w:after="0"/>
                              <w:rPr>
                                <w:rFonts w:ascii="ARIAL" w:hAnsi="ARIAL"/>
                                <w:sz w:val="19"/>
                              </w:rPr>
                            </w:pPr>
                            <w:r>
                              <w:rPr>
                                <w:rFonts w:ascii="ARIAL" w:hAnsi="ARIAL"/>
                                <w:sz w:val="19"/>
                              </w:rPr>
                              <w:t xml:space="preserve">We endeavor to conduct our business in an ethically and socially responsible manner. We also recognize the importance of these topics with our current and potential future shareholders, customers and employees. In April 2022, we published our first comprehensive enterprise-wide Environmental, Social, and Governance (ESG) Report and in [April 2023] we published an ESG update report. In the update report we provide a more comprehensive inventory of our Scope 1 and 2 emissions and provide our first disclosure of water usage. </w:t>
                            </w:r>
                          </w:p>
                          <w:p>
                            <w:pPr>
                              <w:pStyle w:val="TextBody"/>
                              <w:spacing w:before="240" w:after="0"/>
                              <w:rPr>
                                <w:rFonts w:ascii="ARIAL" w:hAnsi="ARIAL"/>
                                <w:sz w:val="19"/>
                              </w:rPr>
                            </w:pPr>
                            <w:r>
                              <w:rPr>
                                <w:rFonts w:ascii="ARIAL" w:hAnsi="ARIAL"/>
                                <w:sz w:val="19"/>
                              </w:rPr>
                              <w:t xml:space="preserve">Although Roper’s operating and governance structure is highly decentralized, our goal is to provide an environment and governance system that enables each business to further improve over time. This includes not only our financial performance, but our performance in other areas such as climate change, human rights and diversity, equity, and inclusion. Our businesses are expected to improve each year in these areas, and we afford our leaders latitude to develop programs to drive the expected performance improvement in ESG, and our commitment is to be transparent about our progress. </w:t>
                            </w:r>
                          </w:p>
                          <w:p>
                            <w:pPr>
                              <w:pStyle w:val="TextBody"/>
                              <w:spacing w:before="220" w:after="0"/>
                              <w:rPr>
                                <w:rFonts w:ascii="ARIAL" w:hAnsi="ARIAL"/>
                                <w:b/>
                                <w:color w:val="005CB9"/>
                                <w:sz w:val="20"/>
                              </w:rPr>
                            </w:pPr>
                            <w:r>
                              <w:rPr>
                                <w:rFonts w:ascii="ARIAL" w:hAnsi="ARIAL"/>
                                <w:b/>
                                <w:color w:val="005CB9"/>
                                <w:sz w:val="20"/>
                              </w:rPr>
                              <w:t xml:space="preserve">ESG Strategy and Roadmap </w:t>
                            </w:r>
                          </w:p>
                          <w:p>
                            <w:pPr>
                              <w:pStyle w:val="TextBody"/>
                              <w:spacing w:before="120" w:after="0"/>
                              <w:rPr>
                                <w:rFonts w:ascii="ARIAL" w:hAnsi="ARIAL"/>
                                <w:sz w:val="19"/>
                              </w:rPr>
                            </w:pPr>
                            <w:r>
                              <w:rPr>
                                <w:rFonts w:ascii="ARIAL" w:hAnsi="ARIAL"/>
                                <w:sz w:val="19"/>
                              </w:rPr>
                              <w:t xml:space="preserve">Our strategic, collaborative approach to identifying and addressing our most impactful ESG areas has enabled us to continue to make progress in better understanding how we, together with our operating businesses, can make the most significant, positive impact. </w:t>
                            </w:r>
                          </w:p>
                          <w:p>
                            <w:pPr>
                              <w:pStyle w:val="TextBody"/>
                              <w:spacing w:before="240" w:after="0"/>
                              <w:rPr>
                                <w:rFonts w:ascii="ARIAL" w:hAnsi="ARIAL"/>
                                <w:sz w:val="19"/>
                              </w:rPr>
                            </w:pPr>
                            <w:r>
                              <w:rPr>
                                <w:rFonts w:ascii="ARIAL" w:hAnsi="ARIAL"/>
                                <w:sz w:val="19"/>
                              </w:rPr>
                              <w:t xml:space="preserve">We have developed an ESG Roadmap to help us identify our priorities, engage our businesses, and articulate the next steps in building our program. Many of our businesses have taken significant steps to address ESG-related topics, while others are just beginning. As part of our 2022 Roadmap, Roper made its first submission to the Carbon Disclosure Project (CDP). An important step in our 2023 Roadmap is to develop and implement emission reduction targets. This will require providing our businesses with the necessary training and guidance to support this effort. </w:t>
                            </w:r>
                          </w:p>
                          <w:p>
                            <w:pPr>
                              <w:pStyle w:val="TextBody"/>
                              <w:spacing w:before="240" w:after="0"/>
                              <w:rPr>
                                <w:rFonts w:ascii="ARIAL" w:hAnsi="ARIAL"/>
                                <w:sz w:val="19"/>
                              </w:rPr>
                            </w:pPr>
                            <w:r>
                              <w:rPr>
                                <w:rFonts w:ascii="ARIAL" w:hAnsi="ARIAL"/>
                                <w:sz w:val="19"/>
                              </w:rPr>
                              <w:t xml:space="preserve">Given the highly decentralized operating model of our company, and the diversity in size and industry of our operating businesses, we envision making progress by empowering each of our businesses to focus on the unique needs of their respective stakeholders while providing a common structure for strategic and collaborative development.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4.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We endeavor to conduct our business in an ethically and socially responsible manner. We also recognize the importance of these topics with our current and potential future shareholders, customers and employees. In April 2022, we published our first comprehensive enterprise-wide Environmental, Social, and Governance (ESG) Report and in [April 2023] we published an ESG update report. In the update report we provide a more comprehensive inventory of our Scope 1 and 2 emissions and provide our first disclosure of water usage. </w:t>
                      </w:r>
                    </w:p>
                    <w:p>
                      <w:pPr>
                        <w:pStyle w:val="TextBody"/>
                        <w:spacing w:before="240" w:after="0"/>
                        <w:rPr>
                          <w:rFonts w:ascii="ARIAL" w:hAnsi="ARIAL"/>
                          <w:sz w:val="19"/>
                        </w:rPr>
                      </w:pPr>
                      <w:r>
                        <w:rPr>
                          <w:rFonts w:ascii="ARIAL" w:hAnsi="ARIAL"/>
                          <w:sz w:val="19"/>
                        </w:rPr>
                        <w:t xml:space="preserve">Although Roper’s operating and governance structure is highly decentralized, our goal is to provide an environment and governance system that enables each business to further improve over time. This includes not only our financial performance, but our performance in other areas such as climate change, human rights and diversity, equity, and inclusion. Our businesses are expected to improve each year in these areas, and we afford our leaders latitude to develop programs to drive the expected performance improvement in ESG, and our commitment is to be transparent about our progress. </w:t>
                      </w:r>
                    </w:p>
                    <w:p>
                      <w:pPr>
                        <w:pStyle w:val="TextBody"/>
                        <w:spacing w:before="220" w:after="0"/>
                        <w:rPr>
                          <w:rFonts w:ascii="ARIAL" w:hAnsi="ARIAL"/>
                          <w:b/>
                          <w:color w:val="005CB9"/>
                          <w:sz w:val="20"/>
                        </w:rPr>
                      </w:pPr>
                      <w:r>
                        <w:rPr>
                          <w:rFonts w:ascii="ARIAL" w:hAnsi="ARIAL"/>
                          <w:b/>
                          <w:color w:val="005CB9"/>
                          <w:sz w:val="20"/>
                        </w:rPr>
                        <w:t xml:space="preserve">ESG Strategy and Roadmap </w:t>
                      </w:r>
                    </w:p>
                    <w:p>
                      <w:pPr>
                        <w:pStyle w:val="TextBody"/>
                        <w:spacing w:before="120" w:after="0"/>
                        <w:rPr>
                          <w:rFonts w:ascii="ARIAL" w:hAnsi="ARIAL"/>
                          <w:sz w:val="19"/>
                        </w:rPr>
                      </w:pPr>
                      <w:r>
                        <w:rPr>
                          <w:rFonts w:ascii="ARIAL" w:hAnsi="ARIAL"/>
                          <w:sz w:val="19"/>
                        </w:rPr>
                        <w:t xml:space="preserve">Our strategic, collaborative approach to identifying and addressing our most impactful ESG areas has enabled us to continue to make progress in better understanding how we, together with our operating businesses, can make the most significant, positive impact. </w:t>
                      </w:r>
                    </w:p>
                    <w:p>
                      <w:pPr>
                        <w:pStyle w:val="TextBody"/>
                        <w:spacing w:before="240" w:after="0"/>
                        <w:rPr>
                          <w:rFonts w:ascii="ARIAL" w:hAnsi="ARIAL"/>
                          <w:sz w:val="19"/>
                        </w:rPr>
                      </w:pPr>
                      <w:r>
                        <w:rPr>
                          <w:rFonts w:ascii="ARIAL" w:hAnsi="ARIAL"/>
                          <w:sz w:val="19"/>
                        </w:rPr>
                        <w:t xml:space="preserve">We have developed an ESG Roadmap to help us identify our priorities, engage our businesses, and articulate the next steps in building our program. Many of our businesses have taken significant steps to address ESG-related topics, while others are just beginning. As part of our 2022 Roadmap, Roper made its first submission to the Carbon Disclosure Project (CDP). An important step in our 2023 Roadmap is to develop and implement emission reduction targets. This will require providing our businesses with the necessary training and guidance to support this effort. </w:t>
                      </w:r>
                    </w:p>
                    <w:p>
                      <w:pPr>
                        <w:pStyle w:val="TextBody"/>
                        <w:spacing w:before="240" w:after="0"/>
                        <w:rPr>
                          <w:rFonts w:ascii="ARIAL" w:hAnsi="ARIAL"/>
                          <w:sz w:val="19"/>
                        </w:rPr>
                      </w:pPr>
                      <w:r>
                        <w:rPr>
                          <w:rFonts w:ascii="ARIAL" w:hAnsi="ARIAL"/>
                          <w:sz w:val="19"/>
                        </w:rPr>
                        <w:t xml:space="preserve">Given the highly decentralized operating model of our company, and the diversity in size and industry of our operating businesses, we envision making progress by empowering each of our businesses to focus on the unique needs of their respective stakeholders while providing a common structure for strategic and collaborative development. </w:t>
                      </w:r>
                    </w:p>
                  </w:txbxContent>
                </v:textbox>
                <w10:wrap type="square" side="right"/>
              </v:rect>
            </w:pict>
          </mc:Fallback>
        </mc:AlternateConten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3175000" cy="5619115"/>
                <wp:effectExtent l="0" t="0" r="0" b="0"/>
                <wp:wrapSquare wrapText="largest"/>
                <wp:docPr id="61" name="Frame8"/>
                <a:graphic xmlns:a="http://schemas.openxmlformats.org/drawingml/2006/main">
                  <a:graphicData uri="http://schemas.microsoft.com/office/word/2010/wordprocessingShape">
                    <wps:wsp>
                      <wps:cNvSpPr txBox="1"/>
                      <wps:spPr>
                        <a:xfrm>
                          <a:off x="0" y="0"/>
                          <a:ext cx="3175000" cy="5619115"/>
                        </a:xfrm>
                        <a:prstGeom prst="rect"/>
                      </wps:spPr>
                      <wps:txbx>
                        <w:txbxContent>
                          <w:p>
                            <w:pPr>
                              <w:pStyle w:val="TextBody"/>
                              <w:spacing w:before="0" w:after="0"/>
                              <w:rPr>
                                <w:rFonts w:ascii="ARIAL" w:hAnsi="ARIAL"/>
                                <w:sz w:val="19"/>
                              </w:rPr>
                            </w:pPr>
                            <w:r>
                              <w:rPr>
                                <w:rFonts w:ascii="ARIAL" w:hAnsi="ARIAL"/>
                                <w:sz w:val="19"/>
                              </w:rPr>
                              <w:t xml:space="preserve">Our Chief ESG Officer oversees our ESG program and each of our businesses has appointed an ESG Coordinator to support continued progress along our ESG Roadmap. The coordinators serve an essential role as we sustain the momentum generated from our collective ESG effort. Our ESG governance structure is set forth below: </w:t>
                            </w:r>
                          </w:p>
                          <w:p>
                            <w:pPr>
                              <w:pStyle w:val="TextBody"/>
                              <w:spacing w:before="0" w:after="0"/>
                              <w:rPr/>
                            </w:pPr>
                            <w:r>
                              <w:rPr/>
                              <w:t> </w:t>
                            </w:r>
                          </w:p>
                          <w:p>
                            <w:pPr>
                              <w:pStyle w:val="TextBody"/>
                              <w:spacing w:before="0" w:after="0"/>
                              <w:rPr/>
                            </w:pPr>
                            <w:r>
                              <w:rPr/>
                              <w:t> </w:t>
                            </w:r>
                          </w:p>
                          <w:p>
                            <w:pPr>
                              <w:pStyle w:val="TextBody"/>
                              <w:spacing w:before="0" w:after="0"/>
                              <w:jc w:val="center"/>
                              <w:rPr/>
                            </w:pPr>
                            <w:r>
                              <w:rPr/>
                              <w:drawing>
                                <wp:inline distT="0" distB="0" distL="0" distR="0">
                                  <wp:extent cx="294005" cy="167005"/>
                                  <wp:effectExtent l="0" t="0" r="0" b="0"/>
                                  <wp:docPr id="6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4" descr=""/>
                                          <pic:cNvPicPr>
                                            <a:picLocks noChangeAspect="1" noChangeArrowheads="1"/>
                                          </pic:cNvPicPr>
                                        </pic:nvPicPr>
                                        <pic:blipFill>
                                          <a:blip r:embed="rId55"/>
                                          <a:stretch>
                                            <a:fillRect/>
                                          </a:stretch>
                                        </pic:blipFill>
                                        <pic:spPr bwMode="auto">
                                          <a:xfrm>
                                            <a:off x="0" y="0"/>
                                            <a:ext cx="294005" cy="167005"/>
                                          </a:xfrm>
                                          <a:prstGeom prst="rect">
                                            <a:avLst/>
                                          </a:prstGeom>
                                        </pic:spPr>
                                      </pic:pic>
                                    </a:graphicData>
                                  </a:graphic>
                                </wp:inline>
                              </w:drawing>
                            </w:r>
                            <w:r>
                              <w:rPr/>
                              <w:t xml:space="preserve"> </w:t>
                            </w:r>
                          </w:p>
                          <w:p>
                            <w:pPr>
                              <w:pStyle w:val="TextBody"/>
                              <w:spacing w:before="240" w:after="0"/>
                              <w:rPr>
                                <w:rFonts w:ascii="ARIAL" w:hAnsi="ARIAL"/>
                                <w:b/>
                                <w:color w:val="005CB9"/>
                                <w:sz w:val="20"/>
                              </w:rPr>
                            </w:pPr>
                            <w:r>
                              <w:rPr>
                                <w:rFonts w:ascii="ARIAL" w:hAnsi="ARIAL"/>
                                <w:b/>
                                <w:color w:val="005CB9"/>
                                <w:sz w:val="20"/>
                              </w:rPr>
                              <w:t xml:space="preserve">Approach to ESG </w:t>
                            </w:r>
                          </w:p>
                          <w:p>
                            <w:pPr>
                              <w:pStyle w:val="TextBody"/>
                              <w:spacing w:before="120" w:after="0"/>
                              <w:rPr>
                                <w:rFonts w:ascii="ARIAL" w:hAnsi="ARIAL"/>
                                <w:sz w:val="19"/>
                              </w:rPr>
                            </w:pPr>
                            <w:r>
                              <w:rPr>
                                <w:rFonts w:ascii="ARIAL" w:hAnsi="ARIAL"/>
                                <w:sz w:val="19"/>
                              </w:rPr>
                              <w:t xml:space="preserve">In developing our Roper ESG strategy, our priority was to align with existing Roper operating principles. Our method of management recognizes the diversity of our businesses and allows and encourages their respective strengths and areas of opportunity to develop organically. </w:t>
                            </w:r>
                          </w:p>
                          <w:p>
                            <w:pPr>
                              <w:pStyle w:val="TextBody"/>
                              <w:spacing w:before="240" w:after="0"/>
                              <w:rPr>
                                <w:rFonts w:ascii="ARIAL" w:hAnsi="ARIAL"/>
                                <w:sz w:val="19"/>
                              </w:rPr>
                            </w:pPr>
                            <w:r>
                              <w:rPr>
                                <w:rFonts w:ascii="ARIAL" w:hAnsi="ARIAL"/>
                                <w:sz w:val="19"/>
                              </w:rPr>
                              <w:t xml:space="preserve">In 2022, we updated our benchmarking and materiality assessment and continued our stakeholder engagement. Our plan remains to publish comprehensive ESG reports every other year and more data-focused updates in the interim years. </w:t>
                            </w:r>
                          </w:p>
                          <w:p>
                            <w:pPr>
                              <w:pStyle w:val="TextBody"/>
                              <w:spacing w:before="240" w:after="0"/>
                              <w:rPr>
                                <w:rFonts w:ascii="ARIAL" w:hAnsi="ARIAL"/>
                                <w:sz w:val="19"/>
                              </w:rPr>
                            </w:pPr>
                            <w:r>
                              <w:rPr>
                                <w:rFonts w:ascii="ARIAL" w:hAnsi="ARIAL"/>
                                <w:sz w:val="19"/>
                              </w:rPr>
                              <w:t xml:space="preserve">We intend to maintain our unique operational approach and allow our businesses to operate under our decentralized governance structure (and determine the methods for improving performance), while we provide encouragement, support and assistance on ESG matters. To aid this effort, we engaged a third party sustainability consultant to supplement the efforts of Roper’s ESG team and to provide technical expertise with respect to greenhouse gas reporting.     </w:t>
                            </w:r>
                          </w:p>
                          <w:p>
                            <w:pPr>
                              <w:pStyle w:val="TextBody"/>
                              <w:spacing w:before="240" w:after="0"/>
                              <w:rPr>
                                <w:rFonts w:ascii="ARIAL" w:hAnsi="ARIAL"/>
                                <w:b/>
                                <w:color w:val="005CB9"/>
                                <w:sz w:val="20"/>
                              </w:rPr>
                            </w:pPr>
                            <w:r>
                              <w:rPr>
                                <w:rFonts w:ascii="ARIAL" w:hAnsi="ARIAL"/>
                                <w:b/>
                                <w:color w:val="005CB9"/>
                                <w:sz w:val="20"/>
                              </w:rPr>
                              <w:t xml:space="preserve">ESG Material Aspects </w:t>
                            </w:r>
                          </w:p>
                          <w:p>
                            <w:pPr>
                              <w:pStyle w:val="TextBody"/>
                              <w:spacing w:before="120" w:after="0"/>
                              <w:rPr>
                                <w:rFonts w:ascii="ARIAL" w:hAnsi="ARIAL"/>
                                <w:sz w:val="19"/>
                              </w:rPr>
                            </w:pPr>
                            <w:r>
                              <w:rPr>
                                <w:rFonts w:ascii="ARIAL" w:hAnsi="ARIAL"/>
                                <w:sz w:val="19"/>
                              </w:rPr>
                              <w:t xml:space="preserve">We developed our ESG material topic list by referencing benchmarking analyses, investor and management interview insights, policy gap analyses, and engagement with our businesses.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42.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Our Chief ESG Officer oversees our ESG program and each of our businesses has appointed an ESG Coordinator to support continued progress along our ESG Roadmap. The coordinators serve an essential role as we sustain the momentum generated from our collective ESG effort. Our ESG governance structure is set forth below: </w:t>
                      </w:r>
                    </w:p>
                    <w:p>
                      <w:pPr>
                        <w:pStyle w:val="TextBody"/>
                        <w:spacing w:before="0" w:after="0"/>
                        <w:rPr/>
                      </w:pPr>
                      <w:r>
                        <w:rPr/>
                        <w:t> </w:t>
                      </w:r>
                    </w:p>
                    <w:p>
                      <w:pPr>
                        <w:pStyle w:val="TextBody"/>
                        <w:spacing w:before="0" w:after="0"/>
                        <w:rPr/>
                      </w:pPr>
                      <w:r>
                        <w:rPr/>
                        <w:t> </w:t>
                      </w:r>
                    </w:p>
                    <w:p>
                      <w:pPr>
                        <w:pStyle w:val="TextBody"/>
                        <w:spacing w:before="0" w:after="0"/>
                        <w:jc w:val="center"/>
                        <w:rPr/>
                      </w:pPr>
                      <w:r>
                        <w:rPr/>
                        <w:drawing>
                          <wp:inline distT="0" distB="0" distL="0" distR="0">
                            <wp:extent cx="294005" cy="167005"/>
                            <wp:effectExtent l="0" t="0" r="0" b="0"/>
                            <wp:docPr id="6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4" descr=""/>
                                    <pic:cNvPicPr>
                                      <a:picLocks noChangeAspect="1" noChangeArrowheads="1"/>
                                    </pic:cNvPicPr>
                                  </pic:nvPicPr>
                                  <pic:blipFill>
                                    <a:blip r:embed="rId55"/>
                                    <a:stretch>
                                      <a:fillRect/>
                                    </a:stretch>
                                  </pic:blipFill>
                                  <pic:spPr bwMode="auto">
                                    <a:xfrm>
                                      <a:off x="0" y="0"/>
                                      <a:ext cx="294005" cy="167005"/>
                                    </a:xfrm>
                                    <a:prstGeom prst="rect">
                                      <a:avLst/>
                                    </a:prstGeom>
                                  </pic:spPr>
                                </pic:pic>
                              </a:graphicData>
                            </a:graphic>
                          </wp:inline>
                        </w:drawing>
                      </w:r>
                      <w:r>
                        <w:rPr/>
                        <w:t xml:space="preserve"> </w:t>
                      </w:r>
                    </w:p>
                    <w:p>
                      <w:pPr>
                        <w:pStyle w:val="TextBody"/>
                        <w:spacing w:before="240" w:after="0"/>
                        <w:rPr>
                          <w:rFonts w:ascii="ARIAL" w:hAnsi="ARIAL"/>
                          <w:b/>
                          <w:color w:val="005CB9"/>
                          <w:sz w:val="20"/>
                        </w:rPr>
                      </w:pPr>
                      <w:r>
                        <w:rPr>
                          <w:rFonts w:ascii="ARIAL" w:hAnsi="ARIAL"/>
                          <w:b/>
                          <w:color w:val="005CB9"/>
                          <w:sz w:val="20"/>
                        </w:rPr>
                        <w:t xml:space="preserve">Approach to ESG </w:t>
                      </w:r>
                    </w:p>
                    <w:p>
                      <w:pPr>
                        <w:pStyle w:val="TextBody"/>
                        <w:spacing w:before="120" w:after="0"/>
                        <w:rPr>
                          <w:rFonts w:ascii="ARIAL" w:hAnsi="ARIAL"/>
                          <w:sz w:val="19"/>
                        </w:rPr>
                      </w:pPr>
                      <w:r>
                        <w:rPr>
                          <w:rFonts w:ascii="ARIAL" w:hAnsi="ARIAL"/>
                          <w:sz w:val="19"/>
                        </w:rPr>
                        <w:t xml:space="preserve">In developing our Roper ESG strategy, our priority was to align with existing Roper operating principles. Our method of management recognizes the diversity of our businesses and allows and encourages their respective strengths and areas of opportunity to develop organically. </w:t>
                      </w:r>
                    </w:p>
                    <w:p>
                      <w:pPr>
                        <w:pStyle w:val="TextBody"/>
                        <w:spacing w:before="240" w:after="0"/>
                        <w:rPr>
                          <w:rFonts w:ascii="ARIAL" w:hAnsi="ARIAL"/>
                          <w:sz w:val="19"/>
                        </w:rPr>
                      </w:pPr>
                      <w:r>
                        <w:rPr>
                          <w:rFonts w:ascii="ARIAL" w:hAnsi="ARIAL"/>
                          <w:sz w:val="19"/>
                        </w:rPr>
                        <w:t xml:space="preserve">In 2022, we updated our benchmarking and materiality assessment and continued our stakeholder engagement. Our plan remains to publish comprehensive ESG reports every other year and more data-focused updates in the interim years. </w:t>
                      </w:r>
                    </w:p>
                    <w:p>
                      <w:pPr>
                        <w:pStyle w:val="TextBody"/>
                        <w:spacing w:before="240" w:after="0"/>
                        <w:rPr>
                          <w:rFonts w:ascii="ARIAL" w:hAnsi="ARIAL"/>
                          <w:sz w:val="19"/>
                        </w:rPr>
                      </w:pPr>
                      <w:r>
                        <w:rPr>
                          <w:rFonts w:ascii="ARIAL" w:hAnsi="ARIAL"/>
                          <w:sz w:val="19"/>
                        </w:rPr>
                        <w:t xml:space="preserve">We intend to maintain our unique operational approach and allow our businesses to operate under our decentralized governance structure (and determine the methods for improving performance), while we provide encouragement, support and assistance on ESG matters. To aid this effort, we engaged a third party sustainability consultant to supplement the efforts of Roper’s ESG team and to provide technical expertise with respect to greenhouse gas reporting.     </w:t>
                      </w:r>
                    </w:p>
                    <w:p>
                      <w:pPr>
                        <w:pStyle w:val="TextBody"/>
                        <w:spacing w:before="240" w:after="0"/>
                        <w:rPr>
                          <w:rFonts w:ascii="ARIAL" w:hAnsi="ARIAL"/>
                          <w:b/>
                          <w:color w:val="005CB9"/>
                          <w:sz w:val="20"/>
                        </w:rPr>
                      </w:pPr>
                      <w:r>
                        <w:rPr>
                          <w:rFonts w:ascii="ARIAL" w:hAnsi="ARIAL"/>
                          <w:b/>
                          <w:color w:val="005CB9"/>
                          <w:sz w:val="20"/>
                        </w:rPr>
                        <w:t xml:space="preserve">ESG Material Aspects </w:t>
                      </w:r>
                    </w:p>
                    <w:p>
                      <w:pPr>
                        <w:pStyle w:val="TextBody"/>
                        <w:spacing w:before="120" w:after="0"/>
                        <w:rPr>
                          <w:rFonts w:ascii="ARIAL" w:hAnsi="ARIAL"/>
                          <w:sz w:val="19"/>
                        </w:rPr>
                      </w:pPr>
                      <w:r>
                        <w:rPr>
                          <w:rFonts w:ascii="ARIAL" w:hAnsi="ARIAL"/>
                          <w:sz w:val="19"/>
                        </w:rPr>
                        <w:t xml:space="preserve">We developed our ESG material topic list by referencing benchmarking analyses, investor and management interview insights, policy gap analyses, and engagement with our businesses. </w:t>
                      </w:r>
                    </w:p>
                  </w:txbxContent>
                </v:textbox>
                <w10:wrap type="square" side="right"/>
              </v:rect>
            </w:pict>
          </mc:Fallback>
        </mc:AlternateConten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6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5" descr=""/>
                          <pic:cNvPicPr>
                            <a:picLocks noChangeAspect="1" noChangeArrowheads="1"/>
                          </pic:cNvPicPr>
                        </pic:nvPicPr>
                        <pic:blipFill>
                          <a:blip r:embed="rId56"/>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11</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ESG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3110230" cy="5247640"/>
                <wp:effectExtent l="0" t="0" r="0" b="0"/>
                <wp:wrapSquare wrapText="largest"/>
                <wp:docPr id="65" name="Frame9"/>
                <a:graphic xmlns:a="http://schemas.openxmlformats.org/drawingml/2006/main">
                  <a:graphicData uri="http://schemas.microsoft.com/office/word/2010/wordprocessingShape">
                    <wps:wsp>
                      <wps:cNvSpPr txBox="1"/>
                      <wps:spPr>
                        <a:xfrm>
                          <a:off x="0" y="0"/>
                          <a:ext cx="3110230" cy="5247640"/>
                        </a:xfrm>
                        <a:prstGeom prst="rect"/>
                      </wps:spPr>
                      <wps:txbx>
                        <w:txbxContent>
                          <w:p>
                            <w:pPr>
                              <w:pStyle w:val="TextBody"/>
                              <w:spacing w:before="0" w:after="0"/>
                              <w:rPr>
                                <w:rFonts w:ascii="ARIAL" w:hAnsi="ARIAL"/>
                                <w:sz w:val="19"/>
                              </w:rPr>
                            </w:pPr>
                            <w:r>
                              <w:rPr>
                                <w:rFonts w:ascii="ARIAL" w:hAnsi="ARIAL"/>
                                <w:sz w:val="19"/>
                              </w:rPr>
                              <w:t xml:space="preserve">Our material ESG topics will guide us in enhancing the transparency of our ESG disclosures across our businesses. We will also be able to better meet the increasing investor interest in ESG data and information, allowing us to enhance our status as a superior long-term investment. </w:t>
                            </w:r>
                          </w:p>
                          <w:p>
                            <w:pPr>
                              <w:pStyle w:val="TextBody"/>
                              <w:spacing w:before="0" w:after="0"/>
                              <w:rPr/>
                            </w:pPr>
                            <w:r>
                              <w:rPr/>
                              <w:t> </w:t>
                            </w:r>
                          </w:p>
                          <w:tbl>
                            <w:tblPr>
                              <w:tblW w:w="2500" w:type="dxa"/>
                              <w:jc w:val="left"/>
                              <w:tblInd w:w="0" w:type="dxa"/>
                              <w:tblCellMar>
                                <w:top w:w="0" w:type="dxa"/>
                                <w:left w:w="0" w:type="dxa"/>
                                <w:bottom w:w="0" w:type="dxa"/>
                                <w:right w:w="0" w:type="dxa"/>
                              </w:tblCellMar>
                            </w:tblPr>
                            <w:tblGrid>
                              <w:gridCol w:w="75"/>
                              <w:gridCol w:w="110"/>
                              <w:gridCol w:w="60"/>
                              <w:gridCol w:w="22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283"/>
                                    <w:jc w:val="left"/>
                                    <w:rPr/>
                                  </w:pPr>
                                  <w:r>
                                    <w:rPr/>
                                    <w:t xml:space="preserve">Corporate Governance </w:t>
                                  </w:r>
                                </w:p>
                              </w:tc>
                            </w:tr>
                          </w:tbl>
                          <w:p>
                            <w:pPr>
                              <w:pStyle w:val="TextBody"/>
                              <w:spacing w:before="0" w:after="0"/>
                              <w:rPr/>
                            </w:pPr>
                            <w:r>
                              <w:rPr/>
                              <w:t> </w:t>
                            </w:r>
                          </w:p>
                          <w:tbl>
                            <w:tblPr>
                              <w:tblW w:w="3550" w:type="dxa"/>
                              <w:jc w:val="left"/>
                              <w:tblInd w:w="0" w:type="dxa"/>
                              <w:tblCellMar>
                                <w:top w:w="0" w:type="dxa"/>
                                <w:left w:w="0" w:type="dxa"/>
                                <w:bottom w:w="0" w:type="dxa"/>
                                <w:right w:w="0" w:type="dxa"/>
                              </w:tblCellMar>
                            </w:tblPr>
                            <w:tblGrid>
                              <w:gridCol w:w="75"/>
                              <w:gridCol w:w="110"/>
                              <w:gridCol w:w="60"/>
                              <w:gridCol w:w="33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283"/>
                                    <w:jc w:val="left"/>
                                    <w:rPr/>
                                  </w:pPr>
                                  <w:r>
                                    <w:rPr/>
                                    <w:t xml:space="preserve">Culture &amp; Employee Engagement </w:t>
                                  </w:r>
                                </w:p>
                              </w:tc>
                            </w:tr>
                          </w:tbl>
                          <w:p>
                            <w:pPr>
                              <w:pStyle w:val="TextBody"/>
                              <w:spacing w:before="0" w:after="0"/>
                              <w:rPr/>
                            </w:pPr>
                            <w:r>
                              <w:rPr/>
                              <w:t> </w:t>
                            </w:r>
                          </w:p>
                          <w:tbl>
                            <w:tblPr>
                              <w:tblW w:w="3415" w:type="dxa"/>
                              <w:jc w:val="left"/>
                              <w:tblInd w:w="0" w:type="dxa"/>
                              <w:tblCellMar>
                                <w:top w:w="0" w:type="dxa"/>
                                <w:left w:w="0" w:type="dxa"/>
                                <w:bottom w:w="0" w:type="dxa"/>
                                <w:right w:w="0" w:type="dxa"/>
                              </w:tblCellMar>
                            </w:tblPr>
                            <w:tblGrid>
                              <w:gridCol w:w="75"/>
                              <w:gridCol w:w="110"/>
                              <w:gridCol w:w="60"/>
                              <w:gridCol w:w="3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70" w:type="dxa"/>
                                  <w:tcBorders/>
                                  <w:shd w:fill="auto" w:val="clear"/>
                                  <w:vAlign w:val="center"/>
                                </w:tcPr>
                                <w:p>
                                  <w:pPr>
                                    <w:pStyle w:val="TableContents"/>
                                    <w:spacing w:before="0" w:after="283"/>
                                    <w:jc w:val="left"/>
                                    <w:rPr/>
                                  </w:pPr>
                                  <w:r>
                                    <w:rPr/>
                                    <w:t xml:space="preserve">Customer Environmental Impact </w:t>
                                  </w:r>
                                </w:p>
                              </w:tc>
                            </w:tr>
                          </w:tbl>
                          <w:p>
                            <w:pPr>
                              <w:pStyle w:val="TextBody"/>
                              <w:spacing w:before="0" w:after="0"/>
                              <w:rPr/>
                            </w:pPr>
                            <w:r>
                              <w:rPr/>
                              <w:t> </w:t>
                            </w:r>
                          </w:p>
                          <w:tbl>
                            <w:tblPr>
                              <w:tblW w:w="3190" w:type="dxa"/>
                              <w:jc w:val="left"/>
                              <w:tblInd w:w="0" w:type="dxa"/>
                              <w:tblCellMar>
                                <w:top w:w="0" w:type="dxa"/>
                                <w:left w:w="0" w:type="dxa"/>
                                <w:bottom w:w="0" w:type="dxa"/>
                                <w:right w:w="0" w:type="dxa"/>
                              </w:tblCellMar>
                            </w:tblPr>
                            <w:tblGrid>
                              <w:gridCol w:w="75"/>
                              <w:gridCol w:w="110"/>
                              <w:gridCol w:w="60"/>
                              <w:gridCol w:w="29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45" w:type="dxa"/>
                                  <w:tcBorders/>
                                  <w:shd w:fill="auto" w:val="clear"/>
                                  <w:vAlign w:val="center"/>
                                </w:tcPr>
                                <w:p>
                                  <w:pPr>
                                    <w:pStyle w:val="TableContents"/>
                                    <w:spacing w:before="0" w:after="283"/>
                                    <w:jc w:val="left"/>
                                    <w:rPr/>
                                  </w:pPr>
                                  <w:r>
                                    <w:rPr/>
                                    <w:t xml:space="preserve">Data Privacy &amp; Cybersecurity </w:t>
                                  </w:r>
                                </w:p>
                              </w:tc>
                            </w:tr>
                          </w:tbl>
                          <w:p>
                            <w:pPr>
                              <w:pStyle w:val="TextBody"/>
                              <w:spacing w:before="0" w:after="0"/>
                              <w:rPr/>
                            </w:pPr>
                            <w:r>
                              <w:rPr/>
                              <w:t> </w:t>
                            </w:r>
                          </w:p>
                          <w:tbl>
                            <w:tblPr>
                              <w:tblW w:w="3130" w:type="dxa"/>
                              <w:jc w:val="left"/>
                              <w:tblInd w:w="0" w:type="dxa"/>
                              <w:tblCellMar>
                                <w:top w:w="0" w:type="dxa"/>
                                <w:left w:w="0" w:type="dxa"/>
                                <w:bottom w:w="0" w:type="dxa"/>
                                <w:right w:w="0" w:type="dxa"/>
                              </w:tblCellMar>
                            </w:tblPr>
                            <w:tblGrid>
                              <w:gridCol w:w="75"/>
                              <w:gridCol w:w="110"/>
                              <w:gridCol w:w="60"/>
                              <w:gridCol w:w="28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283"/>
                                    <w:jc w:val="left"/>
                                    <w:rPr/>
                                  </w:pPr>
                                  <w:r>
                                    <w:rPr/>
                                    <w:t xml:space="preserve">Diversity, Equity &amp; Inclusion </w:t>
                                  </w:r>
                                </w:p>
                              </w:tc>
                            </w:tr>
                          </w:tbl>
                          <w:p>
                            <w:pPr>
                              <w:pStyle w:val="TextBody"/>
                              <w:spacing w:before="0" w:after="0"/>
                              <w:rPr/>
                            </w:pPr>
                            <w:r>
                              <w:rPr/>
                              <w:t> </w:t>
                            </w:r>
                          </w:p>
                          <w:tbl>
                            <w:tblPr>
                              <w:tblW w:w="2290" w:type="dxa"/>
                              <w:jc w:val="left"/>
                              <w:tblInd w:w="0" w:type="dxa"/>
                              <w:tblCellMar>
                                <w:top w:w="0" w:type="dxa"/>
                                <w:left w:w="0" w:type="dxa"/>
                                <w:bottom w:w="0" w:type="dxa"/>
                                <w:right w:w="0" w:type="dxa"/>
                              </w:tblCellMar>
                            </w:tblPr>
                            <w:tblGrid>
                              <w:gridCol w:w="75"/>
                              <w:gridCol w:w="110"/>
                              <w:gridCol w:w="60"/>
                              <w:gridCol w:w="20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45" w:type="dxa"/>
                                  <w:tcBorders/>
                                  <w:shd w:fill="auto" w:val="clear"/>
                                  <w:vAlign w:val="center"/>
                                </w:tcPr>
                                <w:p>
                                  <w:pPr>
                                    <w:pStyle w:val="TableContents"/>
                                    <w:spacing w:before="0" w:after="283"/>
                                    <w:jc w:val="left"/>
                                    <w:rPr/>
                                  </w:pPr>
                                  <w:r>
                                    <w:rPr/>
                                    <w:t xml:space="preserve">Energy &amp; Emissions </w:t>
                                  </w:r>
                                </w:p>
                              </w:tc>
                            </w:tr>
                          </w:tbl>
                          <w:p>
                            <w:pPr>
                              <w:pStyle w:val="TextBody"/>
                              <w:spacing w:before="0" w:after="0"/>
                              <w:rPr/>
                            </w:pPr>
                            <w:r>
                              <w:rPr/>
                              <w:t> </w:t>
                            </w:r>
                          </w:p>
                          <w:tbl>
                            <w:tblPr>
                              <w:tblW w:w="2365" w:type="dxa"/>
                              <w:jc w:val="left"/>
                              <w:tblInd w:w="0" w:type="dxa"/>
                              <w:tblCellMar>
                                <w:top w:w="0" w:type="dxa"/>
                                <w:left w:w="0" w:type="dxa"/>
                                <w:bottom w:w="0" w:type="dxa"/>
                                <w:right w:w="0" w:type="dxa"/>
                              </w:tblCellMar>
                            </w:tblPr>
                            <w:tblGrid>
                              <w:gridCol w:w="75"/>
                              <w:gridCol w:w="110"/>
                              <w:gridCol w:w="60"/>
                              <w:gridCol w:w="21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jc w:val="left"/>
                                    <w:rPr/>
                                  </w:pPr>
                                  <w:r>
                                    <w:rPr/>
                                    <w:t xml:space="preserve">Ethics &amp; Compliance </w:t>
                                  </w:r>
                                </w:p>
                              </w:tc>
                            </w:tr>
                          </w:tbl>
                          <w:p>
                            <w:pPr>
                              <w:pStyle w:val="TextBody"/>
                              <w:spacing w:before="0" w:after="0"/>
                              <w:rPr/>
                            </w:pPr>
                            <w:r>
                              <w:rPr/>
                              <w:t> </w:t>
                            </w:r>
                          </w:p>
                          <w:tbl>
                            <w:tblPr>
                              <w:tblW w:w="1720" w:type="dxa"/>
                              <w:jc w:val="left"/>
                              <w:tblInd w:w="0" w:type="dxa"/>
                              <w:tblCellMar>
                                <w:top w:w="0" w:type="dxa"/>
                                <w:left w:w="0" w:type="dxa"/>
                                <w:bottom w:w="0" w:type="dxa"/>
                                <w:right w:w="0" w:type="dxa"/>
                              </w:tblCellMar>
                            </w:tblPr>
                            <w:tblGrid>
                              <w:gridCol w:w="75"/>
                              <w:gridCol w:w="110"/>
                              <w:gridCol w:w="60"/>
                              <w:gridCol w:w="1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75" w:type="dxa"/>
                                  <w:tcBorders/>
                                  <w:shd w:fill="auto" w:val="clear"/>
                                  <w:vAlign w:val="center"/>
                                </w:tcPr>
                                <w:p>
                                  <w:pPr>
                                    <w:pStyle w:val="TableContents"/>
                                    <w:spacing w:before="0" w:after="283"/>
                                    <w:jc w:val="left"/>
                                    <w:rPr/>
                                  </w:pPr>
                                  <w:r>
                                    <w:rPr/>
                                    <w:t xml:space="preserve">Human Rights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13.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Our material ESG topics will guide us in enhancing the transparency of our ESG disclosures across our businesses. We will also be able to better meet the increasing investor interest in ESG data and information, allowing us to enhance our status as a superior long-term investment. </w:t>
                      </w:r>
                    </w:p>
                    <w:p>
                      <w:pPr>
                        <w:pStyle w:val="TextBody"/>
                        <w:spacing w:before="0" w:after="0"/>
                        <w:rPr/>
                      </w:pPr>
                      <w:r>
                        <w:rPr/>
                        <w:t> </w:t>
                      </w:r>
                    </w:p>
                    <w:tbl>
                      <w:tblPr>
                        <w:tblW w:w="2500" w:type="dxa"/>
                        <w:jc w:val="left"/>
                        <w:tblInd w:w="0" w:type="dxa"/>
                        <w:tblCellMar>
                          <w:top w:w="0" w:type="dxa"/>
                          <w:left w:w="0" w:type="dxa"/>
                          <w:bottom w:w="0" w:type="dxa"/>
                          <w:right w:w="0" w:type="dxa"/>
                        </w:tblCellMar>
                      </w:tblPr>
                      <w:tblGrid>
                        <w:gridCol w:w="75"/>
                        <w:gridCol w:w="110"/>
                        <w:gridCol w:w="60"/>
                        <w:gridCol w:w="22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283"/>
                              <w:jc w:val="left"/>
                              <w:rPr/>
                            </w:pPr>
                            <w:r>
                              <w:rPr/>
                              <w:t xml:space="preserve">Corporate Governance </w:t>
                            </w:r>
                          </w:p>
                        </w:tc>
                      </w:tr>
                    </w:tbl>
                    <w:p>
                      <w:pPr>
                        <w:pStyle w:val="TextBody"/>
                        <w:spacing w:before="0" w:after="0"/>
                        <w:rPr/>
                      </w:pPr>
                      <w:r>
                        <w:rPr/>
                        <w:t> </w:t>
                      </w:r>
                    </w:p>
                    <w:tbl>
                      <w:tblPr>
                        <w:tblW w:w="3550" w:type="dxa"/>
                        <w:jc w:val="left"/>
                        <w:tblInd w:w="0" w:type="dxa"/>
                        <w:tblCellMar>
                          <w:top w:w="0" w:type="dxa"/>
                          <w:left w:w="0" w:type="dxa"/>
                          <w:bottom w:w="0" w:type="dxa"/>
                          <w:right w:w="0" w:type="dxa"/>
                        </w:tblCellMar>
                      </w:tblPr>
                      <w:tblGrid>
                        <w:gridCol w:w="75"/>
                        <w:gridCol w:w="110"/>
                        <w:gridCol w:w="60"/>
                        <w:gridCol w:w="33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283"/>
                              <w:jc w:val="left"/>
                              <w:rPr/>
                            </w:pPr>
                            <w:r>
                              <w:rPr/>
                              <w:t xml:space="preserve">Culture &amp; Employee Engagement </w:t>
                            </w:r>
                          </w:p>
                        </w:tc>
                      </w:tr>
                    </w:tbl>
                    <w:p>
                      <w:pPr>
                        <w:pStyle w:val="TextBody"/>
                        <w:spacing w:before="0" w:after="0"/>
                        <w:rPr/>
                      </w:pPr>
                      <w:r>
                        <w:rPr/>
                        <w:t> </w:t>
                      </w:r>
                    </w:p>
                    <w:tbl>
                      <w:tblPr>
                        <w:tblW w:w="3415" w:type="dxa"/>
                        <w:jc w:val="left"/>
                        <w:tblInd w:w="0" w:type="dxa"/>
                        <w:tblCellMar>
                          <w:top w:w="0" w:type="dxa"/>
                          <w:left w:w="0" w:type="dxa"/>
                          <w:bottom w:w="0" w:type="dxa"/>
                          <w:right w:w="0" w:type="dxa"/>
                        </w:tblCellMar>
                      </w:tblPr>
                      <w:tblGrid>
                        <w:gridCol w:w="75"/>
                        <w:gridCol w:w="110"/>
                        <w:gridCol w:w="60"/>
                        <w:gridCol w:w="3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70" w:type="dxa"/>
                            <w:tcBorders/>
                            <w:shd w:fill="auto" w:val="clear"/>
                            <w:vAlign w:val="center"/>
                          </w:tcPr>
                          <w:p>
                            <w:pPr>
                              <w:pStyle w:val="TableContents"/>
                              <w:spacing w:before="0" w:after="283"/>
                              <w:jc w:val="left"/>
                              <w:rPr/>
                            </w:pPr>
                            <w:r>
                              <w:rPr/>
                              <w:t xml:space="preserve">Customer Environmental Impact </w:t>
                            </w:r>
                          </w:p>
                        </w:tc>
                      </w:tr>
                    </w:tbl>
                    <w:p>
                      <w:pPr>
                        <w:pStyle w:val="TextBody"/>
                        <w:spacing w:before="0" w:after="0"/>
                        <w:rPr/>
                      </w:pPr>
                      <w:r>
                        <w:rPr/>
                        <w:t> </w:t>
                      </w:r>
                    </w:p>
                    <w:tbl>
                      <w:tblPr>
                        <w:tblW w:w="3190" w:type="dxa"/>
                        <w:jc w:val="left"/>
                        <w:tblInd w:w="0" w:type="dxa"/>
                        <w:tblCellMar>
                          <w:top w:w="0" w:type="dxa"/>
                          <w:left w:w="0" w:type="dxa"/>
                          <w:bottom w:w="0" w:type="dxa"/>
                          <w:right w:w="0" w:type="dxa"/>
                        </w:tblCellMar>
                      </w:tblPr>
                      <w:tblGrid>
                        <w:gridCol w:w="75"/>
                        <w:gridCol w:w="110"/>
                        <w:gridCol w:w="60"/>
                        <w:gridCol w:w="29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45" w:type="dxa"/>
                            <w:tcBorders/>
                            <w:shd w:fill="auto" w:val="clear"/>
                            <w:vAlign w:val="center"/>
                          </w:tcPr>
                          <w:p>
                            <w:pPr>
                              <w:pStyle w:val="TableContents"/>
                              <w:spacing w:before="0" w:after="283"/>
                              <w:jc w:val="left"/>
                              <w:rPr/>
                            </w:pPr>
                            <w:r>
                              <w:rPr/>
                              <w:t xml:space="preserve">Data Privacy &amp; Cybersecurity </w:t>
                            </w:r>
                          </w:p>
                        </w:tc>
                      </w:tr>
                    </w:tbl>
                    <w:p>
                      <w:pPr>
                        <w:pStyle w:val="TextBody"/>
                        <w:spacing w:before="0" w:after="0"/>
                        <w:rPr/>
                      </w:pPr>
                      <w:r>
                        <w:rPr/>
                        <w:t> </w:t>
                      </w:r>
                    </w:p>
                    <w:tbl>
                      <w:tblPr>
                        <w:tblW w:w="3130" w:type="dxa"/>
                        <w:jc w:val="left"/>
                        <w:tblInd w:w="0" w:type="dxa"/>
                        <w:tblCellMar>
                          <w:top w:w="0" w:type="dxa"/>
                          <w:left w:w="0" w:type="dxa"/>
                          <w:bottom w:w="0" w:type="dxa"/>
                          <w:right w:w="0" w:type="dxa"/>
                        </w:tblCellMar>
                      </w:tblPr>
                      <w:tblGrid>
                        <w:gridCol w:w="75"/>
                        <w:gridCol w:w="110"/>
                        <w:gridCol w:w="60"/>
                        <w:gridCol w:w="28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283"/>
                              <w:jc w:val="left"/>
                              <w:rPr/>
                            </w:pPr>
                            <w:r>
                              <w:rPr/>
                              <w:t xml:space="preserve">Diversity, Equity &amp; Inclusion </w:t>
                            </w:r>
                          </w:p>
                        </w:tc>
                      </w:tr>
                    </w:tbl>
                    <w:p>
                      <w:pPr>
                        <w:pStyle w:val="TextBody"/>
                        <w:spacing w:before="0" w:after="0"/>
                        <w:rPr/>
                      </w:pPr>
                      <w:r>
                        <w:rPr/>
                        <w:t> </w:t>
                      </w:r>
                    </w:p>
                    <w:tbl>
                      <w:tblPr>
                        <w:tblW w:w="2290" w:type="dxa"/>
                        <w:jc w:val="left"/>
                        <w:tblInd w:w="0" w:type="dxa"/>
                        <w:tblCellMar>
                          <w:top w:w="0" w:type="dxa"/>
                          <w:left w:w="0" w:type="dxa"/>
                          <w:bottom w:w="0" w:type="dxa"/>
                          <w:right w:w="0" w:type="dxa"/>
                        </w:tblCellMar>
                      </w:tblPr>
                      <w:tblGrid>
                        <w:gridCol w:w="75"/>
                        <w:gridCol w:w="110"/>
                        <w:gridCol w:w="60"/>
                        <w:gridCol w:w="20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45" w:type="dxa"/>
                            <w:tcBorders/>
                            <w:shd w:fill="auto" w:val="clear"/>
                            <w:vAlign w:val="center"/>
                          </w:tcPr>
                          <w:p>
                            <w:pPr>
                              <w:pStyle w:val="TableContents"/>
                              <w:spacing w:before="0" w:after="283"/>
                              <w:jc w:val="left"/>
                              <w:rPr/>
                            </w:pPr>
                            <w:r>
                              <w:rPr/>
                              <w:t xml:space="preserve">Energy &amp; Emissions </w:t>
                            </w:r>
                          </w:p>
                        </w:tc>
                      </w:tr>
                    </w:tbl>
                    <w:p>
                      <w:pPr>
                        <w:pStyle w:val="TextBody"/>
                        <w:spacing w:before="0" w:after="0"/>
                        <w:rPr/>
                      </w:pPr>
                      <w:r>
                        <w:rPr/>
                        <w:t> </w:t>
                      </w:r>
                    </w:p>
                    <w:tbl>
                      <w:tblPr>
                        <w:tblW w:w="2365" w:type="dxa"/>
                        <w:jc w:val="left"/>
                        <w:tblInd w:w="0" w:type="dxa"/>
                        <w:tblCellMar>
                          <w:top w:w="0" w:type="dxa"/>
                          <w:left w:w="0" w:type="dxa"/>
                          <w:bottom w:w="0" w:type="dxa"/>
                          <w:right w:w="0" w:type="dxa"/>
                        </w:tblCellMar>
                      </w:tblPr>
                      <w:tblGrid>
                        <w:gridCol w:w="75"/>
                        <w:gridCol w:w="110"/>
                        <w:gridCol w:w="60"/>
                        <w:gridCol w:w="21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jc w:val="left"/>
                              <w:rPr/>
                            </w:pPr>
                            <w:r>
                              <w:rPr/>
                              <w:t xml:space="preserve">Ethics &amp; Compliance </w:t>
                            </w:r>
                          </w:p>
                        </w:tc>
                      </w:tr>
                    </w:tbl>
                    <w:p>
                      <w:pPr>
                        <w:pStyle w:val="TextBody"/>
                        <w:spacing w:before="0" w:after="0"/>
                        <w:rPr/>
                      </w:pPr>
                      <w:r>
                        <w:rPr/>
                        <w:t> </w:t>
                      </w:r>
                    </w:p>
                    <w:tbl>
                      <w:tblPr>
                        <w:tblW w:w="1720" w:type="dxa"/>
                        <w:jc w:val="left"/>
                        <w:tblInd w:w="0" w:type="dxa"/>
                        <w:tblCellMar>
                          <w:top w:w="0" w:type="dxa"/>
                          <w:left w:w="0" w:type="dxa"/>
                          <w:bottom w:w="0" w:type="dxa"/>
                          <w:right w:w="0" w:type="dxa"/>
                        </w:tblCellMar>
                      </w:tblPr>
                      <w:tblGrid>
                        <w:gridCol w:w="75"/>
                        <w:gridCol w:w="110"/>
                        <w:gridCol w:w="60"/>
                        <w:gridCol w:w="1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75" w:type="dxa"/>
                            <w:tcBorders/>
                            <w:shd w:fill="auto" w:val="clear"/>
                            <w:vAlign w:val="center"/>
                          </w:tcPr>
                          <w:p>
                            <w:pPr>
                              <w:pStyle w:val="TableContents"/>
                              <w:spacing w:before="0" w:after="283"/>
                              <w:jc w:val="left"/>
                              <w:rPr/>
                            </w:pPr>
                            <w:r>
                              <w:rPr/>
                              <w:t xml:space="preserve">Human Rights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3175000" cy="4834890"/>
                <wp:effectExtent l="0" t="0" r="0" b="0"/>
                <wp:wrapSquare wrapText="largest"/>
                <wp:docPr id="66" name="Frame10"/>
                <a:graphic xmlns:a="http://schemas.openxmlformats.org/drawingml/2006/main">
                  <a:graphicData uri="http://schemas.microsoft.com/office/word/2010/wordprocessingShape">
                    <wps:wsp>
                      <wps:cNvSpPr txBox="1"/>
                      <wps:spPr>
                        <a:xfrm>
                          <a:off x="0" y="0"/>
                          <a:ext cx="3175000" cy="4834890"/>
                        </a:xfrm>
                        <a:prstGeom prst="rect"/>
                      </wps:spPr>
                      <wps:txbx>
                        <w:txbxContent>
                          <w:p>
                            <w:pPr>
                              <w:pStyle w:val="TextBody"/>
                              <w:spacing w:before="0" w:after="0"/>
                              <w:rPr>
                                <w:rFonts w:ascii="ARIAL" w:hAnsi="ARIAL"/>
                                <w:b/>
                                <w:color w:val="005CB9"/>
                                <w:sz w:val="20"/>
                              </w:rPr>
                            </w:pPr>
                            <w:r>
                              <w:rPr>
                                <w:rFonts w:ascii="ARIAL" w:hAnsi="ARIAL"/>
                                <w:b/>
                                <w:color w:val="005CB9"/>
                                <w:sz w:val="20"/>
                              </w:rPr>
                              <w:t xml:space="preserve">The ESG Road Ahead </w:t>
                            </w:r>
                          </w:p>
                          <w:p>
                            <w:pPr>
                              <w:pStyle w:val="TextBody"/>
                              <w:spacing w:before="120" w:after="0"/>
                              <w:rPr>
                                <w:rFonts w:ascii="ARIAL" w:hAnsi="ARIAL"/>
                                <w:sz w:val="19"/>
                              </w:rPr>
                            </w:pPr>
                            <w:r>
                              <w:rPr>
                                <w:rFonts w:ascii="ARIAL" w:hAnsi="ARIAL"/>
                                <w:sz w:val="19"/>
                              </w:rPr>
                              <w:t xml:space="preserve">Though we have progressed through the beginning stages of our ESG efforts, we understand that we still have work ahead of us. However, we remain confident in our ability to continue to drive improvement across the enterprise and meet the expectations of our stakeholders as our program matures. </w:t>
                            </w:r>
                          </w:p>
                          <w:p>
                            <w:pPr>
                              <w:pStyle w:val="TextBody"/>
                              <w:spacing w:before="240" w:after="0"/>
                              <w:rPr>
                                <w:rFonts w:ascii="ARIAL" w:hAnsi="ARIAL"/>
                                <w:sz w:val="19"/>
                              </w:rPr>
                            </w:pPr>
                            <w:r>
                              <w:rPr>
                                <w:rFonts w:ascii="ARIAL" w:hAnsi="ARIAL"/>
                                <w:sz w:val="19"/>
                              </w:rPr>
                              <w:t xml:space="preserve">In 2023, we plan to: </w:t>
                            </w:r>
                          </w:p>
                          <w:p>
                            <w:pPr>
                              <w:pStyle w:val="TextBody"/>
                              <w:spacing w:before="0" w:after="0"/>
                              <w:rPr/>
                            </w:pPr>
                            <w:r>
                              <w:rPr/>
                              <w:t> </w:t>
                            </w:r>
                          </w:p>
                          <w:tbl>
                            <w:tblPr>
                              <w:tblW w:w="4495" w:type="dxa"/>
                              <w:jc w:val="left"/>
                              <w:tblInd w:w="0" w:type="dxa"/>
                              <w:tblCellMar>
                                <w:top w:w="0" w:type="dxa"/>
                                <w:left w:w="0" w:type="dxa"/>
                                <w:bottom w:w="0" w:type="dxa"/>
                                <w:right w:w="0" w:type="dxa"/>
                              </w:tblCellMar>
                            </w:tblPr>
                            <w:tblGrid>
                              <w:gridCol w:w="75"/>
                              <w:gridCol w:w="110"/>
                              <w:gridCol w:w="60"/>
                              <w:gridCol w:w="42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50" w:type="dxa"/>
                                  <w:tcBorders/>
                                  <w:shd w:fill="auto" w:val="clear"/>
                                  <w:vAlign w:val="center"/>
                                </w:tcPr>
                                <w:p>
                                  <w:pPr>
                                    <w:pStyle w:val="TableContents"/>
                                    <w:spacing w:before="0" w:after="283"/>
                                    <w:jc w:val="left"/>
                                    <w:rPr/>
                                  </w:pPr>
                                  <w:r>
                                    <w:rPr/>
                                    <w:t xml:space="preserve">Continue our engagement with stakeholders </w:t>
                                  </w:r>
                                </w:p>
                              </w:tc>
                            </w:tr>
                          </w:tbl>
                          <w:p>
                            <w:pPr>
                              <w:pStyle w:val="TextBody"/>
                              <w:spacing w:before="0" w:after="0"/>
                              <w:rPr/>
                            </w:pPr>
                            <w:r>
                              <w:rPr/>
                              <w:t> </w:t>
                            </w:r>
                          </w:p>
                          <w:tbl>
                            <w:tblPr>
                              <w:tblW w:w="4675" w:type="dxa"/>
                              <w:jc w:val="left"/>
                              <w:tblInd w:w="0" w:type="dxa"/>
                              <w:tblCellMar>
                                <w:top w:w="0" w:type="dxa"/>
                                <w:left w:w="0" w:type="dxa"/>
                                <w:bottom w:w="0" w:type="dxa"/>
                                <w:right w:w="0" w:type="dxa"/>
                              </w:tblCellMar>
                            </w:tblPr>
                            <w:tblGrid>
                              <w:gridCol w:w="75"/>
                              <w:gridCol w:w="110"/>
                              <w:gridCol w:w="60"/>
                              <w:gridCol w:w="44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30" w:type="dxa"/>
                                  <w:tcBorders/>
                                  <w:shd w:fill="auto" w:val="clear"/>
                                  <w:vAlign w:val="center"/>
                                </w:tcPr>
                                <w:p>
                                  <w:pPr>
                                    <w:pStyle w:val="TableContents"/>
                                    <w:spacing w:before="0" w:after="283"/>
                                    <w:jc w:val="left"/>
                                    <w:rPr/>
                                  </w:pPr>
                                  <w:r>
                                    <w:rPr/>
                                    <w:t xml:space="preserve">Refine and improve our data collection efforts </w:t>
                                  </w:r>
                                </w:p>
                              </w:tc>
                            </w:tr>
                          </w:tbl>
                          <w:p>
                            <w:pPr>
                              <w:pStyle w:val="TextBody"/>
                              <w:spacing w:before="0" w:after="0"/>
                              <w:rPr/>
                            </w:pPr>
                            <w:r>
                              <w:rPr/>
                              <w:t> </w:t>
                            </w:r>
                          </w:p>
                          <w:tbl>
                            <w:tblPr>
                              <w:tblW w:w="4780" w:type="dxa"/>
                              <w:jc w:val="left"/>
                              <w:tblInd w:w="0" w:type="dxa"/>
                              <w:tblCellMar>
                                <w:top w:w="0" w:type="dxa"/>
                                <w:left w:w="0" w:type="dxa"/>
                                <w:bottom w:w="0" w:type="dxa"/>
                                <w:right w:w="0" w:type="dxa"/>
                              </w:tblCellMar>
                            </w:tblPr>
                            <w:tblGrid>
                              <w:gridCol w:w="75"/>
                              <w:gridCol w:w="110"/>
                              <w:gridCol w:w="60"/>
                              <w:gridCol w:w="45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35" w:type="dxa"/>
                                  <w:tcBorders/>
                                  <w:shd w:fill="auto" w:val="clear"/>
                                  <w:vAlign w:val="center"/>
                                </w:tcPr>
                                <w:p>
                                  <w:pPr>
                                    <w:pStyle w:val="TableContents"/>
                                    <w:spacing w:before="0" w:after="283"/>
                                    <w:jc w:val="left"/>
                                    <w:rPr/>
                                  </w:pPr>
                                  <w:r>
                                    <w:rPr/>
                                    <w:t xml:space="preserve">Develop appropriate emission reduction targets </w:t>
                                  </w:r>
                                </w:p>
                              </w:tc>
                            </w:tr>
                          </w:tbl>
                          <w:p>
                            <w:pPr>
                              <w:pStyle w:val="TextBody"/>
                              <w:spacing w:before="0" w:after="0"/>
                              <w:rPr/>
                            </w:pPr>
                            <w:r>
                              <w:rPr/>
                              <w:t> </w:t>
                            </w:r>
                          </w:p>
                          <w:tbl>
                            <w:tblPr>
                              <w:tblW w:w="6055" w:type="dxa"/>
                              <w:jc w:val="left"/>
                              <w:tblInd w:w="0" w:type="dxa"/>
                              <w:tblCellMar>
                                <w:top w:w="0" w:type="dxa"/>
                                <w:left w:w="0" w:type="dxa"/>
                                <w:bottom w:w="0" w:type="dxa"/>
                                <w:right w:w="0" w:type="dxa"/>
                              </w:tblCellMar>
                            </w:tblPr>
                            <w:tblGrid>
                              <w:gridCol w:w="75"/>
                              <w:gridCol w:w="110"/>
                              <w:gridCol w:w="60"/>
                              <w:gridCol w:w="5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10" w:type="dxa"/>
                                  <w:tcBorders/>
                                  <w:shd w:fill="auto" w:val="clear"/>
                                  <w:vAlign w:val="center"/>
                                </w:tcPr>
                                <w:p>
                                  <w:pPr>
                                    <w:pStyle w:val="TableContents"/>
                                    <w:spacing w:before="0" w:after="283"/>
                                    <w:jc w:val="left"/>
                                    <w:rPr/>
                                  </w:pPr>
                                  <w:r>
                                    <w:rPr/>
                                    <w:t xml:space="preserve">Assist operating businesses with their individual ESG efforts </w:t>
                                  </w:r>
                                </w:p>
                              </w:tc>
                            </w:tr>
                          </w:tbl>
                          <w:p>
                            <w:pPr>
                              <w:pStyle w:val="TextBody"/>
                              <w:spacing w:before="240" w:after="0"/>
                              <w:rPr>
                                <w:rFonts w:ascii="ARIAL" w:hAnsi="ARIAL"/>
                                <w:sz w:val="19"/>
                              </w:rPr>
                            </w:pPr>
                            <w:r>
                              <w:rPr>
                                <w:rFonts w:ascii="ARIAL" w:hAnsi="ARIAL"/>
                                <w:sz w:val="19"/>
                              </w:rPr>
                              <w:t xml:space="preserve">For more information on Roper’s approach to ESG and our programs, see our ESG 2022 Update Report available on our website. The information contained on, or available through, our website is not incorporated by reference in this Proxy Statement.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80.7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b/>
                          <w:color w:val="005CB9"/>
                          <w:sz w:val="20"/>
                        </w:rPr>
                      </w:pPr>
                      <w:r>
                        <w:rPr>
                          <w:rFonts w:ascii="ARIAL" w:hAnsi="ARIAL"/>
                          <w:b/>
                          <w:color w:val="005CB9"/>
                          <w:sz w:val="20"/>
                        </w:rPr>
                        <w:t xml:space="preserve">The ESG Road Ahead </w:t>
                      </w:r>
                    </w:p>
                    <w:p>
                      <w:pPr>
                        <w:pStyle w:val="TextBody"/>
                        <w:spacing w:before="120" w:after="0"/>
                        <w:rPr>
                          <w:rFonts w:ascii="ARIAL" w:hAnsi="ARIAL"/>
                          <w:sz w:val="19"/>
                        </w:rPr>
                      </w:pPr>
                      <w:r>
                        <w:rPr>
                          <w:rFonts w:ascii="ARIAL" w:hAnsi="ARIAL"/>
                          <w:sz w:val="19"/>
                        </w:rPr>
                        <w:t xml:space="preserve">Though we have progressed through the beginning stages of our ESG efforts, we understand that we still have work ahead of us. However, we remain confident in our ability to continue to drive improvement across the enterprise and meet the expectations of our stakeholders as our program matures. </w:t>
                      </w:r>
                    </w:p>
                    <w:p>
                      <w:pPr>
                        <w:pStyle w:val="TextBody"/>
                        <w:spacing w:before="240" w:after="0"/>
                        <w:rPr>
                          <w:rFonts w:ascii="ARIAL" w:hAnsi="ARIAL"/>
                          <w:sz w:val="19"/>
                        </w:rPr>
                      </w:pPr>
                      <w:r>
                        <w:rPr>
                          <w:rFonts w:ascii="ARIAL" w:hAnsi="ARIAL"/>
                          <w:sz w:val="19"/>
                        </w:rPr>
                        <w:t xml:space="preserve">In 2023, we plan to: </w:t>
                      </w:r>
                    </w:p>
                    <w:p>
                      <w:pPr>
                        <w:pStyle w:val="TextBody"/>
                        <w:spacing w:before="0" w:after="0"/>
                        <w:rPr/>
                      </w:pPr>
                      <w:r>
                        <w:rPr/>
                        <w:t> </w:t>
                      </w:r>
                    </w:p>
                    <w:tbl>
                      <w:tblPr>
                        <w:tblW w:w="4495" w:type="dxa"/>
                        <w:jc w:val="left"/>
                        <w:tblInd w:w="0" w:type="dxa"/>
                        <w:tblCellMar>
                          <w:top w:w="0" w:type="dxa"/>
                          <w:left w:w="0" w:type="dxa"/>
                          <w:bottom w:w="0" w:type="dxa"/>
                          <w:right w:w="0" w:type="dxa"/>
                        </w:tblCellMar>
                      </w:tblPr>
                      <w:tblGrid>
                        <w:gridCol w:w="75"/>
                        <w:gridCol w:w="110"/>
                        <w:gridCol w:w="60"/>
                        <w:gridCol w:w="42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50" w:type="dxa"/>
                            <w:tcBorders/>
                            <w:shd w:fill="auto" w:val="clear"/>
                            <w:vAlign w:val="center"/>
                          </w:tcPr>
                          <w:p>
                            <w:pPr>
                              <w:pStyle w:val="TableContents"/>
                              <w:spacing w:before="0" w:after="283"/>
                              <w:jc w:val="left"/>
                              <w:rPr/>
                            </w:pPr>
                            <w:r>
                              <w:rPr/>
                              <w:t xml:space="preserve">Continue our engagement with stakeholders </w:t>
                            </w:r>
                          </w:p>
                        </w:tc>
                      </w:tr>
                    </w:tbl>
                    <w:p>
                      <w:pPr>
                        <w:pStyle w:val="TextBody"/>
                        <w:spacing w:before="0" w:after="0"/>
                        <w:rPr/>
                      </w:pPr>
                      <w:r>
                        <w:rPr/>
                        <w:t> </w:t>
                      </w:r>
                    </w:p>
                    <w:tbl>
                      <w:tblPr>
                        <w:tblW w:w="4675" w:type="dxa"/>
                        <w:jc w:val="left"/>
                        <w:tblInd w:w="0" w:type="dxa"/>
                        <w:tblCellMar>
                          <w:top w:w="0" w:type="dxa"/>
                          <w:left w:w="0" w:type="dxa"/>
                          <w:bottom w:w="0" w:type="dxa"/>
                          <w:right w:w="0" w:type="dxa"/>
                        </w:tblCellMar>
                      </w:tblPr>
                      <w:tblGrid>
                        <w:gridCol w:w="75"/>
                        <w:gridCol w:w="110"/>
                        <w:gridCol w:w="60"/>
                        <w:gridCol w:w="44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30" w:type="dxa"/>
                            <w:tcBorders/>
                            <w:shd w:fill="auto" w:val="clear"/>
                            <w:vAlign w:val="center"/>
                          </w:tcPr>
                          <w:p>
                            <w:pPr>
                              <w:pStyle w:val="TableContents"/>
                              <w:spacing w:before="0" w:after="283"/>
                              <w:jc w:val="left"/>
                              <w:rPr/>
                            </w:pPr>
                            <w:r>
                              <w:rPr/>
                              <w:t xml:space="preserve">Refine and improve our data collection efforts </w:t>
                            </w:r>
                          </w:p>
                        </w:tc>
                      </w:tr>
                    </w:tbl>
                    <w:p>
                      <w:pPr>
                        <w:pStyle w:val="TextBody"/>
                        <w:spacing w:before="0" w:after="0"/>
                        <w:rPr/>
                      </w:pPr>
                      <w:r>
                        <w:rPr/>
                        <w:t> </w:t>
                      </w:r>
                    </w:p>
                    <w:tbl>
                      <w:tblPr>
                        <w:tblW w:w="4780" w:type="dxa"/>
                        <w:jc w:val="left"/>
                        <w:tblInd w:w="0" w:type="dxa"/>
                        <w:tblCellMar>
                          <w:top w:w="0" w:type="dxa"/>
                          <w:left w:w="0" w:type="dxa"/>
                          <w:bottom w:w="0" w:type="dxa"/>
                          <w:right w:w="0" w:type="dxa"/>
                        </w:tblCellMar>
                      </w:tblPr>
                      <w:tblGrid>
                        <w:gridCol w:w="75"/>
                        <w:gridCol w:w="110"/>
                        <w:gridCol w:w="60"/>
                        <w:gridCol w:w="45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35" w:type="dxa"/>
                            <w:tcBorders/>
                            <w:shd w:fill="auto" w:val="clear"/>
                            <w:vAlign w:val="center"/>
                          </w:tcPr>
                          <w:p>
                            <w:pPr>
                              <w:pStyle w:val="TableContents"/>
                              <w:spacing w:before="0" w:after="283"/>
                              <w:jc w:val="left"/>
                              <w:rPr/>
                            </w:pPr>
                            <w:r>
                              <w:rPr/>
                              <w:t xml:space="preserve">Develop appropriate emission reduction targets </w:t>
                            </w:r>
                          </w:p>
                        </w:tc>
                      </w:tr>
                    </w:tbl>
                    <w:p>
                      <w:pPr>
                        <w:pStyle w:val="TextBody"/>
                        <w:spacing w:before="0" w:after="0"/>
                        <w:rPr/>
                      </w:pPr>
                      <w:r>
                        <w:rPr/>
                        <w:t> </w:t>
                      </w:r>
                    </w:p>
                    <w:tbl>
                      <w:tblPr>
                        <w:tblW w:w="6055" w:type="dxa"/>
                        <w:jc w:val="left"/>
                        <w:tblInd w:w="0" w:type="dxa"/>
                        <w:tblCellMar>
                          <w:top w:w="0" w:type="dxa"/>
                          <w:left w:w="0" w:type="dxa"/>
                          <w:bottom w:w="0" w:type="dxa"/>
                          <w:right w:w="0" w:type="dxa"/>
                        </w:tblCellMar>
                      </w:tblPr>
                      <w:tblGrid>
                        <w:gridCol w:w="75"/>
                        <w:gridCol w:w="110"/>
                        <w:gridCol w:w="60"/>
                        <w:gridCol w:w="5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10" w:type="dxa"/>
                            <w:tcBorders/>
                            <w:shd w:fill="auto" w:val="clear"/>
                            <w:vAlign w:val="center"/>
                          </w:tcPr>
                          <w:p>
                            <w:pPr>
                              <w:pStyle w:val="TableContents"/>
                              <w:spacing w:before="0" w:after="283"/>
                              <w:jc w:val="left"/>
                              <w:rPr/>
                            </w:pPr>
                            <w:r>
                              <w:rPr/>
                              <w:t xml:space="preserve">Assist operating businesses with their individual ESG efforts </w:t>
                            </w:r>
                          </w:p>
                        </w:tc>
                      </w:tr>
                    </w:tbl>
                    <w:p>
                      <w:pPr>
                        <w:pStyle w:val="TextBody"/>
                        <w:spacing w:before="240" w:after="0"/>
                        <w:rPr>
                          <w:rFonts w:ascii="ARIAL" w:hAnsi="ARIAL"/>
                          <w:sz w:val="19"/>
                        </w:rPr>
                      </w:pPr>
                      <w:r>
                        <w:rPr>
                          <w:rFonts w:ascii="ARIAL" w:hAnsi="ARIAL"/>
                          <w:sz w:val="19"/>
                        </w:rPr>
                        <w:t xml:space="preserve">For more information on Roper’s approach to ESG and our programs, see our ESG 2022 Update Report available on our website. The information contained on, or available through, our website is not incorporated by reference in this Proxy Statement. </w:t>
                      </w:r>
                    </w:p>
                  </w:txbxContent>
                </v:textbox>
                <w10:wrap type="square" side="right"/>
              </v:rect>
            </w:pict>
          </mc:Fallback>
        </mc:AlternateConten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12</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6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6" descr=""/>
                          <pic:cNvPicPr>
                            <a:picLocks noChangeAspect="1" noChangeArrowheads="1"/>
                          </pic:cNvPicPr>
                        </pic:nvPicPr>
                        <pic:blipFill>
                          <a:blip r:embed="rId57"/>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32"/>
        </w:rPr>
      </w:pPr>
      <w:bookmarkStart w:id="8" w:name="toc356364_6"/>
      <w:bookmarkEnd w:id="8"/>
      <w:r>
        <w:rPr>
          <w:rFonts w:ascii="ARIAL" w:hAnsi="ARIAL"/>
          <w:color w:val="005CB9"/>
          <w:sz w:val="32"/>
        </w:rPr>
        <w:t xml:space="preserve">BOARD COMMITTEES AND MEETINGS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3110230" cy="6854190"/>
                <wp:effectExtent l="0" t="0" r="0" b="0"/>
                <wp:wrapSquare wrapText="largest"/>
                <wp:docPr id="68" name="Frame11"/>
                <a:graphic xmlns:a="http://schemas.openxmlformats.org/drawingml/2006/main">
                  <a:graphicData uri="http://schemas.microsoft.com/office/word/2010/wordprocessingShape">
                    <wps:wsp>
                      <wps:cNvSpPr txBox="1"/>
                      <wps:spPr>
                        <a:xfrm>
                          <a:off x="0" y="0"/>
                          <a:ext cx="3110230" cy="6854190"/>
                        </a:xfrm>
                        <a:prstGeom prst="rect"/>
                      </wps:spPr>
                      <wps:txbx>
                        <w:txbxContent>
                          <w:p>
                            <w:pPr>
                              <w:pStyle w:val="TextBody"/>
                              <w:spacing w:before="0" w:after="0"/>
                              <w:rPr>
                                <w:rFonts w:ascii="ARIAL" w:hAnsi="ARIAL"/>
                                <w:sz w:val="19"/>
                              </w:rPr>
                            </w:pPr>
                            <w:r>
                              <w:rPr>
                                <w:rFonts w:ascii="ARIAL" w:hAnsi="ARIAL"/>
                                <w:sz w:val="19"/>
                              </w:rPr>
                              <w:t xml:space="preserve">Our Board of Directors held seven meetings in 2022. With the exception of one director who was unable to attend one special meeting, each director participated in all of our Board meetings in 2022. In addition, all directors on the Board during 2022 attended more than 75 percent of the total Board and committee meetings to which they were assigned.     </w:t>
                            </w:r>
                          </w:p>
                          <w:p>
                            <w:pPr>
                              <w:pStyle w:val="TextBody"/>
                              <w:spacing w:before="120" w:after="0"/>
                              <w:rPr>
                                <w:rFonts w:ascii="ARIAL" w:hAnsi="ARIAL"/>
                                <w:sz w:val="19"/>
                              </w:rPr>
                            </w:pPr>
                            <w:r>
                              <w:rPr>
                                <w:rFonts w:ascii="ARIAL" w:hAnsi="ARIAL"/>
                                <w:sz w:val="19"/>
                              </w:rPr>
                              <w:t xml:space="preserve">Our Board has not implemented a formal policy regarding director attendance at the Annual Meeting of Shareholders, but encourages all directors to attend. All of our directors attended the 2022 Annual Meeting of Shareholders. </w:t>
                            </w:r>
                          </w:p>
                          <w:p>
                            <w:pPr>
                              <w:pStyle w:val="TextBody"/>
                              <w:spacing w:before="240" w:after="0"/>
                              <w:rPr>
                                <w:rFonts w:ascii="ARIAL" w:hAnsi="ARIAL"/>
                                <w:b/>
                                <w:color w:val="005CB9"/>
                                <w:sz w:val="20"/>
                              </w:rPr>
                            </w:pPr>
                            <w:r>
                              <w:rPr>
                                <w:rFonts w:ascii="ARIAL" w:hAnsi="ARIAL"/>
                                <w:b/>
                                <w:color w:val="005CB9"/>
                                <w:sz w:val="20"/>
                              </w:rPr>
                              <w:t xml:space="preserve">Board Leadership Structure </w:t>
                            </w:r>
                          </w:p>
                          <w:p>
                            <w:pPr>
                              <w:pStyle w:val="TextBody"/>
                              <w:spacing w:before="120" w:after="0"/>
                              <w:rPr>
                                <w:rFonts w:ascii="ARIAL" w:hAnsi="ARIAL"/>
                                <w:sz w:val="19"/>
                              </w:rPr>
                            </w:pPr>
                            <w:r>
                              <w:rPr>
                                <w:rFonts w:ascii="ARIAL" w:hAnsi="ARIAL"/>
                                <w:sz w:val="19"/>
                              </w:rPr>
                              <w:t xml:space="preserve">Ms. Brinkley became the Independent Board Chair in June 2021. Ms. Brinkley’s in-depth knowledge of our Company and deep expertise in risk management allows her to effectively identify strategic priorities, lead Board discussions, and oversee the execution of our Company’s strategy and business plans. The non-management directors meet in executive session as frequently as they wish, but at least five times a year. The Independent Chair of the Board presides over these executive sessions. </w:t>
                            </w:r>
                          </w:p>
                          <w:p>
                            <w:pPr>
                              <w:pStyle w:val="TextBody"/>
                              <w:spacing w:before="240" w:after="0"/>
                              <w:rPr>
                                <w:rFonts w:ascii="ARIAL" w:hAnsi="ARIAL"/>
                                <w:b/>
                                <w:color w:val="005CB9"/>
                                <w:sz w:val="20"/>
                              </w:rPr>
                            </w:pPr>
                            <w:r>
                              <w:rPr>
                                <w:rFonts w:ascii="ARIAL" w:hAnsi="ARIAL"/>
                                <w:b/>
                                <w:color w:val="005CB9"/>
                                <w:sz w:val="20"/>
                              </w:rPr>
                              <w:t xml:space="preserve">Effective Board Processes </w:t>
                            </w:r>
                          </w:p>
                          <w:p>
                            <w:pPr>
                              <w:pStyle w:val="TextBody"/>
                              <w:spacing w:before="120" w:after="0"/>
                              <w:rPr>
                                <w:rFonts w:ascii="ARIAL" w:hAnsi="ARIAL"/>
                                <w:sz w:val="19"/>
                              </w:rPr>
                            </w:pPr>
                            <w:r>
                              <w:rPr>
                                <w:rFonts w:ascii="ARIAL" w:hAnsi="ARIAL"/>
                                <w:sz w:val="19"/>
                              </w:rPr>
                              <w:t xml:space="preserve">As a result of our Board structure and processes, our directors are actively involved in overseeing the strategy, business and affairs of our Company, including its transformation to a diversified technology company. Our Board meetings typically extend over several days, with directors monitoring the existing portfolio of businesses and analyzing and carefully examining with management the different ways Roper can invest for future growth, both internally and through acquisitions. Between scheduled Board meetings, our directors continue their discussions with management and each other, enabling our Company to draw from their knowledge and expertise. Our directors are involved in our corporate strategy and must keep abreast of the issues encountered by our diverse global business operations. </w:t>
                            </w:r>
                          </w:p>
                          <w:p>
                            <w:pPr>
                              <w:pStyle w:val="TextBody"/>
                              <w:spacing w:before="120" w:after="0"/>
                              <w:rPr>
                                <w:rFonts w:ascii="ARIAL" w:hAnsi="ARIAL"/>
                                <w:sz w:val="19"/>
                              </w:rPr>
                            </w:pPr>
                            <w:r>
                              <w:rPr>
                                <w:rFonts w:ascii="ARIAL" w:hAnsi="ARIAL"/>
                                <w:sz w:val="19"/>
                              </w:rPr>
                              <w:t xml:space="preserve">The Board, including its Nominating and Governance Committee, has an effective Board recruitment and evaluation process that contributes bringing together a group of directors who complement each other and collectively provide oversight of management in ways that include challenging and discussing different perspectives.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9.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Our Board of Directors held seven meetings in 2022. With the exception of one director who was unable to attend one special meeting, each director participated in all of our Board meetings in 2022. In addition, all directors on the Board during 2022 attended more than 75 percent of the total Board and committee meetings to which they were assigned.     </w:t>
                      </w:r>
                    </w:p>
                    <w:p>
                      <w:pPr>
                        <w:pStyle w:val="TextBody"/>
                        <w:spacing w:before="120" w:after="0"/>
                        <w:rPr>
                          <w:rFonts w:ascii="ARIAL" w:hAnsi="ARIAL"/>
                          <w:sz w:val="19"/>
                        </w:rPr>
                      </w:pPr>
                      <w:r>
                        <w:rPr>
                          <w:rFonts w:ascii="ARIAL" w:hAnsi="ARIAL"/>
                          <w:sz w:val="19"/>
                        </w:rPr>
                        <w:t xml:space="preserve">Our Board has not implemented a formal policy regarding director attendance at the Annual Meeting of Shareholders, but encourages all directors to attend. All of our directors attended the 2022 Annual Meeting of Shareholders. </w:t>
                      </w:r>
                    </w:p>
                    <w:p>
                      <w:pPr>
                        <w:pStyle w:val="TextBody"/>
                        <w:spacing w:before="240" w:after="0"/>
                        <w:rPr>
                          <w:rFonts w:ascii="ARIAL" w:hAnsi="ARIAL"/>
                          <w:b/>
                          <w:color w:val="005CB9"/>
                          <w:sz w:val="20"/>
                        </w:rPr>
                      </w:pPr>
                      <w:r>
                        <w:rPr>
                          <w:rFonts w:ascii="ARIAL" w:hAnsi="ARIAL"/>
                          <w:b/>
                          <w:color w:val="005CB9"/>
                          <w:sz w:val="20"/>
                        </w:rPr>
                        <w:t xml:space="preserve">Board Leadership Structure </w:t>
                      </w:r>
                    </w:p>
                    <w:p>
                      <w:pPr>
                        <w:pStyle w:val="TextBody"/>
                        <w:spacing w:before="120" w:after="0"/>
                        <w:rPr>
                          <w:rFonts w:ascii="ARIAL" w:hAnsi="ARIAL"/>
                          <w:sz w:val="19"/>
                        </w:rPr>
                      </w:pPr>
                      <w:r>
                        <w:rPr>
                          <w:rFonts w:ascii="ARIAL" w:hAnsi="ARIAL"/>
                          <w:sz w:val="19"/>
                        </w:rPr>
                        <w:t xml:space="preserve">Ms. Brinkley became the Independent Board Chair in June 2021. Ms. Brinkley’s in-depth knowledge of our Company and deep expertise in risk management allows her to effectively identify strategic priorities, lead Board discussions, and oversee the execution of our Company’s strategy and business plans. The non-management directors meet in executive session as frequently as they wish, but at least five times a year. The Independent Chair of the Board presides over these executive sessions. </w:t>
                      </w:r>
                    </w:p>
                    <w:p>
                      <w:pPr>
                        <w:pStyle w:val="TextBody"/>
                        <w:spacing w:before="240" w:after="0"/>
                        <w:rPr>
                          <w:rFonts w:ascii="ARIAL" w:hAnsi="ARIAL"/>
                          <w:b/>
                          <w:color w:val="005CB9"/>
                          <w:sz w:val="20"/>
                        </w:rPr>
                      </w:pPr>
                      <w:r>
                        <w:rPr>
                          <w:rFonts w:ascii="ARIAL" w:hAnsi="ARIAL"/>
                          <w:b/>
                          <w:color w:val="005CB9"/>
                          <w:sz w:val="20"/>
                        </w:rPr>
                        <w:t xml:space="preserve">Effective Board Processes </w:t>
                      </w:r>
                    </w:p>
                    <w:p>
                      <w:pPr>
                        <w:pStyle w:val="TextBody"/>
                        <w:spacing w:before="120" w:after="0"/>
                        <w:rPr>
                          <w:rFonts w:ascii="ARIAL" w:hAnsi="ARIAL"/>
                          <w:sz w:val="19"/>
                        </w:rPr>
                      </w:pPr>
                      <w:r>
                        <w:rPr>
                          <w:rFonts w:ascii="ARIAL" w:hAnsi="ARIAL"/>
                          <w:sz w:val="19"/>
                        </w:rPr>
                        <w:t xml:space="preserve">As a result of our Board structure and processes, our directors are actively involved in overseeing the strategy, business and affairs of our Company, including its transformation to a diversified technology company. Our Board meetings typically extend over several days, with directors monitoring the existing portfolio of businesses and analyzing and carefully examining with management the different ways Roper can invest for future growth, both internally and through acquisitions. Between scheduled Board meetings, our directors continue their discussions with management and each other, enabling our Company to draw from their knowledge and expertise. Our directors are involved in our corporate strategy and must keep abreast of the issues encountered by our diverse global business operations. </w:t>
                      </w:r>
                    </w:p>
                    <w:p>
                      <w:pPr>
                        <w:pStyle w:val="TextBody"/>
                        <w:spacing w:before="120" w:after="0"/>
                        <w:rPr>
                          <w:rFonts w:ascii="ARIAL" w:hAnsi="ARIAL"/>
                          <w:sz w:val="19"/>
                        </w:rPr>
                      </w:pPr>
                      <w:r>
                        <w:rPr>
                          <w:rFonts w:ascii="ARIAL" w:hAnsi="ARIAL"/>
                          <w:sz w:val="19"/>
                        </w:rPr>
                        <w:t xml:space="preserve">The Board, including its Nominating and Governance Committee, has an effective Board recruitment and evaluation process that contributes bringing together a group of directors who complement each other and collectively provide oversight of management in ways that include challenging and discussing different perspectives. </w:t>
                      </w:r>
                    </w:p>
                  </w:txbxContent>
                </v:textbox>
                <w10:wrap type="square" side="right"/>
              </v:rect>
            </w:pict>
          </mc:Fallback>
        </mc:AlternateConten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3175000" cy="6948805"/>
                <wp:effectExtent l="0" t="0" r="0" b="0"/>
                <wp:wrapSquare wrapText="largest"/>
                <wp:docPr id="69" name="Frame12"/>
                <a:graphic xmlns:a="http://schemas.openxmlformats.org/drawingml/2006/main">
                  <a:graphicData uri="http://schemas.microsoft.com/office/word/2010/wordprocessingShape">
                    <wps:wsp>
                      <wps:cNvSpPr txBox="1"/>
                      <wps:spPr>
                        <a:xfrm>
                          <a:off x="0" y="0"/>
                          <a:ext cx="3175000" cy="6948805"/>
                        </a:xfrm>
                        <a:prstGeom prst="rect"/>
                      </wps:spPr>
                      <wps:txbx>
                        <w:txbxContent>
                          <w:p>
                            <w:pPr>
                              <w:pStyle w:val="TextBody"/>
                              <w:spacing w:before="0" w:after="0"/>
                              <w:rPr>
                                <w:rFonts w:ascii="ARIAL" w:hAnsi="ARIAL"/>
                                <w:b/>
                                <w:color w:val="005CB9"/>
                                <w:sz w:val="20"/>
                              </w:rPr>
                            </w:pPr>
                            <w:r>
                              <w:rPr>
                                <w:rFonts w:ascii="ARIAL" w:hAnsi="ARIAL"/>
                                <w:b/>
                                <w:color w:val="005CB9"/>
                                <w:sz w:val="20"/>
                              </w:rPr>
                              <w:t xml:space="preserve">Executive Succession Planning </w:t>
                            </w:r>
                          </w:p>
                          <w:p>
                            <w:pPr>
                              <w:pStyle w:val="TextBody"/>
                              <w:spacing w:before="120" w:after="0"/>
                              <w:rPr>
                                <w:rFonts w:ascii="ARIAL" w:hAnsi="ARIAL"/>
                                <w:sz w:val="19"/>
                              </w:rPr>
                            </w:pPr>
                            <w:r>
                              <w:rPr>
                                <w:rFonts w:ascii="ARIAL" w:hAnsi="ARIAL"/>
                                <w:sz w:val="19"/>
                              </w:rPr>
                              <w:t xml:space="preserve">Our Board recognizes the importance of effective leadership to our Company’s success and is actively engaged and involved, on a continual basis, in succession planning on both a long- and short-term basis. Our Company’s operating unit executives, who have responsibility for their respective businesses, but no “enterprise-wide” responsibilities, provide a broad and deep talent resource that is key to our executive succession planning. </w:t>
                            </w:r>
                          </w:p>
                          <w:p>
                            <w:pPr>
                              <w:pStyle w:val="TextBody"/>
                              <w:spacing w:before="240" w:after="0"/>
                              <w:rPr>
                                <w:rFonts w:ascii="ARIAL" w:hAnsi="ARIAL"/>
                                <w:b/>
                                <w:color w:val="005CB9"/>
                                <w:sz w:val="20"/>
                              </w:rPr>
                            </w:pPr>
                            <w:r>
                              <w:rPr>
                                <w:rFonts w:ascii="ARIAL" w:hAnsi="ARIAL"/>
                                <w:b/>
                                <w:color w:val="005CB9"/>
                                <w:sz w:val="20"/>
                              </w:rPr>
                              <w:t xml:space="preserve">Risk Oversight </w:t>
                            </w:r>
                          </w:p>
                          <w:p>
                            <w:pPr>
                              <w:pStyle w:val="TextBody"/>
                              <w:spacing w:before="120" w:after="0"/>
                              <w:rPr>
                                <w:rFonts w:ascii="ARIAL" w:hAnsi="ARIAL"/>
                                <w:sz w:val="19"/>
                              </w:rPr>
                            </w:pPr>
                            <w:r>
                              <w:rPr>
                                <w:rFonts w:ascii="ARIAL" w:hAnsi="ARIAL"/>
                                <w:sz w:val="19"/>
                              </w:rPr>
                              <w:t xml:space="preserve">Our Board has overall responsibility for the oversight of risk management at our Company, which it generally carries out through Board committees. However, several categories of risk management, such as information technology security and data privacy, are overseen by our full Board. Our General Counsel informs each committee and the Board of relevant legal and compliance issues, and each committee also has access to our Company’s outside counsel or any other outside advisor when they deem it advisable. Each of these committees along with our management team, which is responsible for the implementation of the process to identify, manage and monitor risks, keeps the entire Board regularly apprised of the different risks associated with our Company.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The Audit Committee oversees financial risk, including such factors as liquidity, credit, currency exchange and market conditions, through review and discussion with management, and monitors our Company’s risk management practices. It meets regularly with our independent auditors together with our Chief Compliance Officer, and our Vice President of Financial Audit Services, both of whom report directly to the Audit Committee. In addition to financial risk, the Audit Committee also reviews and discusses other risks that relate to our business activities and operations.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The Compensation Committee, in overseeing risk associated with compensation programs and practices, has directly retained its own independent compensation consultant and meets periodically with management to discuss current issues.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The Nominating and Governance Committee monitors the compliance of our corporate governance practices and policies with applicable requirements and evolving developments.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47.1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b/>
                          <w:color w:val="005CB9"/>
                          <w:sz w:val="20"/>
                        </w:rPr>
                      </w:pPr>
                      <w:r>
                        <w:rPr>
                          <w:rFonts w:ascii="ARIAL" w:hAnsi="ARIAL"/>
                          <w:b/>
                          <w:color w:val="005CB9"/>
                          <w:sz w:val="20"/>
                        </w:rPr>
                        <w:t xml:space="preserve">Executive Succession Planning </w:t>
                      </w:r>
                    </w:p>
                    <w:p>
                      <w:pPr>
                        <w:pStyle w:val="TextBody"/>
                        <w:spacing w:before="120" w:after="0"/>
                        <w:rPr>
                          <w:rFonts w:ascii="ARIAL" w:hAnsi="ARIAL"/>
                          <w:sz w:val="19"/>
                        </w:rPr>
                      </w:pPr>
                      <w:r>
                        <w:rPr>
                          <w:rFonts w:ascii="ARIAL" w:hAnsi="ARIAL"/>
                          <w:sz w:val="19"/>
                        </w:rPr>
                        <w:t xml:space="preserve">Our Board recognizes the importance of effective leadership to our Company’s success and is actively engaged and involved, on a continual basis, in succession planning on both a long- and short-term basis. Our Company’s operating unit executives, who have responsibility for their respective businesses, but no “enterprise-wide” responsibilities, provide a broad and deep talent resource that is key to our executive succession planning. </w:t>
                      </w:r>
                    </w:p>
                    <w:p>
                      <w:pPr>
                        <w:pStyle w:val="TextBody"/>
                        <w:spacing w:before="240" w:after="0"/>
                        <w:rPr>
                          <w:rFonts w:ascii="ARIAL" w:hAnsi="ARIAL"/>
                          <w:b/>
                          <w:color w:val="005CB9"/>
                          <w:sz w:val="20"/>
                        </w:rPr>
                      </w:pPr>
                      <w:r>
                        <w:rPr>
                          <w:rFonts w:ascii="ARIAL" w:hAnsi="ARIAL"/>
                          <w:b/>
                          <w:color w:val="005CB9"/>
                          <w:sz w:val="20"/>
                        </w:rPr>
                        <w:t xml:space="preserve">Risk Oversight </w:t>
                      </w:r>
                    </w:p>
                    <w:p>
                      <w:pPr>
                        <w:pStyle w:val="TextBody"/>
                        <w:spacing w:before="120" w:after="0"/>
                        <w:rPr>
                          <w:rFonts w:ascii="ARIAL" w:hAnsi="ARIAL"/>
                          <w:sz w:val="19"/>
                        </w:rPr>
                      </w:pPr>
                      <w:r>
                        <w:rPr>
                          <w:rFonts w:ascii="ARIAL" w:hAnsi="ARIAL"/>
                          <w:sz w:val="19"/>
                        </w:rPr>
                        <w:t xml:space="preserve">Our Board has overall responsibility for the oversight of risk management at our Company, which it generally carries out through Board committees. However, several categories of risk management, such as information technology security and data privacy, are overseen by our full Board. Our General Counsel informs each committee and the Board of relevant legal and compliance issues, and each committee also has access to our Company’s outside counsel or any other outside advisor when they deem it advisable. Each of these committees along with our management team, which is responsible for the implementation of the process to identify, manage and monitor risks, keeps the entire Board regularly apprised of the different risks associated with our Company.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The Audit Committee oversees financial risk, including such factors as liquidity, credit, currency exchange and market conditions, through review and discussion with management, and monitors our Company’s risk management practices. It meets regularly with our independent auditors together with our Chief Compliance Officer, and our Vice President of Financial Audit Services, both of whom report directly to the Audit Committee. In addition to financial risk, the Audit Committee also reviews and discusses other risks that relate to our business activities and operations.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The Compensation Committee, in overseeing risk associated with compensation programs and practices, has directly retained its own independent compensation consultant and meets periodically with management to discuss current issues.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The Nominating and Governance Committee monitors the compliance of our corporate governance practices and policies with applicable requirements and evolving developments.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7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7" descr=""/>
                          <pic:cNvPicPr>
                            <a:picLocks noChangeAspect="1" noChangeArrowheads="1"/>
                          </pic:cNvPicPr>
                        </pic:nvPicPr>
                        <pic:blipFill>
                          <a:blip r:embed="rId58"/>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13</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BOARD COMMITTEES AND MEETINGS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3110230" cy="3620770"/>
                <wp:effectExtent l="0" t="0" r="0" b="0"/>
                <wp:wrapSquare wrapText="largest"/>
                <wp:docPr id="71" name="Frame13"/>
                <a:graphic xmlns:a="http://schemas.openxmlformats.org/drawingml/2006/main">
                  <a:graphicData uri="http://schemas.microsoft.com/office/word/2010/wordprocessingShape">
                    <wps:wsp>
                      <wps:cNvSpPr txBox="1"/>
                      <wps:spPr>
                        <a:xfrm>
                          <a:off x="0" y="0"/>
                          <a:ext cx="3110230" cy="3620770"/>
                        </a:xfrm>
                        <a:prstGeom prst="rect"/>
                      </wps:spPr>
                      <wps:txbx>
                        <w:txbxContent>
                          <w:p>
                            <w:pPr>
                              <w:pStyle w:val="TextBody"/>
                              <w:spacing w:before="0" w:after="0"/>
                              <w:rPr>
                                <w:rFonts w:ascii="ARIAL" w:hAnsi="ARIAL"/>
                                <w:b/>
                                <w:color w:val="005CB9"/>
                                <w:sz w:val="20"/>
                              </w:rPr>
                            </w:pPr>
                            <w:r>
                              <w:rPr>
                                <w:rFonts w:ascii="ARIAL" w:hAnsi="ARIAL"/>
                                <w:b/>
                                <w:color w:val="005CB9"/>
                                <w:sz w:val="20"/>
                              </w:rPr>
                              <w:t xml:space="preserve">Cybersecurity and Data Privacy </w:t>
                            </w:r>
                          </w:p>
                          <w:p>
                            <w:pPr>
                              <w:pStyle w:val="TextBody"/>
                              <w:spacing w:before="120" w:after="0"/>
                              <w:rPr>
                                <w:rFonts w:ascii="ARIAL" w:hAnsi="ARIAL"/>
                                <w:sz w:val="19"/>
                              </w:rPr>
                            </w:pPr>
                            <w:r>
                              <w:rPr>
                                <w:rFonts w:ascii="ARIAL" w:hAnsi="ARIAL"/>
                                <w:sz w:val="19"/>
                              </w:rPr>
                              <w:t xml:space="preserve">Our Board of Directors has not delegated responsibility for cybersecurity matters or data privacy matters to a committee. Rather, the Board believes that due to the importance and continually evolving nature of cybersecurity threats and data privacy obligations, all members of the Board should participate in the oversight of the topics. As a result, the Board is briefed on cybersecurity matters and data privacy matters at each regularly scheduled Board meeting by management. Roper’s Vice President of Financial Audit Services also periodically briefs the Audit Committee on cybersecurity matters and related risks. </w:t>
                            </w:r>
                          </w:p>
                          <w:p>
                            <w:pPr>
                              <w:pStyle w:val="TextBody"/>
                              <w:spacing w:before="120" w:after="0"/>
                              <w:rPr>
                                <w:rFonts w:ascii="ARIAL" w:hAnsi="ARIAL"/>
                                <w:sz w:val="19"/>
                              </w:rPr>
                            </w:pPr>
                            <w:r>
                              <w:rPr>
                                <w:rFonts w:ascii="ARIAL" w:hAnsi="ARIAL"/>
                                <w:sz w:val="19"/>
                              </w:rPr>
                              <w:t xml:space="preserve">Roper maintains a robust cybersecurity posture across all our businesses to protect our data, maintain resilient operations and limit the impact of cybercrime. We maintain a global Cybersecurity Program – first formalized at the enterprise level in 2017 – based on the NIST (National Institute of Standards and Technology) framework. Roper performs cyber assessments and audits periodically to ensure completeness of cyber controls. We continue to raise security awareness with our employees throughout the year with cyber training and monthly phishing campaigns to better identify and report unusual behavior and stop incidents. In order to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5.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05CB9"/>
                          <w:sz w:val="20"/>
                        </w:rPr>
                      </w:pPr>
                      <w:r>
                        <w:rPr>
                          <w:rFonts w:ascii="ARIAL" w:hAnsi="ARIAL"/>
                          <w:b/>
                          <w:color w:val="005CB9"/>
                          <w:sz w:val="20"/>
                        </w:rPr>
                        <w:t xml:space="preserve">Cybersecurity and Data Privacy </w:t>
                      </w:r>
                    </w:p>
                    <w:p>
                      <w:pPr>
                        <w:pStyle w:val="TextBody"/>
                        <w:spacing w:before="120" w:after="0"/>
                        <w:rPr>
                          <w:rFonts w:ascii="ARIAL" w:hAnsi="ARIAL"/>
                          <w:sz w:val="19"/>
                        </w:rPr>
                      </w:pPr>
                      <w:r>
                        <w:rPr>
                          <w:rFonts w:ascii="ARIAL" w:hAnsi="ARIAL"/>
                          <w:sz w:val="19"/>
                        </w:rPr>
                        <w:t xml:space="preserve">Our Board of Directors has not delegated responsibility for cybersecurity matters or data privacy matters to a committee. Rather, the Board believes that due to the importance and continually evolving nature of cybersecurity threats and data privacy obligations, all members of the Board should participate in the oversight of the topics. As a result, the Board is briefed on cybersecurity matters and data privacy matters at each regularly scheduled Board meeting by management. Roper’s Vice President of Financial Audit Services also periodically briefs the Audit Committee on cybersecurity matters and related risks. </w:t>
                      </w:r>
                    </w:p>
                    <w:p>
                      <w:pPr>
                        <w:pStyle w:val="TextBody"/>
                        <w:spacing w:before="120" w:after="0"/>
                        <w:rPr>
                          <w:rFonts w:ascii="ARIAL" w:hAnsi="ARIAL"/>
                          <w:sz w:val="19"/>
                        </w:rPr>
                      </w:pPr>
                      <w:r>
                        <w:rPr>
                          <w:rFonts w:ascii="ARIAL" w:hAnsi="ARIAL"/>
                          <w:sz w:val="19"/>
                        </w:rPr>
                        <w:t xml:space="preserve">Roper maintains a robust cybersecurity posture across all our businesses to protect our data, maintain resilient operations and limit the impact of cybercrime. We maintain a global Cybersecurity Program – first formalized at the enterprise level in 2017 – based on the NIST (National Institute of Standards and Technology) framework. Roper performs cyber assessments and audits periodically to ensure completeness of cyber controls. We continue to raise security awareness with our employees throughout the year with cyber training and monthly phishing campaigns to better identify and report unusual behavior and stop incidents. In order to </w:t>
                      </w:r>
                    </w:p>
                  </w:txbxContent>
                </v:textbox>
                <w10:wrap type="square" side="right"/>
              </v:rect>
            </w:pict>
          </mc:Fallback>
        </mc:AlternateConten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3175000" cy="3496310"/>
                <wp:effectExtent l="0" t="0" r="0" b="0"/>
                <wp:wrapSquare wrapText="largest"/>
                <wp:docPr id="72" name="Frame14"/>
                <a:graphic xmlns:a="http://schemas.openxmlformats.org/drawingml/2006/main">
                  <a:graphicData uri="http://schemas.microsoft.com/office/word/2010/wordprocessingShape">
                    <wps:wsp>
                      <wps:cNvSpPr txBox="1"/>
                      <wps:spPr>
                        <a:xfrm>
                          <a:off x="0" y="0"/>
                          <a:ext cx="3175000" cy="3496310"/>
                        </a:xfrm>
                        <a:prstGeom prst="rect"/>
                      </wps:spPr>
                      <wps:txbx>
                        <w:txbxContent>
                          <w:p>
                            <w:pPr>
                              <w:pStyle w:val="TextBody"/>
                              <w:spacing w:before="0" w:after="0"/>
                              <w:rPr>
                                <w:rFonts w:ascii="ARIAL" w:hAnsi="ARIAL"/>
                                <w:sz w:val="19"/>
                              </w:rPr>
                            </w:pPr>
                            <w:r>
                              <w:rPr>
                                <w:rFonts w:ascii="ARIAL" w:hAnsi="ARIAL"/>
                                <w:sz w:val="19"/>
                              </w:rPr>
                              <w:t xml:space="preserve">mitigate the risk associated with cyber threats we maintain a centralized incident response process exists with an industry-leading forensic partner on retainer and have cybersecurity insurance in place. We also deploy an industry-leading Managed and Detection Response (MDR) solution across all operating businesses to increase the response and remediation effectiveness of cyber detections. This solution provides granular visibility of the endpoint footprint across the enterprise, including patch management and vulnerabilities, encryption and cyber detections. Ransomware resiliency continues to be a key focus and contingency planning performed across the businesses. </w:t>
                            </w:r>
                          </w:p>
                          <w:p>
                            <w:pPr>
                              <w:pStyle w:val="TextBody"/>
                              <w:spacing w:before="240" w:after="0"/>
                              <w:rPr>
                                <w:rFonts w:ascii="ARIAL" w:hAnsi="ARIAL"/>
                                <w:b/>
                                <w:color w:val="005CB9"/>
                                <w:sz w:val="20"/>
                              </w:rPr>
                            </w:pPr>
                            <w:r>
                              <w:rPr>
                                <w:rFonts w:ascii="ARIAL" w:hAnsi="ARIAL"/>
                                <w:b/>
                                <w:color w:val="005CB9"/>
                                <w:sz w:val="20"/>
                              </w:rPr>
                              <w:t xml:space="preserve">Board Committees </w:t>
                            </w:r>
                          </w:p>
                          <w:p>
                            <w:pPr>
                              <w:pStyle w:val="TextBody"/>
                              <w:spacing w:before="120" w:after="0"/>
                              <w:rPr>
                                <w:rFonts w:ascii="ARIAL" w:hAnsi="ARIAL"/>
                                <w:sz w:val="19"/>
                              </w:rPr>
                            </w:pPr>
                            <w:r>
                              <w:rPr>
                                <w:rFonts w:ascii="ARIAL" w:hAnsi="ARIAL"/>
                                <w:sz w:val="19"/>
                              </w:rPr>
                              <w:t>Our Board has four standing committees: Audit, Compensation, Nominating and Governance, and Executive. All four committees operate under written charters, copies of which can be obtained upon request from the Corporate Secretary or viewed on Roper’s website (</w:t>
                            </w:r>
                            <w:r>
                              <w:rPr>
                                <w:rFonts w:ascii="ARIAL" w:hAnsi="ARIAL"/>
                                <w:i/>
                                <w:sz w:val="19"/>
                              </w:rPr>
                              <w:t>www.ropertech.com/governance-documents</w:t>
                            </w:r>
                            <w:r>
                              <w:rPr>
                                <w:rFonts w:ascii="ARIAL" w:hAnsi="ARIAL"/>
                                <w:sz w:val="19"/>
                              </w:rPr>
                              <w:t xml:space="preserve">). Each committee reviews its charter annually and reports its activities to the full Board on a regular basis. </w:t>
                            </w:r>
                          </w:p>
                          <w:p>
                            <w:pPr>
                              <w:pStyle w:val="TextBody"/>
                              <w:spacing w:before="120" w:after="0"/>
                              <w:rPr>
                                <w:rFonts w:ascii="ARIAL" w:hAnsi="ARIAL"/>
                                <w:sz w:val="19"/>
                              </w:rPr>
                            </w:pPr>
                            <w:r>
                              <w:rPr>
                                <w:rFonts w:ascii="ARIAL" w:hAnsi="ARIAL"/>
                                <w:sz w:val="19"/>
                              </w:rPr>
                              <w:t xml:space="preserve">The current committee memberships are set forth below.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75.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mitigate the risk associated with cyber threats we maintain a centralized incident response process exists with an industry-leading forensic partner on retainer and have cybersecurity insurance in place. We also deploy an industry-leading Managed and Detection Response (MDR) solution across all operating businesses to increase the response and remediation effectiveness of cyber detections. This solution provides granular visibility of the endpoint footprint across the enterprise, including patch management and vulnerabilities, encryption and cyber detections. Ransomware resiliency continues to be a key focus and contingency planning performed across the businesses. </w:t>
                      </w:r>
                    </w:p>
                    <w:p>
                      <w:pPr>
                        <w:pStyle w:val="TextBody"/>
                        <w:spacing w:before="240" w:after="0"/>
                        <w:rPr>
                          <w:rFonts w:ascii="ARIAL" w:hAnsi="ARIAL"/>
                          <w:b/>
                          <w:color w:val="005CB9"/>
                          <w:sz w:val="20"/>
                        </w:rPr>
                      </w:pPr>
                      <w:r>
                        <w:rPr>
                          <w:rFonts w:ascii="ARIAL" w:hAnsi="ARIAL"/>
                          <w:b/>
                          <w:color w:val="005CB9"/>
                          <w:sz w:val="20"/>
                        </w:rPr>
                        <w:t xml:space="preserve">Board Committees </w:t>
                      </w:r>
                    </w:p>
                    <w:p>
                      <w:pPr>
                        <w:pStyle w:val="TextBody"/>
                        <w:spacing w:before="120" w:after="0"/>
                        <w:rPr>
                          <w:rFonts w:ascii="ARIAL" w:hAnsi="ARIAL"/>
                          <w:sz w:val="19"/>
                        </w:rPr>
                      </w:pPr>
                      <w:r>
                        <w:rPr>
                          <w:rFonts w:ascii="ARIAL" w:hAnsi="ARIAL"/>
                          <w:sz w:val="19"/>
                        </w:rPr>
                        <w:t>Our Board has four standing committees: Audit, Compensation, Nominating and Governance, and Executive. All four committees operate under written charters, copies of which can be obtained upon request from the Corporate Secretary or viewed on Roper’s website (</w:t>
                      </w:r>
                      <w:r>
                        <w:rPr>
                          <w:rFonts w:ascii="ARIAL" w:hAnsi="ARIAL"/>
                          <w:i/>
                          <w:sz w:val="19"/>
                        </w:rPr>
                        <w:t>www.ropertech.com/governance-documents</w:t>
                      </w:r>
                      <w:r>
                        <w:rPr>
                          <w:rFonts w:ascii="ARIAL" w:hAnsi="ARIAL"/>
                          <w:sz w:val="19"/>
                        </w:rPr>
                        <w:t xml:space="preserve">). Each committee reviews its charter annually and reports its activities to the full Board on a regular basis. </w:t>
                      </w:r>
                    </w:p>
                    <w:p>
                      <w:pPr>
                        <w:pStyle w:val="TextBody"/>
                        <w:spacing w:before="120" w:after="0"/>
                        <w:rPr>
                          <w:rFonts w:ascii="ARIAL" w:hAnsi="ARIAL"/>
                          <w:sz w:val="19"/>
                        </w:rPr>
                      </w:pPr>
                      <w:r>
                        <w:rPr>
                          <w:rFonts w:ascii="ARIAL" w:hAnsi="ARIAL"/>
                          <w:sz w:val="19"/>
                        </w:rPr>
                        <w:t xml:space="preserve">The current committee memberships are set forth below. </w:t>
                      </w:r>
                    </w:p>
                  </w:txbxContent>
                </v:textbox>
                <w10:wrap type="square" side="right"/>
              </v:rect>
            </w:pict>
          </mc:Fallback>
        </mc:AlternateContent>
      </w:r>
    </w:p>
    <w:p>
      <w:pPr>
        <w:pStyle w:val="TextBody"/>
        <w:spacing w:before="0" w:after="0"/>
        <w:jc w:val="left"/>
        <w:rPr/>
      </w:pPr>
      <w:r>
        <w:rPr/>
        <w:t> </w:t>
      </w:r>
    </w:p>
    <w:tbl>
      <w:tblPr>
        <w:tblW w:w="6730" w:type="dxa"/>
        <w:jc w:val="left"/>
        <w:tblInd w:w="0" w:type="dxa"/>
        <w:tblCellMar>
          <w:top w:w="0" w:type="dxa"/>
          <w:left w:w="0" w:type="dxa"/>
          <w:bottom w:w="0" w:type="dxa"/>
          <w:right w:w="0" w:type="dxa"/>
        </w:tblCellMar>
      </w:tblPr>
      <w:tblGrid>
        <w:gridCol w:w="2060"/>
        <w:gridCol w:w="120"/>
        <w:gridCol w:w="560"/>
        <w:gridCol w:w="120"/>
        <w:gridCol w:w="1385"/>
        <w:gridCol w:w="120"/>
        <w:gridCol w:w="1145"/>
        <w:gridCol w:w="120"/>
        <w:gridCol w:w="1100"/>
      </w:tblGrid>
      <w:tr>
        <w:trPr/>
        <w:tc>
          <w:tcPr>
            <w:tcW w:w="20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r>
      <w:tr>
        <w:trPr/>
        <w:tc>
          <w:tcPr>
            <w:tcW w:w="2060" w:type="dxa"/>
            <w:tcBorders/>
            <w:shd w:fill="005CB9" w:val="clear"/>
            <w:vAlign w:val="center"/>
          </w:tcPr>
          <w:p>
            <w:pPr>
              <w:pStyle w:val="TableContents"/>
              <w:spacing w:before="0" w:after="283"/>
              <w:rPr>
                <w:color w:val="FFFFFF"/>
              </w:rPr>
            </w:pPr>
            <w:r>
              <w:rPr>
                <w:color w:val="FFFFFF"/>
              </w:rPr>
              <w:t> </w:t>
            </w:r>
            <w:r>
              <w:rPr>
                <w:color w:val="FFFFFF"/>
              </w:rPr>
              <w:t>Director</w:t>
            </w:r>
          </w:p>
        </w:tc>
        <w:tc>
          <w:tcPr>
            <w:tcW w:w="120" w:type="dxa"/>
            <w:tcBorders/>
            <w:shd w:fill="005CB9" w:val="clear"/>
            <w:vAlign w:val="center"/>
          </w:tcPr>
          <w:p>
            <w:pPr>
              <w:pStyle w:val="TableContents"/>
              <w:spacing w:before="0" w:after="283"/>
              <w:rPr/>
            </w:pPr>
            <w:r>
              <w:rPr/>
              <w:t>  </w:t>
            </w:r>
          </w:p>
        </w:tc>
        <w:tc>
          <w:tcPr>
            <w:tcW w:w="560" w:type="dxa"/>
            <w:tcBorders/>
            <w:shd w:fill="005CB9" w:val="clear"/>
            <w:vAlign w:val="center"/>
          </w:tcPr>
          <w:p>
            <w:pPr>
              <w:pStyle w:val="TableContents"/>
              <w:spacing w:before="0" w:after="283"/>
              <w:jc w:val="center"/>
              <w:rPr>
                <w:color w:val="FFFFFF"/>
              </w:rPr>
            </w:pPr>
            <w:r>
              <w:rPr>
                <w:color w:val="FFFFFF"/>
              </w:rPr>
              <w:t>Audit</w:t>
            </w:r>
          </w:p>
        </w:tc>
        <w:tc>
          <w:tcPr>
            <w:tcW w:w="120" w:type="dxa"/>
            <w:tcBorders/>
            <w:shd w:fill="005CB9" w:val="clear"/>
            <w:vAlign w:val="center"/>
          </w:tcPr>
          <w:p>
            <w:pPr>
              <w:pStyle w:val="TableContents"/>
              <w:spacing w:before="0" w:after="283"/>
              <w:rPr/>
            </w:pPr>
            <w:r>
              <w:rPr/>
              <w:t>  </w:t>
            </w:r>
          </w:p>
        </w:tc>
        <w:tc>
          <w:tcPr>
            <w:tcW w:w="1385" w:type="dxa"/>
            <w:tcBorders/>
            <w:shd w:fill="005CB9" w:val="clear"/>
            <w:vAlign w:val="center"/>
          </w:tcPr>
          <w:p>
            <w:pPr>
              <w:pStyle w:val="TableContents"/>
              <w:spacing w:before="0" w:after="283"/>
              <w:jc w:val="center"/>
              <w:rPr>
                <w:color w:val="FFFFFF"/>
              </w:rPr>
            </w:pPr>
            <w:r>
              <w:rPr>
                <w:color w:val="FFFFFF"/>
              </w:rPr>
              <w:t>Compensation</w:t>
            </w:r>
          </w:p>
        </w:tc>
        <w:tc>
          <w:tcPr>
            <w:tcW w:w="120" w:type="dxa"/>
            <w:tcBorders/>
            <w:shd w:fill="005CB9" w:val="clear"/>
            <w:vAlign w:val="center"/>
          </w:tcPr>
          <w:p>
            <w:pPr>
              <w:pStyle w:val="TableContents"/>
              <w:spacing w:before="0" w:after="283"/>
              <w:rPr/>
            </w:pPr>
            <w:r>
              <w:rPr/>
              <w:t>  </w:t>
            </w:r>
          </w:p>
        </w:tc>
        <w:tc>
          <w:tcPr>
            <w:tcW w:w="1145" w:type="dxa"/>
            <w:tcBorders/>
            <w:shd w:fill="005CB9" w:val="clear"/>
            <w:vAlign w:val="center"/>
          </w:tcPr>
          <w:p>
            <w:pPr>
              <w:pStyle w:val="TableContents"/>
              <w:spacing w:before="0" w:after="0"/>
              <w:jc w:val="center"/>
              <w:rPr>
                <w:rFonts w:ascii="arial" w:hAnsi="arial"/>
                <w:color w:val="FFFFFF"/>
                <w:sz w:val="16"/>
              </w:rPr>
            </w:pPr>
            <w:r>
              <w:rPr>
                <w:rFonts w:ascii="arial" w:hAnsi="arial"/>
                <w:color w:val="FFFFFF"/>
                <w:sz w:val="16"/>
              </w:rPr>
              <w:t>Nominating and</w:t>
            </w:r>
          </w:p>
          <w:p>
            <w:pPr>
              <w:pStyle w:val="TableContents"/>
              <w:spacing w:before="0" w:after="20"/>
              <w:jc w:val="center"/>
              <w:rPr>
                <w:rFonts w:ascii="arial" w:hAnsi="arial"/>
                <w:color w:val="FFFFFF"/>
                <w:sz w:val="16"/>
              </w:rPr>
            </w:pPr>
            <w:r>
              <w:rPr>
                <w:rFonts w:ascii="arial" w:hAnsi="arial"/>
                <w:color w:val="FFFFFF"/>
                <w:sz w:val="16"/>
              </w:rPr>
              <w:t>Governance</w:t>
            </w:r>
          </w:p>
        </w:tc>
        <w:tc>
          <w:tcPr>
            <w:tcW w:w="120" w:type="dxa"/>
            <w:tcBorders/>
            <w:shd w:fill="005CB9" w:val="clear"/>
            <w:vAlign w:val="center"/>
          </w:tcPr>
          <w:p>
            <w:pPr>
              <w:pStyle w:val="TableContents"/>
              <w:spacing w:before="0" w:after="283"/>
              <w:rPr/>
            </w:pPr>
            <w:r>
              <w:rPr/>
              <w:t>  </w:t>
            </w:r>
          </w:p>
        </w:tc>
        <w:tc>
          <w:tcPr>
            <w:tcW w:w="1100" w:type="dxa"/>
            <w:tcBorders/>
            <w:shd w:fill="005CB9" w:val="clear"/>
            <w:vAlign w:val="center"/>
          </w:tcPr>
          <w:p>
            <w:pPr>
              <w:pStyle w:val="TableContents"/>
              <w:spacing w:before="0" w:after="283"/>
              <w:jc w:val="center"/>
              <w:rPr>
                <w:color w:val="FFFFFF"/>
              </w:rPr>
            </w:pPr>
            <w:r>
              <w:rPr>
                <w:color w:val="FFFFFF"/>
              </w:rPr>
              <w:t> </w:t>
            </w:r>
            <w:r>
              <w:rPr>
                <w:color w:val="FFFFFF"/>
              </w:rPr>
              <w:t>Executive </w:t>
            </w:r>
          </w:p>
        </w:tc>
      </w:tr>
      <w:tr>
        <w:trPr/>
        <w:tc>
          <w:tcPr>
            <w:tcW w:w="2060" w:type="dxa"/>
            <w:tcBorders>
              <w:bottom w:val="single" w:sz="6" w:space="0" w:color="005CB9"/>
            </w:tcBorders>
            <w:shd w:fill="auto" w:val="clear"/>
            <w:tcMar>
              <w:bottom w:w="28" w:type="dxa"/>
            </w:tcMar>
            <w:vAlign w:val="center"/>
          </w:tcPr>
          <w:p>
            <w:pPr>
              <w:pStyle w:val="TableContents"/>
              <w:spacing w:lineRule="atLeast" w:line="320" w:before="0" w:after="20"/>
              <w:rPr>
                <w:rFonts w:ascii="ARIAL" w:hAnsi="ARIAL"/>
                <w:sz w:val="19"/>
              </w:rPr>
            </w:pPr>
            <w:r>
              <w:rPr>
                <w:rFonts w:ascii="ARIAL" w:hAnsi="ARIAL"/>
                <w:sz w:val="19"/>
              </w:rPr>
              <w:t>Shellye L. Archambeau</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60"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385"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45" w:type="dxa"/>
            <w:tcBorders>
              <w:bottom w:val="single" w:sz="6" w:space="0" w:color="005CB9"/>
            </w:tcBorders>
            <w:shd w:fill="auto" w:val="clear"/>
            <w:tcMar>
              <w:bottom w:w="28" w:type="dxa"/>
            </w:tcMar>
            <w:vAlign w:val="center"/>
          </w:tcPr>
          <w:p>
            <w:pPr>
              <w:pStyle w:val="TableContents"/>
              <w:spacing w:lineRule="atLeast" w:line="320" w:before="0" w:after="20"/>
              <w:jc w:val="center"/>
              <w:rPr>
                <w:rFonts w:ascii="ARIAL" w:hAnsi="ARIAL"/>
                <w:b/>
                <w:color w:val="005CB9"/>
                <w:sz w:val="19"/>
              </w:rPr>
            </w:pPr>
            <w:r>
              <w:rPr>
                <w:rFonts w:ascii="ARIAL" w:hAnsi="ARIAL"/>
                <w:b/>
                <w:color w:val="005CB9"/>
                <w:sz w:val="19"/>
              </w:rPr>
              <w:t>Chair</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00" w:type="dxa"/>
            <w:tcBorders>
              <w:bottom w:val="single" w:sz="6" w:space="0" w:color="005CB9"/>
            </w:tcBorders>
            <w:shd w:fill="auto" w:val="clear"/>
            <w:tcMar>
              <w:bottom w:w="28" w:type="dxa"/>
            </w:tcMar>
            <w:vAlign w:val="center"/>
          </w:tcPr>
          <w:p>
            <w:pPr>
              <w:pStyle w:val="TableContents"/>
              <w:spacing w:before="0" w:after="0"/>
              <w:rPr/>
            </w:pPr>
            <w:r>
              <w:rPr/>
              <w:t> </w:t>
            </w:r>
          </w:p>
          <w:p>
            <w:pPr>
              <w:pStyle w:val="TableContents"/>
              <w:spacing w:before="0" w:after="20"/>
              <w:jc w:val="center"/>
              <w:rPr>
                <w:rFonts w:ascii="WINGDINGS" w:hAnsi="WINGDINGS"/>
                <w:color w:val="005CB9"/>
                <w:sz w:val="16"/>
              </w:rPr>
            </w:pPr>
            <w:r>
              <w:rPr>
                <w:rFonts w:ascii="WINGDINGS" w:hAnsi="WINGDINGS"/>
                <w:color w:val="005CB9"/>
                <w:sz w:val="16"/>
              </w:rPr>
              <w:t>l</w:t>
            </w:r>
          </w:p>
        </w:tc>
      </w:tr>
      <w:tr>
        <w:trPr/>
        <w:tc>
          <w:tcPr>
            <w:tcW w:w="2060" w:type="dxa"/>
            <w:tcBorders>
              <w:bottom w:val="single" w:sz="6" w:space="0" w:color="005CB9"/>
            </w:tcBorders>
            <w:shd w:fill="auto" w:val="clear"/>
            <w:tcMar>
              <w:bottom w:w="28" w:type="dxa"/>
            </w:tcMar>
            <w:vAlign w:val="center"/>
          </w:tcPr>
          <w:p>
            <w:pPr>
              <w:pStyle w:val="TableContents"/>
              <w:spacing w:lineRule="atLeast" w:line="320" w:before="0" w:after="0"/>
              <w:rPr>
                <w:rFonts w:ascii="ARIAL" w:hAnsi="ARIAL"/>
                <w:sz w:val="19"/>
              </w:rPr>
            </w:pPr>
            <w:r>
              <w:rPr>
                <w:rFonts w:ascii="ARIAL" w:hAnsi="ARIAL"/>
                <w:sz w:val="19"/>
              </w:rPr>
              <w:t>Amy Woods Brinkley</w:t>
            </w:r>
          </w:p>
          <w:p>
            <w:pPr>
              <w:pStyle w:val="TableContents"/>
              <w:spacing w:before="0" w:after="2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60"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385" w:type="dxa"/>
            <w:tcBorders>
              <w:bottom w:val="single" w:sz="6" w:space="0" w:color="005CB9"/>
            </w:tcBorders>
            <w:shd w:fill="auto" w:val="clear"/>
            <w:tcMar>
              <w:bottom w:w="28" w:type="dxa"/>
            </w:tcMar>
            <w:vAlign w:val="center"/>
          </w:tcPr>
          <w:p>
            <w:pPr>
              <w:pStyle w:val="TableContents"/>
              <w:spacing w:before="0" w:after="0"/>
              <w:rPr/>
            </w:pPr>
            <w:r>
              <w:rPr/>
              <w:t> </w:t>
            </w:r>
          </w:p>
          <w:p>
            <w:pPr>
              <w:pStyle w:val="TableContents"/>
              <w:spacing w:before="0" w:after="20"/>
              <w:jc w:val="center"/>
              <w:rPr>
                <w:rFonts w:ascii="WINGDINGS" w:hAnsi="WINGDINGS"/>
                <w:color w:val="005CB9"/>
                <w:sz w:val="16"/>
              </w:rPr>
            </w:pPr>
            <w:r>
              <w:rPr>
                <w:rFonts w:ascii="WINGDINGS" w:hAnsi="WINGDINGS"/>
                <w:color w:val="005CB9"/>
                <w:sz w:val="16"/>
              </w:rPr>
              <w:t>l</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45" w:type="dxa"/>
            <w:tcBorders>
              <w:bottom w:val="single" w:sz="6" w:space="0" w:color="005CB9"/>
            </w:tcBorders>
            <w:shd w:fill="auto" w:val="clear"/>
            <w:tcMar>
              <w:bottom w:w="28" w:type="dxa"/>
            </w:tcMar>
            <w:vAlign w:val="center"/>
          </w:tcPr>
          <w:p>
            <w:pPr>
              <w:pStyle w:val="TableContents"/>
              <w:spacing w:before="0" w:after="0"/>
              <w:rPr/>
            </w:pPr>
            <w:r>
              <w:rPr/>
              <w:t> </w:t>
            </w:r>
          </w:p>
          <w:p>
            <w:pPr>
              <w:pStyle w:val="TableContents"/>
              <w:spacing w:before="0" w:after="20"/>
              <w:jc w:val="center"/>
              <w:rPr>
                <w:rFonts w:ascii="WINGDINGS" w:hAnsi="WINGDINGS"/>
                <w:color w:val="005CB9"/>
                <w:sz w:val="16"/>
              </w:rPr>
            </w:pPr>
            <w:r>
              <w:rPr>
                <w:rFonts w:ascii="WINGDINGS" w:hAnsi="WINGDINGS"/>
                <w:color w:val="005CB9"/>
                <w:sz w:val="16"/>
              </w:rPr>
              <w:t>l</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00" w:type="dxa"/>
            <w:tcBorders>
              <w:bottom w:val="single" w:sz="6" w:space="0" w:color="005CB9"/>
            </w:tcBorders>
            <w:shd w:fill="auto" w:val="clear"/>
            <w:tcMar>
              <w:bottom w:w="28" w:type="dxa"/>
            </w:tcMar>
            <w:vAlign w:val="center"/>
          </w:tcPr>
          <w:p>
            <w:pPr>
              <w:pStyle w:val="TableContents"/>
              <w:spacing w:lineRule="atLeast" w:line="320" w:before="0" w:after="0"/>
              <w:jc w:val="center"/>
              <w:rPr>
                <w:rFonts w:ascii="ARIAL" w:hAnsi="ARIAL"/>
                <w:b/>
                <w:color w:val="005CB9"/>
                <w:sz w:val="19"/>
              </w:rPr>
            </w:pPr>
            <w:r>
              <w:rPr>
                <w:rFonts w:ascii="ARIAL" w:hAnsi="ARIAL"/>
                <w:b/>
                <w:color w:val="005CB9"/>
                <w:sz w:val="19"/>
              </w:rPr>
              <w:t>Chair</w:t>
            </w:r>
          </w:p>
          <w:p>
            <w:pPr>
              <w:pStyle w:val="TableContents"/>
              <w:spacing w:before="0" w:after="20"/>
              <w:jc w:val="left"/>
              <w:rPr/>
            </w:pPr>
            <w:r>
              <w:rPr/>
              <w:t> </w:t>
            </w:r>
          </w:p>
        </w:tc>
      </w:tr>
      <w:tr>
        <w:trPr/>
        <w:tc>
          <w:tcPr>
            <w:tcW w:w="2060" w:type="dxa"/>
            <w:tcBorders>
              <w:bottom w:val="single" w:sz="6" w:space="0" w:color="005CB9"/>
            </w:tcBorders>
            <w:shd w:fill="auto" w:val="clear"/>
            <w:tcMar>
              <w:bottom w:w="28" w:type="dxa"/>
            </w:tcMar>
            <w:vAlign w:val="center"/>
          </w:tcPr>
          <w:p>
            <w:pPr>
              <w:pStyle w:val="TableContents"/>
              <w:spacing w:lineRule="atLeast" w:line="320" w:before="0" w:after="0"/>
              <w:rPr>
                <w:rFonts w:ascii="ARIAL" w:hAnsi="ARIAL"/>
                <w:sz w:val="19"/>
              </w:rPr>
            </w:pPr>
            <w:r>
              <w:rPr>
                <w:rFonts w:ascii="ARIAL" w:hAnsi="ARIAL"/>
                <w:sz w:val="19"/>
              </w:rPr>
              <w:t>Irene M. Esteves</w:t>
            </w:r>
          </w:p>
          <w:p>
            <w:pPr>
              <w:pStyle w:val="TableContents"/>
              <w:spacing w:before="0" w:after="2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60" w:type="dxa"/>
            <w:tcBorders>
              <w:bottom w:val="single" w:sz="6" w:space="0" w:color="005CB9"/>
            </w:tcBorders>
            <w:shd w:fill="auto" w:val="clear"/>
            <w:tcMar>
              <w:bottom w:w="28" w:type="dxa"/>
            </w:tcMar>
            <w:vAlign w:val="center"/>
          </w:tcPr>
          <w:p>
            <w:pPr>
              <w:pStyle w:val="TableContents"/>
              <w:spacing w:before="0" w:after="20"/>
              <w:jc w:val="center"/>
              <w:rPr>
                <w:rFonts w:ascii="WINGDINGS" w:hAnsi="WINGDINGS"/>
                <w:color w:val="005CB9"/>
                <w:sz w:val="16"/>
              </w:rPr>
            </w:pPr>
            <w:r>
              <w:rPr>
                <w:rFonts w:ascii="WINGDINGS" w:hAnsi="WINGDINGS"/>
                <w:color w:val="005CB9"/>
                <w:sz w:val="16"/>
              </w:rPr>
              <w:t>l</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385"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45" w:type="dxa"/>
            <w:tcBorders>
              <w:bottom w:val="single" w:sz="6" w:space="0" w:color="005CB9"/>
            </w:tcBorders>
            <w:shd w:fill="auto" w:val="clear"/>
            <w:tcMar>
              <w:bottom w:w="28" w:type="dxa"/>
            </w:tcMar>
            <w:vAlign w:val="center"/>
          </w:tcPr>
          <w:p>
            <w:pPr>
              <w:pStyle w:val="TableContents"/>
              <w:spacing w:lineRule="atLeast" w:line="320" w:before="0" w:after="20"/>
              <w:jc w:val="center"/>
              <w:rPr>
                <w:rFonts w:ascii="WINGDINGS" w:hAnsi="WINGDINGS"/>
                <w:color w:val="005CB9"/>
                <w:sz w:val="16"/>
              </w:rPr>
            </w:pPr>
            <w:r>
              <w:rPr>
                <w:rFonts w:ascii="WINGDINGS" w:hAnsi="WINGDINGS"/>
                <w:color w:val="005CB9"/>
                <w:sz w:val="16"/>
              </w:rPr>
              <w:t>l</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00"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2060" w:type="dxa"/>
            <w:tcBorders>
              <w:bottom w:val="single" w:sz="6" w:space="0" w:color="005CB9"/>
            </w:tcBorders>
            <w:shd w:fill="auto" w:val="clear"/>
            <w:tcMar>
              <w:bottom w:w="28" w:type="dxa"/>
            </w:tcMar>
            <w:vAlign w:val="center"/>
          </w:tcPr>
          <w:p>
            <w:pPr>
              <w:pStyle w:val="TableContents"/>
              <w:spacing w:lineRule="atLeast" w:line="320" w:before="0" w:after="0"/>
              <w:rPr>
                <w:rFonts w:ascii="ARIAL" w:hAnsi="ARIAL"/>
                <w:sz w:val="19"/>
              </w:rPr>
            </w:pPr>
            <w:r>
              <w:rPr>
                <w:rFonts w:ascii="ARIAL" w:hAnsi="ARIAL"/>
                <w:sz w:val="19"/>
              </w:rPr>
              <w:t>Robert D. Johnson</w:t>
            </w:r>
          </w:p>
          <w:p>
            <w:pPr>
              <w:pStyle w:val="TableContents"/>
              <w:spacing w:before="0" w:after="2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60"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385" w:type="dxa"/>
            <w:tcBorders>
              <w:bottom w:val="single" w:sz="6" w:space="0" w:color="005CB9"/>
            </w:tcBorders>
            <w:shd w:fill="auto" w:val="clear"/>
            <w:tcMar>
              <w:bottom w:w="28" w:type="dxa"/>
            </w:tcMar>
            <w:vAlign w:val="center"/>
          </w:tcPr>
          <w:p>
            <w:pPr>
              <w:pStyle w:val="TableContents"/>
              <w:spacing w:before="0" w:after="20"/>
              <w:jc w:val="center"/>
              <w:rPr>
                <w:rFonts w:ascii="WINGDINGS" w:hAnsi="WINGDINGS"/>
                <w:color w:val="005CB9"/>
                <w:sz w:val="16"/>
              </w:rPr>
            </w:pPr>
            <w:r>
              <w:rPr>
                <w:rFonts w:ascii="WINGDINGS" w:hAnsi="WINGDINGS"/>
                <w:color w:val="005CB9"/>
                <w:sz w:val="16"/>
              </w:rPr>
              <w:t>l</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45" w:type="dxa"/>
            <w:tcBorders>
              <w:bottom w:val="single" w:sz="6" w:space="0" w:color="005CB9"/>
            </w:tcBorders>
            <w:shd w:fill="auto" w:val="clear"/>
            <w:tcMar>
              <w:bottom w:w="28" w:type="dxa"/>
            </w:tcMar>
            <w:vAlign w:val="center"/>
          </w:tcPr>
          <w:p>
            <w:pPr>
              <w:pStyle w:val="TableContents"/>
              <w:spacing w:before="0" w:after="20"/>
              <w:jc w:val="center"/>
              <w:rPr>
                <w:rFonts w:ascii="WINGDINGS" w:hAnsi="WINGDINGS"/>
                <w:color w:val="005CB9"/>
                <w:sz w:val="16"/>
              </w:rPr>
            </w:pPr>
            <w:r>
              <w:rPr>
                <w:rFonts w:ascii="WINGDINGS" w:hAnsi="WINGDINGS"/>
                <w:color w:val="005CB9"/>
                <w:sz w:val="16"/>
              </w:rPr>
              <w:t>l</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00"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2060" w:type="dxa"/>
            <w:tcBorders>
              <w:bottom w:val="single" w:sz="6" w:space="0" w:color="005CB9"/>
            </w:tcBorders>
            <w:shd w:fill="auto" w:val="clear"/>
            <w:tcMar>
              <w:bottom w:w="28" w:type="dxa"/>
            </w:tcMar>
            <w:vAlign w:val="center"/>
          </w:tcPr>
          <w:p>
            <w:pPr>
              <w:pStyle w:val="TableContents"/>
              <w:spacing w:lineRule="atLeast" w:line="320" w:before="0" w:after="0"/>
              <w:rPr>
                <w:rFonts w:ascii="ARIAL" w:hAnsi="ARIAL"/>
                <w:sz w:val="19"/>
              </w:rPr>
            </w:pPr>
            <w:r>
              <w:rPr>
                <w:rFonts w:ascii="ARIAL" w:hAnsi="ARIAL"/>
                <w:sz w:val="19"/>
              </w:rPr>
              <w:t>Thomas P. Joyce, Jr.</w:t>
            </w:r>
          </w:p>
          <w:p>
            <w:pPr>
              <w:pStyle w:val="TableContents"/>
              <w:spacing w:before="0" w:after="2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60" w:type="dxa"/>
            <w:tcBorders>
              <w:bottom w:val="single" w:sz="6" w:space="0" w:color="005CB9"/>
            </w:tcBorders>
            <w:shd w:fill="auto" w:val="clear"/>
            <w:tcMar>
              <w:bottom w:w="28" w:type="dxa"/>
            </w:tcMar>
            <w:vAlign w:val="center"/>
          </w:tcPr>
          <w:p>
            <w:pPr>
              <w:pStyle w:val="TableContents"/>
              <w:spacing w:before="0" w:after="0"/>
              <w:rPr/>
            </w:pPr>
            <w:r>
              <w:rPr/>
              <w:t> </w:t>
            </w:r>
          </w:p>
          <w:p>
            <w:pPr>
              <w:pStyle w:val="TableContents"/>
              <w:spacing w:before="0" w:after="20"/>
              <w:jc w:val="center"/>
              <w:rPr>
                <w:rFonts w:ascii="WINGDINGS" w:hAnsi="WINGDINGS"/>
                <w:color w:val="005CB9"/>
                <w:sz w:val="16"/>
              </w:rPr>
            </w:pPr>
            <w:r>
              <w:rPr>
                <w:rFonts w:ascii="WINGDINGS" w:hAnsi="WINGDINGS"/>
                <w:color w:val="005CB9"/>
                <w:sz w:val="16"/>
              </w:rPr>
              <w:t>l</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385" w:type="dxa"/>
            <w:tcBorders>
              <w:bottom w:val="single" w:sz="6" w:space="0" w:color="005CB9"/>
            </w:tcBorders>
            <w:shd w:fill="auto" w:val="clear"/>
            <w:tcMar>
              <w:bottom w:w="28" w:type="dxa"/>
            </w:tcMar>
            <w:vAlign w:val="center"/>
          </w:tcPr>
          <w:p>
            <w:pPr>
              <w:pStyle w:val="TableContents"/>
              <w:spacing w:before="0" w:after="0"/>
              <w:rPr/>
            </w:pPr>
            <w:r>
              <w:rPr/>
              <w:t> </w:t>
            </w:r>
          </w:p>
          <w:p>
            <w:pPr>
              <w:pStyle w:val="TableContents"/>
              <w:spacing w:lineRule="atLeast" w:line="320" w:before="0" w:after="20"/>
              <w:jc w:val="center"/>
              <w:rPr>
                <w:rFonts w:ascii="WINGDINGS" w:hAnsi="WINGDINGS"/>
                <w:color w:val="005CB9"/>
                <w:sz w:val="16"/>
              </w:rPr>
            </w:pPr>
            <w:r>
              <w:rPr>
                <w:rFonts w:ascii="WINGDINGS" w:hAnsi="WINGDINGS"/>
                <w:color w:val="005CB9"/>
                <w:sz w:val="16"/>
              </w:rPr>
              <w:t>l</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45"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00"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2060" w:type="dxa"/>
            <w:tcBorders>
              <w:bottom w:val="single" w:sz="6" w:space="0" w:color="005CB9"/>
            </w:tcBorders>
            <w:shd w:fill="auto" w:val="clear"/>
            <w:tcMar>
              <w:bottom w:w="28" w:type="dxa"/>
            </w:tcMar>
            <w:vAlign w:val="center"/>
          </w:tcPr>
          <w:p>
            <w:pPr>
              <w:pStyle w:val="TableContents"/>
              <w:spacing w:lineRule="atLeast" w:line="320" w:before="0" w:after="0"/>
              <w:rPr>
                <w:rFonts w:ascii="ARIAL" w:hAnsi="ARIAL"/>
                <w:sz w:val="19"/>
              </w:rPr>
            </w:pPr>
            <w:r>
              <w:rPr>
                <w:rFonts w:ascii="ARIAL" w:hAnsi="ARIAL"/>
                <w:sz w:val="19"/>
              </w:rPr>
              <w:t>Laura G. Thatcher</w:t>
            </w:r>
          </w:p>
          <w:p>
            <w:pPr>
              <w:pStyle w:val="TableContents"/>
              <w:spacing w:before="0" w:after="2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60"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385" w:type="dxa"/>
            <w:tcBorders>
              <w:bottom w:val="single" w:sz="6" w:space="0" w:color="005CB9"/>
            </w:tcBorders>
            <w:shd w:fill="auto" w:val="clear"/>
            <w:tcMar>
              <w:bottom w:w="28" w:type="dxa"/>
            </w:tcMar>
            <w:vAlign w:val="center"/>
          </w:tcPr>
          <w:p>
            <w:pPr>
              <w:pStyle w:val="TableContents"/>
              <w:spacing w:lineRule="atLeast" w:line="320" w:before="0" w:after="0"/>
              <w:jc w:val="center"/>
              <w:rPr>
                <w:rFonts w:ascii="ARIAL" w:hAnsi="ARIAL"/>
                <w:b/>
                <w:color w:val="005CB9"/>
                <w:sz w:val="19"/>
              </w:rPr>
            </w:pPr>
            <w:r>
              <w:rPr>
                <w:rFonts w:ascii="ARIAL" w:hAnsi="ARIAL"/>
                <w:b/>
                <w:color w:val="005CB9"/>
                <w:sz w:val="19"/>
              </w:rPr>
              <w:t>Chair</w:t>
            </w:r>
          </w:p>
          <w:p>
            <w:pPr>
              <w:pStyle w:val="TableContents"/>
              <w:spacing w:before="0" w:after="20"/>
              <w:jc w:val="left"/>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45"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00" w:type="dxa"/>
            <w:tcBorders>
              <w:bottom w:val="single" w:sz="6" w:space="0" w:color="005CB9"/>
            </w:tcBorders>
            <w:shd w:fill="auto" w:val="clear"/>
            <w:tcMar>
              <w:bottom w:w="28" w:type="dxa"/>
            </w:tcMar>
            <w:vAlign w:val="center"/>
          </w:tcPr>
          <w:p>
            <w:pPr>
              <w:pStyle w:val="TableContents"/>
              <w:spacing w:before="0" w:after="20"/>
              <w:jc w:val="center"/>
              <w:rPr>
                <w:rFonts w:ascii="WINGDINGS" w:hAnsi="WINGDINGS"/>
                <w:color w:val="005CB9"/>
                <w:sz w:val="16"/>
              </w:rPr>
            </w:pPr>
            <w:r>
              <w:rPr>
                <w:rFonts w:ascii="WINGDINGS" w:hAnsi="WINGDINGS"/>
                <w:color w:val="005CB9"/>
                <w:sz w:val="16"/>
              </w:rPr>
              <w:t>l</w:t>
            </w:r>
          </w:p>
        </w:tc>
      </w:tr>
      <w:tr>
        <w:trPr/>
        <w:tc>
          <w:tcPr>
            <w:tcW w:w="2060" w:type="dxa"/>
            <w:tcBorders>
              <w:bottom w:val="single" w:sz="6" w:space="0" w:color="005CB9"/>
            </w:tcBorders>
            <w:shd w:fill="auto" w:val="clear"/>
            <w:tcMar>
              <w:bottom w:w="28" w:type="dxa"/>
            </w:tcMar>
            <w:vAlign w:val="center"/>
          </w:tcPr>
          <w:p>
            <w:pPr>
              <w:pStyle w:val="TableContents"/>
              <w:spacing w:lineRule="atLeast" w:line="320" w:before="0" w:after="0"/>
              <w:rPr>
                <w:rFonts w:ascii="ARIAL" w:hAnsi="ARIAL"/>
                <w:sz w:val="19"/>
              </w:rPr>
            </w:pPr>
            <w:r>
              <w:rPr>
                <w:rFonts w:ascii="ARIAL" w:hAnsi="ARIAL"/>
                <w:sz w:val="19"/>
              </w:rPr>
              <w:t>Richard F. Wallman</w:t>
            </w:r>
          </w:p>
          <w:p>
            <w:pPr>
              <w:pStyle w:val="TableContents"/>
              <w:spacing w:before="0" w:after="2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60" w:type="dxa"/>
            <w:tcBorders>
              <w:bottom w:val="single" w:sz="6" w:space="0" w:color="005CB9"/>
            </w:tcBorders>
            <w:shd w:fill="auto" w:val="clear"/>
            <w:tcMar>
              <w:bottom w:w="28" w:type="dxa"/>
            </w:tcMar>
            <w:vAlign w:val="center"/>
          </w:tcPr>
          <w:p>
            <w:pPr>
              <w:pStyle w:val="TableContents"/>
              <w:spacing w:lineRule="atLeast" w:line="320" w:before="0" w:after="20"/>
              <w:jc w:val="center"/>
              <w:rPr>
                <w:rFonts w:ascii="ARIAL" w:hAnsi="ARIAL"/>
                <w:b/>
                <w:color w:val="005CB9"/>
                <w:sz w:val="19"/>
              </w:rPr>
            </w:pPr>
            <w:r>
              <w:rPr>
                <w:rFonts w:ascii="ARIAL" w:hAnsi="ARIAL"/>
                <w:b/>
                <w:color w:val="005CB9"/>
                <w:sz w:val="19"/>
              </w:rPr>
              <w:t>Chair</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385"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45"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00" w:type="dxa"/>
            <w:tcBorders>
              <w:bottom w:val="single" w:sz="6" w:space="0" w:color="005CB9"/>
            </w:tcBorders>
            <w:shd w:fill="auto" w:val="clear"/>
            <w:tcMar>
              <w:bottom w:w="28" w:type="dxa"/>
            </w:tcMar>
            <w:vAlign w:val="center"/>
          </w:tcPr>
          <w:p>
            <w:pPr>
              <w:pStyle w:val="TableContents"/>
              <w:spacing w:before="0" w:after="20"/>
              <w:jc w:val="center"/>
              <w:rPr>
                <w:rFonts w:ascii="WINGDINGS" w:hAnsi="WINGDINGS"/>
                <w:color w:val="005CB9"/>
                <w:sz w:val="16"/>
              </w:rPr>
            </w:pPr>
            <w:r>
              <w:rPr>
                <w:rFonts w:ascii="WINGDINGS" w:hAnsi="WINGDINGS"/>
                <w:color w:val="005CB9"/>
                <w:sz w:val="16"/>
              </w:rPr>
              <w:t>l</w:t>
            </w:r>
          </w:p>
        </w:tc>
      </w:tr>
      <w:tr>
        <w:trPr/>
        <w:tc>
          <w:tcPr>
            <w:tcW w:w="2060" w:type="dxa"/>
            <w:tcBorders>
              <w:bottom w:val="single" w:sz="6" w:space="0" w:color="005CB9"/>
            </w:tcBorders>
            <w:shd w:fill="auto" w:val="clear"/>
            <w:tcMar>
              <w:bottom w:w="28" w:type="dxa"/>
            </w:tcMar>
            <w:vAlign w:val="center"/>
          </w:tcPr>
          <w:p>
            <w:pPr>
              <w:pStyle w:val="TableContents"/>
              <w:spacing w:lineRule="atLeast" w:line="320" w:before="0" w:after="0"/>
              <w:rPr>
                <w:rFonts w:ascii="ARIAL" w:hAnsi="ARIAL"/>
                <w:sz w:val="19"/>
              </w:rPr>
            </w:pPr>
            <w:r>
              <w:rPr>
                <w:rFonts w:ascii="ARIAL" w:hAnsi="ARIAL"/>
                <w:sz w:val="19"/>
              </w:rPr>
              <w:t>Christopher Wright</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560" w:type="dxa"/>
            <w:tcBorders>
              <w:bottom w:val="single" w:sz="6" w:space="0" w:color="005CB9"/>
            </w:tcBorders>
            <w:shd w:fill="auto" w:val="clear"/>
            <w:tcMar>
              <w:bottom w:w="28" w:type="dxa"/>
            </w:tcMar>
            <w:vAlign w:val="center"/>
          </w:tcPr>
          <w:p>
            <w:pPr>
              <w:pStyle w:val="TableContents"/>
              <w:spacing w:before="0" w:after="20"/>
              <w:jc w:val="center"/>
              <w:rPr>
                <w:rFonts w:ascii="WINGDINGS" w:hAnsi="WINGDINGS"/>
                <w:color w:val="005CB9"/>
                <w:sz w:val="16"/>
              </w:rPr>
            </w:pPr>
            <w:r>
              <w:rPr>
                <w:rFonts w:ascii="WINGDINGS" w:hAnsi="WINGDINGS"/>
                <w:color w:val="005CB9"/>
                <w:sz w:val="16"/>
              </w:rPr>
              <w:t>l</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385" w:type="dxa"/>
            <w:tcBorders>
              <w:bottom w:val="single" w:sz="6" w:space="0" w:color="005CB9"/>
            </w:tcBorders>
            <w:shd w:fill="auto" w:val="clear"/>
            <w:tcMar>
              <w:bottom w:w="28" w:type="dxa"/>
            </w:tcMar>
            <w:vAlign w:val="center"/>
          </w:tcPr>
          <w:p>
            <w:pPr>
              <w:pStyle w:val="TableContents"/>
              <w:spacing w:before="0" w:after="0"/>
              <w:rPr/>
            </w:pPr>
            <w:r>
              <w:rPr/>
              <w:t> </w:t>
            </w:r>
          </w:p>
          <w:p>
            <w:pPr>
              <w:pStyle w:val="TableContents"/>
              <w:spacing w:before="0" w:after="20"/>
              <w:jc w:val="center"/>
              <w:rPr>
                <w:rFonts w:ascii="WINGDINGS" w:hAnsi="WINGDINGS"/>
                <w:color w:val="005CB9"/>
                <w:sz w:val="16"/>
              </w:rPr>
            </w:pPr>
            <w:r>
              <w:rPr>
                <w:rFonts w:ascii="WINGDINGS" w:hAnsi="WINGDINGS"/>
                <w:color w:val="005CB9"/>
                <w:sz w:val="16"/>
              </w:rPr>
              <w:t>l</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45"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5CB9"/>
            </w:tcBorders>
            <w:shd w:fill="auto" w:val="clear"/>
            <w:tcMar>
              <w:bottom w:w="28" w:type="dxa"/>
            </w:tcMar>
            <w:vAlign w:val="center"/>
          </w:tcPr>
          <w:p>
            <w:pPr>
              <w:pStyle w:val="TableContents"/>
              <w:spacing w:before="0" w:after="283"/>
              <w:rPr/>
            </w:pPr>
            <w:r>
              <w:rPr/>
              <w:t>  </w:t>
            </w:r>
          </w:p>
        </w:tc>
        <w:tc>
          <w:tcPr>
            <w:tcW w:w="1100" w:type="dxa"/>
            <w:tcBorders>
              <w:bottom w:val="single" w:sz="6" w:space="0" w:color="005CB9"/>
            </w:tcBorders>
            <w:shd w:fill="auto" w:val="clear"/>
            <w:tcMar>
              <w:bottom w:w="28" w:type="dxa"/>
            </w:tcMar>
            <w:vAlign w:val="center"/>
          </w:tcPr>
          <w:p>
            <w:pPr>
              <w:pStyle w:val="TableContents"/>
              <w:rPr/>
            </w:pPr>
            <w:r>
              <w:rPr/>
              <w:t xml:space="preserve">  </w:t>
            </w:r>
          </w:p>
          <w:p>
            <w:pPr>
              <w:pStyle w:val="TableContents"/>
              <w:spacing w:before="0" w:after="0"/>
              <w:rPr/>
            </w:pPr>
            <w:r>
              <w:rPr/>
              <w:t> </w:t>
            </w:r>
          </w:p>
        </w:tc>
      </w:tr>
    </w:tbl>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14</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7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8" descr=""/>
                          <pic:cNvPicPr>
                            <a:picLocks noChangeAspect="1" noChangeArrowheads="1"/>
                          </pic:cNvPicPr>
                        </pic:nvPicPr>
                        <pic:blipFill>
                          <a:blip r:embed="rId59"/>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BOARD COMMITTEES AND MEETINGS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3110230" cy="7973060"/>
                <wp:effectExtent l="0" t="0" r="0" b="0"/>
                <wp:wrapSquare wrapText="largest"/>
                <wp:docPr id="74" name="Frame15"/>
                <a:graphic xmlns:a="http://schemas.openxmlformats.org/drawingml/2006/main">
                  <a:graphicData uri="http://schemas.microsoft.com/office/word/2010/wordprocessingShape">
                    <wps:wsp>
                      <wps:cNvSpPr txBox="1"/>
                      <wps:spPr>
                        <a:xfrm>
                          <a:off x="0" y="0"/>
                          <a:ext cx="3110230" cy="7973060"/>
                        </a:xfrm>
                        <a:prstGeom prst="rect"/>
                      </wps:spPr>
                      <wps:txbx>
                        <w:txbxContent>
                          <w:p>
                            <w:pPr>
                              <w:pStyle w:val="TextBody"/>
                              <w:spacing w:before="0" w:after="0"/>
                              <w:rPr>
                                <w:rFonts w:ascii="ARIAL" w:hAnsi="ARIAL"/>
                                <w:color w:val="005CB9"/>
                                <w:sz w:val="20"/>
                              </w:rPr>
                            </w:pPr>
                            <w:r>
                              <w:rPr>
                                <w:rFonts w:ascii="ARIAL" w:hAnsi="ARIAL"/>
                                <w:b/>
                                <w:i/>
                                <w:color w:val="005CB9"/>
                                <w:sz w:val="20"/>
                              </w:rPr>
                              <w:t xml:space="preserve">Audit Committee: </w:t>
                            </w:r>
                            <w:r>
                              <w:rPr>
                                <w:rFonts w:ascii="ARIAL" w:hAnsi="ARIAL"/>
                                <w:b/>
                                <w:color w:val="005CB9"/>
                                <w:sz w:val="20"/>
                              </w:rPr>
                              <w:t xml:space="preserve">10 Meetings Held in 2022 </w:t>
                            </w:r>
                          </w:p>
                          <w:p>
                            <w:pPr>
                              <w:pStyle w:val="TextBody"/>
                              <w:spacing w:before="120" w:after="0"/>
                              <w:rPr>
                                <w:rFonts w:ascii="ARIAL" w:hAnsi="ARIAL"/>
                                <w:sz w:val="19"/>
                              </w:rPr>
                            </w:pPr>
                            <w:r>
                              <w:rPr>
                                <w:rFonts w:ascii="ARIAL" w:hAnsi="ARIAL"/>
                                <w:sz w:val="19"/>
                              </w:rPr>
                              <w:t xml:space="preserve">The Audit Committee assists our Board in its oversight of the quality and integrity of our financial statements, our structure for compliance with legal and regulatory requirements, and the performance of our internal audit functions. The Board has determined that based upon their extensive background and expertise, Ms. Esteves and Messrs. Joyce, Wallman and Wright meet the criteria of an “audit committee financial expert” under SEC rules. The Board has determined that all Audit Committee members meet the heightened independence standards under NYSE and SEC rules applicable to audit committees and satisfy the NYSE standard of financial literacy, having accounting and related financial management expertise. </w:t>
                            </w:r>
                          </w:p>
                          <w:p>
                            <w:pPr>
                              <w:pStyle w:val="TextBody"/>
                              <w:spacing w:before="120" w:after="0"/>
                              <w:rPr>
                                <w:rFonts w:ascii="ARIAL" w:hAnsi="ARIAL"/>
                                <w:sz w:val="19"/>
                              </w:rPr>
                            </w:pPr>
                            <w:r>
                              <w:rPr>
                                <w:rFonts w:ascii="ARIAL" w:hAnsi="ARIAL"/>
                                <w:sz w:val="19"/>
                              </w:rPr>
                              <w:t xml:space="preserve">Pursuant to its charter, the Audit Committee has the authority and responsibility to: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appoint, compensate, retain and oversee the independent registered public accounting firm engaged by us; approve all audit engagement fees and terms, as well as pre-approve all non-audit engagements; and ensure that the independent auditors remain independent and objective;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review the appointment and replacement of the head of our Vice President of Audit Services, who provides the Audit Committee with significant reports to management and management’s responses thereto;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consider any reports or communications submitted by the independent auditors relating to our financial statements, policies, processes or determinations;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meet with management, the independent auditors and others to discuss matters relating to the scope and results of any audit, the financial statements, and changes to any auditing or accounting principles, policies, controls procedures or practices;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review any major issues regarding accounting principles and financial statement presentations, including significant changes in the selection or application of accounting principles, and major issues as to the adequacy of our internal controls, analyses regarding significant financial reporting issues and judgments made in connection with the preparation of the financial statements, and the effects of regulatory and accounting initiatives; </w:t>
                                  </w:r>
                                </w:p>
                              </w:tc>
                            </w:tr>
                          </w:tbl>
                          <w:p>
                            <w:pPr>
                              <w:pStyle w:val="TextBody"/>
                              <w:spacing w:before="0" w:after="0"/>
                              <w:rPr/>
                            </w:pPr>
                            <w:r>
                              <w:rPr/>
                              <w:t> </w:t>
                            </w:r>
                          </w:p>
                          <w:tbl>
                            <w:tblPr>
                              <w:tblW w:w="9130" w:type="dxa"/>
                              <w:jc w:val="left"/>
                              <w:tblInd w:w="0" w:type="dxa"/>
                              <w:tblCellMar>
                                <w:top w:w="0" w:type="dxa"/>
                                <w:left w:w="0" w:type="dxa"/>
                                <w:bottom w:w="0" w:type="dxa"/>
                                <w:right w:w="0" w:type="dxa"/>
                              </w:tblCellMar>
                            </w:tblPr>
                            <w:tblGrid>
                              <w:gridCol w:w="125"/>
                              <w:gridCol w:w="60"/>
                              <w:gridCol w:w="894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45" w:type="dxa"/>
                                  <w:tcBorders/>
                                  <w:shd w:fill="auto" w:val="clear"/>
                                  <w:vAlign w:val="center"/>
                                </w:tcPr>
                                <w:p>
                                  <w:pPr>
                                    <w:pStyle w:val="TableContents"/>
                                    <w:spacing w:before="0" w:after="283"/>
                                    <w:jc w:val="left"/>
                                    <w:rPr/>
                                  </w:pPr>
                                  <w:r>
                                    <w:rPr/>
                                    <w:t xml:space="preserve">review significant risks and exposures and the steps taken to monitor and minimize such risks;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27.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color w:val="005CB9"/>
                          <w:sz w:val="20"/>
                        </w:rPr>
                      </w:pPr>
                      <w:r>
                        <w:rPr>
                          <w:rFonts w:ascii="ARIAL" w:hAnsi="ARIAL"/>
                          <w:b/>
                          <w:i/>
                          <w:color w:val="005CB9"/>
                          <w:sz w:val="20"/>
                        </w:rPr>
                        <w:t xml:space="preserve">Audit Committee: </w:t>
                      </w:r>
                      <w:r>
                        <w:rPr>
                          <w:rFonts w:ascii="ARIAL" w:hAnsi="ARIAL"/>
                          <w:b/>
                          <w:color w:val="005CB9"/>
                          <w:sz w:val="20"/>
                        </w:rPr>
                        <w:t xml:space="preserve">10 Meetings Held in 2022 </w:t>
                      </w:r>
                    </w:p>
                    <w:p>
                      <w:pPr>
                        <w:pStyle w:val="TextBody"/>
                        <w:spacing w:before="120" w:after="0"/>
                        <w:rPr>
                          <w:rFonts w:ascii="ARIAL" w:hAnsi="ARIAL"/>
                          <w:sz w:val="19"/>
                        </w:rPr>
                      </w:pPr>
                      <w:r>
                        <w:rPr>
                          <w:rFonts w:ascii="ARIAL" w:hAnsi="ARIAL"/>
                          <w:sz w:val="19"/>
                        </w:rPr>
                        <w:t xml:space="preserve">The Audit Committee assists our Board in its oversight of the quality and integrity of our financial statements, our structure for compliance with legal and regulatory requirements, and the performance of our internal audit functions. The Board has determined that based upon their extensive background and expertise, Ms. Esteves and Messrs. Joyce, Wallman and Wright meet the criteria of an “audit committee financial expert” under SEC rules. The Board has determined that all Audit Committee members meet the heightened independence standards under NYSE and SEC rules applicable to audit committees and satisfy the NYSE standard of financial literacy, having accounting and related financial management expertise. </w:t>
                      </w:r>
                    </w:p>
                    <w:p>
                      <w:pPr>
                        <w:pStyle w:val="TextBody"/>
                        <w:spacing w:before="120" w:after="0"/>
                        <w:rPr>
                          <w:rFonts w:ascii="ARIAL" w:hAnsi="ARIAL"/>
                          <w:sz w:val="19"/>
                        </w:rPr>
                      </w:pPr>
                      <w:r>
                        <w:rPr>
                          <w:rFonts w:ascii="ARIAL" w:hAnsi="ARIAL"/>
                          <w:sz w:val="19"/>
                        </w:rPr>
                        <w:t xml:space="preserve">Pursuant to its charter, the Audit Committee has the authority and responsibility to: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appoint, compensate, retain and oversee the independent registered public accounting firm engaged by us; approve all audit engagement fees and terms, as well as pre-approve all non-audit engagements; and ensure that the independent auditors remain independent and objective;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review the appointment and replacement of the head of our Vice President of Audit Services, who provides the Audit Committee with significant reports to management and management’s responses thereto;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consider any reports or communications submitted by the independent auditors relating to our financial statements, policies, processes or determinations;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meet with management, the independent auditors and others to discuss matters relating to the scope and results of any audit, the financial statements, and changes to any auditing or accounting principles, policies, controls procedures or practices;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review any major issues regarding accounting principles and financial statement presentations, including significant changes in the selection or application of accounting principles, and major issues as to the adequacy of our internal controls, analyses regarding significant financial reporting issues and judgments made in connection with the preparation of the financial statements, and the effects of regulatory and accounting initiatives; </w:t>
                            </w:r>
                          </w:p>
                        </w:tc>
                      </w:tr>
                    </w:tbl>
                    <w:p>
                      <w:pPr>
                        <w:pStyle w:val="TextBody"/>
                        <w:spacing w:before="0" w:after="0"/>
                        <w:rPr/>
                      </w:pPr>
                      <w:r>
                        <w:rPr/>
                        <w:t> </w:t>
                      </w:r>
                    </w:p>
                    <w:tbl>
                      <w:tblPr>
                        <w:tblW w:w="9130" w:type="dxa"/>
                        <w:jc w:val="left"/>
                        <w:tblInd w:w="0" w:type="dxa"/>
                        <w:tblCellMar>
                          <w:top w:w="0" w:type="dxa"/>
                          <w:left w:w="0" w:type="dxa"/>
                          <w:bottom w:w="0" w:type="dxa"/>
                          <w:right w:w="0" w:type="dxa"/>
                        </w:tblCellMar>
                      </w:tblPr>
                      <w:tblGrid>
                        <w:gridCol w:w="125"/>
                        <w:gridCol w:w="60"/>
                        <w:gridCol w:w="894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45" w:type="dxa"/>
                            <w:tcBorders/>
                            <w:shd w:fill="auto" w:val="clear"/>
                            <w:vAlign w:val="center"/>
                          </w:tcPr>
                          <w:p>
                            <w:pPr>
                              <w:pStyle w:val="TableContents"/>
                              <w:spacing w:before="0" w:after="283"/>
                              <w:jc w:val="left"/>
                              <w:rPr/>
                            </w:pPr>
                            <w:r>
                              <w:rPr/>
                              <w:t xml:space="preserve">review significant risks and exposures and the steps taken to monitor and minimize such risks;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3175000" cy="7272655"/>
                <wp:effectExtent l="0" t="0" r="0" b="0"/>
                <wp:wrapSquare wrapText="largest"/>
                <wp:docPr id="75" name="Frame16"/>
                <a:graphic xmlns:a="http://schemas.openxmlformats.org/drawingml/2006/main">
                  <a:graphicData uri="http://schemas.microsoft.com/office/word/2010/wordprocessingShape">
                    <wps:wsp>
                      <wps:cNvSpPr txBox="1"/>
                      <wps:spPr>
                        <a:xfrm>
                          <a:off x="0" y="0"/>
                          <a:ext cx="3175000" cy="7272655"/>
                        </a:xfrm>
                        <a:prstGeom prst="rect"/>
                      </wps:spPr>
                      <wps:txbx>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establish procedures for the receipt, investigation and resolution of complaints received by Roper regarding accounting, internal accounting controls or auditing matters, and for the confidential, anonymous submission by employees of concerns regarding questionable accounting or auditing matters;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prepare reports and disclosures required to be included in this Proxy Statement, including the “Audit Committee Report” below. </w:t>
                                  </w:r>
                                </w:p>
                              </w:tc>
                            </w:tr>
                          </w:tbl>
                          <w:p>
                            <w:pPr>
                              <w:pStyle w:val="TextBody"/>
                              <w:spacing w:before="240" w:after="0"/>
                              <w:rPr>
                                <w:rFonts w:ascii="ARIAL" w:hAnsi="ARIAL"/>
                                <w:color w:val="005CB9"/>
                                <w:sz w:val="20"/>
                              </w:rPr>
                            </w:pPr>
                            <w:r>
                              <w:rPr>
                                <w:rFonts w:ascii="ARIAL" w:hAnsi="ARIAL"/>
                                <w:b/>
                                <w:i/>
                                <w:color w:val="005CB9"/>
                                <w:sz w:val="20"/>
                              </w:rPr>
                              <w:t>Compensation Committee:</w:t>
                            </w:r>
                            <w:r>
                              <w:rPr>
                                <w:rFonts w:ascii="ARIAL" w:hAnsi="ARIAL"/>
                                <w:color w:val="005CB9"/>
                                <w:sz w:val="20"/>
                              </w:rPr>
                              <w:t xml:space="preserve"> </w:t>
                            </w:r>
                            <w:r>
                              <w:rPr>
                                <w:rFonts w:ascii="ARIAL" w:hAnsi="ARIAL"/>
                                <w:b/>
                                <w:color w:val="005CB9"/>
                                <w:sz w:val="20"/>
                              </w:rPr>
                              <w:t xml:space="preserve">5 Meetings Held in 2022 </w:t>
                            </w:r>
                          </w:p>
                          <w:p>
                            <w:pPr>
                              <w:pStyle w:val="TextBody"/>
                              <w:spacing w:before="120" w:after="0"/>
                              <w:rPr>
                                <w:rFonts w:ascii="ARIAL" w:hAnsi="ARIAL"/>
                                <w:sz w:val="19"/>
                              </w:rPr>
                            </w:pPr>
                            <w:r>
                              <w:rPr>
                                <w:rFonts w:ascii="ARIAL" w:hAnsi="ARIAL"/>
                                <w:sz w:val="19"/>
                              </w:rPr>
                              <w:t xml:space="preserve">The Compensation Committee administers our executive incentive compensation programs and determines annual salary levels and incentive compensation awards for our executive officers. The Board has determined that all Compensation Committee members meet the heightened independence standards under NYSE and SEC rules applicable to compensation committees. The Compensation Committee also, at the direction of the Board, periodically reviews and determines the form and amounts of director compensation. The Compensation Committee may delegate its duties and responsibilities to a sub-committee of the Committee and has the authority to retain its own compensation consultants. Additional information regarding the Compensation Committee’s processes and procedures for the consideration and determination of executive compensation is set forth below in this Proxy Statement under “Compensation Discussion and Analysis.” </w:t>
                            </w:r>
                          </w:p>
                          <w:p>
                            <w:pPr>
                              <w:pStyle w:val="TextBody"/>
                              <w:spacing w:before="120" w:after="0"/>
                              <w:rPr>
                                <w:rFonts w:ascii="ARIAL" w:hAnsi="ARIAL"/>
                                <w:sz w:val="19"/>
                              </w:rPr>
                            </w:pPr>
                            <w:r>
                              <w:rPr>
                                <w:rFonts w:ascii="ARIAL" w:hAnsi="ARIAL"/>
                                <w:sz w:val="19"/>
                              </w:rPr>
                              <w:t xml:space="preserve">Pursuant to its charter, the Compensation Committee has the authority and responsibility to: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annually review and approve corporate goals and objectives relevant to our CEO’s compensation and based on that evaluation, determine and approve our CEO’s compensation, including salary, bonus, incentive and equity compensation;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annually review performance and approve compensation, including salary, bonus, incentive and equity compensation for our executive officers;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grant awards and otherwise make determinations under our equity, incentive, retirement, and deferred compensation plans, to the extent provided in such plans;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72.6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establish procedures for the receipt, investigation and resolution of complaints received by Roper regarding accounting, internal accounting controls or auditing matters, and for the confidential, anonymous submission by employees of concerns regarding questionable accounting or auditing matters;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prepare reports and disclosures required to be included in this Proxy Statement, including the “Audit Committee Report” below. </w:t>
                            </w:r>
                          </w:p>
                        </w:tc>
                      </w:tr>
                    </w:tbl>
                    <w:p>
                      <w:pPr>
                        <w:pStyle w:val="TextBody"/>
                        <w:spacing w:before="240" w:after="0"/>
                        <w:rPr>
                          <w:rFonts w:ascii="ARIAL" w:hAnsi="ARIAL"/>
                          <w:color w:val="005CB9"/>
                          <w:sz w:val="20"/>
                        </w:rPr>
                      </w:pPr>
                      <w:r>
                        <w:rPr>
                          <w:rFonts w:ascii="ARIAL" w:hAnsi="ARIAL"/>
                          <w:b/>
                          <w:i/>
                          <w:color w:val="005CB9"/>
                          <w:sz w:val="20"/>
                        </w:rPr>
                        <w:t>Compensation Committee:</w:t>
                      </w:r>
                      <w:r>
                        <w:rPr>
                          <w:rFonts w:ascii="ARIAL" w:hAnsi="ARIAL"/>
                          <w:color w:val="005CB9"/>
                          <w:sz w:val="20"/>
                        </w:rPr>
                        <w:t xml:space="preserve"> </w:t>
                      </w:r>
                      <w:r>
                        <w:rPr>
                          <w:rFonts w:ascii="ARIAL" w:hAnsi="ARIAL"/>
                          <w:b/>
                          <w:color w:val="005CB9"/>
                          <w:sz w:val="20"/>
                        </w:rPr>
                        <w:t xml:space="preserve">5 Meetings Held in 2022 </w:t>
                      </w:r>
                    </w:p>
                    <w:p>
                      <w:pPr>
                        <w:pStyle w:val="TextBody"/>
                        <w:spacing w:before="120" w:after="0"/>
                        <w:rPr>
                          <w:rFonts w:ascii="ARIAL" w:hAnsi="ARIAL"/>
                          <w:sz w:val="19"/>
                        </w:rPr>
                      </w:pPr>
                      <w:r>
                        <w:rPr>
                          <w:rFonts w:ascii="ARIAL" w:hAnsi="ARIAL"/>
                          <w:sz w:val="19"/>
                        </w:rPr>
                        <w:t xml:space="preserve">The Compensation Committee administers our executive incentive compensation programs and determines annual salary levels and incentive compensation awards for our executive officers. The Board has determined that all Compensation Committee members meet the heightened independence standards under NYSE and SEC rules applicable to compensation committees. The Compensation Committee also, at the direction of the Board, periodically reviews and determines the form and amounts of director compensation. The Compensation Committee may delegate its duties and responsibilities to a sub-committee of the Committee and has the authority to retain its own compensation consultants. Additional information regarding the Compensation Committee’s processes and procedures for the consideration and determination of executive compensation is set forth below in this Proxy Statement under “Compensation Discussion and Analysis.” </w:t>
                      </w:r>
                    </w:p>
                    <w:p>
                      <w:pPr>
                        <w:pStyle w:val="TextBody"/>
                        <w:spacing w:before="120" w:after="0"/>
                        <w:rPr>
                          <w:rFonts w:ascii="ARIAL" w:hAnsi="ARIAL"/>
                          <w:sz w:val="19"/>
                        </w:rPr>
                      </w:pPr>
                      <w:r>
                        <w:rPr>
                          <w:rFonts w:ascii="ARIAL" w:hAnsi="ARIAL"/>
                          <w:sz w:val="19"/>
                        </w:rPr>
                        <w:t xml:space="preserve">Pursuant to its charter, the Compensation Committee has the authority and responsibility to: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annually review and approve corporate goals and objectives relevant to our CEO’s compensation and based on that evaluation, determine and approve our CEO’s compensation, including salary, bonus, incentive and equity compensation;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annually review performance and approve compensation, including salary, bonus, incentive and equity compensation for our executive officers;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grant awards and otherwise make determinations under our equity, incentive, retirement, and deferred compensation plans, to the extent provided in such plans;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7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9" descr=""/>
                          <pic:cNvPicPr>
                            <a:picLocks noChangeAspect="1" noChangeArrowheads="1"/>
                          </pic:cNvPicPr>
                        </pic:nvPicPr>
                        <pic:blipFill>
                          <a:blip r:embed="rId60"/>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15</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20"/>
        </w:rPr>
      </w:pPr>
      <w:r>
        <w:rPr>
          <w:rFonts w:ascii="ARIAL" w:hAnsi="ARIAL"/>
          <w:color w:val="005CB9"/>
          <w:sz w:val="20"/>
        </w:rPr>
        <w:t xml:space="preserve">BOARD COMMITTEES AND MEETINGS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3110230" cy="6389370"/>
                <wp:effectExtent l="0" t="0" r="0" b="0"/>
                <wp:wrapSquare wrapText="largest"/>
                <wp:docPr id="77" name="Frame17"/>
                <a:graphic xmlns:a="http://schemas.openxmlformats.org/drawingml/2006/main">
                  <a:graphicData uri="http://schemas.microsoft.com/office/word/2010/wordprocessingShape">
                    <wps:wsp>
                      <wps:cNvSpPr txBox="1"/>
                      <wps:spPr>
                        <a:xfrm>
                          <a:off x="0" y="0"/>
                          <a:ext cx="3110230" cy="6389370"/>
                        </a:xfrm>
                        <a:prstGeom prst="rect"/>
                      </wps:spPr>
                      <wps:txbx>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determine performance goals and certify whether performance goals have been satisfied for incentive plans containing performance criteria;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periodically review and make recommendations to the Board concerning our equity, incentive, retirement, and deferred compensation plans;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review risks associated with compensation and assess those reasonably likely to have a material adverse effect on the Company; </w:t>
                                  </w:r>
                                </w:p>
                              </w:tc>
                            </w:tr>
                          </w:tbl>
                          <w:p>
                            <w:pPr>
                              <w:pStyle w:val="TextBody"/>
                              <w:spacing w:before="0" w:after="0"/>
                              <w:rPr/>
                            </w:pPr>
                            <w:r>
                              <w:rPr/>
                              <w:t> </w:t>
                            </w:r>
                          </w:p>
                          <w:tbl>
                            <w:tblPr>
                              <w:tblW w:w="8470" w:type="dxa"/>
                              <w:jc w:val="left"/>
                              <w:tblInd w:w="0" w:type="dxa"/>
                              <w:tblCellMar>
                                <w:top w:w="0" w:type="dxa"/>
                                <w:left w:w="0" w:type="dxa"/>
                                <w:bottom w:w="0" w:type="dxa"/>
                                <w:right w:w="0" w:type="dxa"/>
                              </w:tblCellMar>
                            </w:tblPr>
                            <w:tblGrid>
                              <w:gridCol w:w="125"/>
                              <w:gridCol w:w="60"/>
                              <w:gridCol w:w="828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85" w:type="dxa"/>
                                  <w:tcBorders/>
                                  <w:shd w:fill="auto" w:val="clear"/>
                                  <w:vAlign w:val="center"/>
                                </w:tcPr>
                                <w:p>
                                  <w:pPr>
                                    <w:pStyle w:val="TableContents"/>
                                    <w:spacing w:before="0" w:after="283"/>
                                    <w:jc w:val="left"/>
                                    <w:rPr/>
                                  </w:pPr>
                                  <w:r>
                                    <w:rPr/>
                                    <w:t xml:space="preserve">periodically review and determine the form and amounts of director compensation;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review and discuss with management the Compensation Discussion and Analysis disclosure regarding named executive officer compensation included in our annual Proxy Statement. </w:t>
                                  </w:r>
                                </w:p>
                              </w:tc>
                            </w:tr>
                          </w:tbl>
                          <w:p>
                            <w:pPr>
                              <w:pStyle w:val="TextBody"/>
                              <w:spacing w:before="240" w:after="0"/>
                              <w:rPr>
                                <w:rFonts w:ascii="ARIAL" w:hAnsi="ARIAL"/>
                                <w:color w:val="005CB9"/>
                                <w:sz w:val="20"/>
                              </w:rPr>
                            </w:pPr>
                            <w:r>
                              <w:rPr>
                                <w:rFonts w:ascii="ARIAL" w:hAnsi="ARIAL"/>
                                <w:b/>
                                <w:i/>
                                <w:color w:val="005CB9"/>
                                <w:sz w:val="20"/>
                              </w:rPr>
                              <w:t>Nominating and Governance Committee</w:t>
                            </w:r>
                            <w:r>
                              <w:rPr>
                                <w:rFonts w:ascii="ARIAL" w:hAnsi="ARIAL"/>
                                <w:b/>
                                <w:color w:val="005CB9"/>
                                <w:sz w:val="20"/>
                              </w:rPr>
                              <w:t xml:space="preserve">: 5 Meetings Held in 2022 </w:t>
                            </w:r>
                          </w:p>
                          <w:p>
                            <w:pPr>
                              <w:pStyle w:val="TextBody"/>
                              <w:spacing w:before="120" w:after="0"/>
                              <w:rPr>
                                <w:rFonts w:ascii="ARIAL" w:hAnsi="ARIAL"/>
                                <w:sz w:val="19"/>
                              </w:rPr>
                            </w:pPr>
                            <w:r>
                              <w:rPr>
                                <w:rFonts w:ascii="ARIAL" w:hAnsi="ARIAL"/>
                                <w:sz w:val="19"/>
                              </w:rPr>
                              <w:t xml:space="preserve">The Nominating and Governance Committee assists our Board in identifying individuals qualified to become directors, determining the size and composition of our Board and its committees, developing and implementing corporate governance guidelines, evaluating the qualifications and independence of directors on a periodic basis, and evaluating the overall effectiveness of our Board and its committees. </w:t>
                            </w:r>
                          </w:p>
                          <w:p>
                            <w:pPr>
                              <w:pStyle w:val="TextBody"/>
                              <w:spacing w:before="120" w:after="0"/>
                              <w:rPr>
                                <w:rFonts w:ascii="ARIAL" w:hAnsi="ARIAL"/>
                                <w:sz w:val="19"/>
                              </w:rPr>
                            </w:pPr>
                            <w:r>
                              <w:rPr>
                                <w:rFonts w:ascii="ARIAL" w:hAnsi="ARIAL"/>
                                <w:sz w:val="19"/>
                              </w:rPr>
                              <w:t xml:space="preserve">Pursuant to its charter, the Nominating and Governance Committee has the authority and responsibility to: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evaluate a candidate’s qualification based on a variety of factors, including such candidate’s integrity, reputation, judgment, knowledge, and diversity (including gender and ethnicity as well as background and experience) as well as our Board’s needs; </w:t>
                                  </w:r>
                                </w:p>
                              </w:tc>
                            </w:tr>
                          </w:tbl>
                          <w:p>
                            <w:pPr>
                              <w:pStyle w:val="TextBody"/>
                              <w:spacing w:before="0" w:after="0"/>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3.1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determine performance goals and certify whether performance goals have been satisfied for incentive plans containing performance criteria;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periodically review and make recommendations to the Board concerning our equity, incentive, retirement, and deferred compensation plans;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review risks associated with compensation and assess those reasonably likely to have a material adverse effect on the Company; </w:t>
                            </w:r>
                          </w:p>
                        </w:tc>
                      </w:tr>
                    </w:tbl>
                    <w:p>
                      <w:pPr>
                        <w:pStyle w:val="TextBody"/>
                        <w:spacing w:before="0" w:after="0"/>
                        <w:rPr/>
                      </w:pPr>
                      <w:r>
                        <w:rPr/>
                        <w:t> </w:t>
                      </w:r>
                    </w:p>
                    <w:tbl>
                      <w:tblPr>
                        <w:tblW w:w="8470" w:type="dxa"/>
                        <w:jc w:val="left"/>
                        <w:tblInd w:w="0" w:type="dxa"/>
                        <w:tblCellMar>
                          <w:top w:w="0" w:type="dxa"/>
                          <w:left w:w="0" w:type="dxa"/>
                          <w:bottom w:w="0" w:type="dxa"/>
                          <w:right w:w="0" w:type="dxa"/>
                        </w:tblCellMar>
                      </w:tblPr>
                      <w:tblGrid>
                        <w:gridCol w:w="125"/>
                        <w:gridCol w:w="60"/>
                        <w:gridCol w:w="828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85" w:type="dxa"/>
                            <w:tcBorders/>
                            <w:shd w:fill="auto" w:val="clear"/>
                            <w:vAlign w:val="center"/>
                          </w:tcPr>
                          <w:p>
                            <w:pPr>
                              <w:pStyle w:val="TableContents"/>
                              <w:spacing w:before="0" w:after="283"/>
                              <w:jc w:val="left"/>
                              <w:rPr/>
                            </w:pPr>
                            <w:r>
                              <w:rPr/>
                              <w:t xml:space="preserve">periodically review and determine the form and amounts of director compensation;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review and discuss with management the Compensation Discussion and Analysis disclosure regarding named executive officer compensation included in our annual Proxy Statement. </w:t>
                            </w:r>
                          </w:p>
                        </w:tc>
                      </w:tr>
                    </w:tbl>
                    <w:p>
                      <w:pPr>
                        <w:pStyle w:val="TextBody"/>
                        <w:spacing w:before="240" w:after="0"/>
                        <w:rPr>
                          <w:rFonts w:ascii="ARIAL" w:hAnsi="ARIAL"/>
                          <w:color w:val="005CB9"/>
                          <w:sz w:val="20"/>
                        </w:rPr>
                      </w:pPr>
                      <w:r>
                        <w:rPr>
                          <w:rFonts w:ascii="ARIAL" w:hAnsi="ARIAL"/>
                          <w:b/>
                          <w:i/>
                          <w:color w:val="005CB9"/>
                          <w:sz w:val="20"/>
                        </w:rPr>
                        <w:t>Nominating and Governance Committee</w:t>
                      </w:r>
                      <w:r>
                        <w:rPr>
                          <w:rFonts w:ascii="ARIAL" w:hAnsi="ARIAL"/>
                          <w:b/>
                          <w:color w:val="005CB9"/>
                          <w:sz w:val="20"/>
                        </w:rPr>
                        <w:t xml:space="preserve">: 5 Meetings Held in 2022 </w:t>
                      </w:r>
                    </w:p>
                    <w:p>
                      <w:pPr>
                        <w:pStyle w:val="TextBody"/>
                        <w:spacing w:before="120" w:after="0"/>
                        <w:rPr>
                          <w:rFonts w:ascii="ARIAL" w:hAnsi="ARIAL"/>
                          <w:sz w:val="19"/>
                        </w:rPr>
                      </w:pPr>
                      <w:r>
                        <w:rPr>
                          <w:rFonts w:ascii="ARIAL" w:hAnsi="ARIAL"/>
                          <w:sz w:val="19"/>
                        </w:rPr>
                        <w:t xml:space="preserve">The Nominating and Governance Committee assists our Board in identifying individuals qualified to become directors, determining the size and composition of our Board and its committees, developing and implementing corporate governance guidelines, evaluating the qualifications and independence of directors on a periodic basis, and evaluating the overall effectiveness of our Board and its committees. </w:t>
                      </w:r>
                    </w:p>
                    <w:p>
                      <w:pPr>
                        <w:pStyle w:val="TextBody"/>
                        <w:spacing w:before="120" w:after="0"/>
                        <w:rPr>
                          <w:rFonts w:ascii="ARIAL" w:hAnsi="ARIAL"/>
                          <w:sz w:val="19"/>
                        </w:rPr>
                      </w:pPr>
                      <w:r>
                        <w:rPr>
                          <w:rFonts w:ascii="ARIAL" w:hAnsi="ARIAL"/>
                          <w:sz w:val="19"/>
                        </w:rPr>
                        <w:t xml:space="preserve">Pursuant to its charter, the Nominating and Governance Committee has the authority and responsibility to: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evaluate a candidate’s qualification based on a variety of factors, including such candidate’s integrity, reputation, judgment, knowledge, and diversity (including gender and ethnicity as well as background and experience) as well as our Board’s needs; </w:t>
                            </w:r>
                          </w:p>
                        </w:tc>
                      </w:tr>
                    </w:tbl>
                    <w:p>
                      <w:pPr>
                        <w:pStyle w:val="TextBody"/>
                        <w:spacing w:before="0" w:after="0"/>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3175000" cy="6258560"/>
                <wp:effectExtent l="0" t="0" r="0" b="0"/>
                <wp:wrapSquare wrapText="largest"/>
                <wp:docPr id="78" name="Frame18"/>
                <a:graphic xmlns:a="http://schemas.openxmlformats.org/drawingml/2006/main">
                  <a:graphicData uri="http://schemas.microsoft.com/office/word/2010/wordprocessingShape">
                    <wps:wsp>
                      <wps:cNvSpPr txBox="1"/>
                      <wps:spPr>
                        <a:xfrm>
                          <a:off x="0" y="0"/>
                          <a:ext cx="3175000" cy="6258560"/>
                        </a:xfrm>
                        <a:prstGeom prst="rect"/>
                      </wps:spPr>
                      <wps:txbx>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recommend qualified individuals for Board membership, including individuals suggested by directors and/or shareholders;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periodically review the size and responsibilities of our Board and its committees and recommend changes to our Board;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annually review and recommend committee slates and additional committee members to our Board as needed;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periodically review the Company’s ESG strategy, initiatives and policies and receive updates on significant ESG activities;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review, together with the full Board, the Company’s programs for the development and management of human capital, including programs for the promotion of diversity and inclusion;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annually review the Company’s Compliance Program and discuss potential revisions to the Company’s Code of Conduct;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develop and recommend to our Board a set of corporate governance guidelines and periodically review such guidelines and propose changes to our Board;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develop and recommend to our Board an annual self-evaluation process for our Board and its committees, and administer and oversee the evaluation process. </w:t>
                                  </w:r>
                                </w:p>
                              </w:tc>
                            </w:tr>
                          </w:tbl>
                          <w:p>
                            <w:pPr>
                              <w:pStyle w:val="TextBody"/>
                              <w:spacing w:before="240" w:after="0"/>
                              <w:rPr>
                                <w:rFonts w:ascii="ARIAL" w:hAnsi="ARIAL"/>
                                <w:color w:val="005CB9"/>
                                <w:sz w:val="20"/>
                              </w:rPr>
                            </w:pPr>
                            <w:r>
                              <w:rPr>
                                <w:rFonts w:ascii="ARIAL" w:hAnsi="ARIAL"/>
                                <w:b/>
                                <w:i/>
                                <w:color w:val="005CB9"/>
                                <w:sz w:val="20"/>
                              </w:rPr>
                              <w:t>Executive Committee:</w:t>
                            </w:r>
                            <w:r>
                              <w:rPr>
                                <w:rFonts w:ascii="ARIAL" w:hAnsi="ARIAL"/>
                                <w:color w:val="005CB9"/>
                                <w:sz w:val="20"/>
                              </w:rPr>
                              <w:t xml:space="preserve"> </w:t>
                            </w:r>
                            <w:r>
                              <w:rPr>
                                <w:rFonts w:ascii="ARIAL" w:hAnsi="ARIAL"/>
                                <w:b/>
                                <w:color w:val="005CB9"/>
                                <w:sz w:val="20"/>
                              </w:rPr>
                              <w:t xml:space="preserve">No Meetings Held in 2022 </w:t>
                            </w:r>
                          </w:p>
                          <w:p>
                            <w:pPr>
                              <w:pStyle w:val="TextBody"/>
                              <w:spacing w:before="120" w:after="0"/>
                              <w:rPr>
                                <w:rFonts w:ascii="ARIAL" w:hAnsi="ARIAL"/>
                                <w:sz w:val="19"/>
                              </w:rPr>
                            </w:pPr>
                            <w:r>
                              <w:rPr>
                                <w:rFonts w:ascii="ARIAL" w:hAnsi="ARIAL"/>
                                <w:sz w:val="19"/>
                              </w:rPr>
                              <w:t xml:space="preserve">The Executive Committee has the authority to exercise all powers of the Board between regularly scheduled Board meetings.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92.8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recommend qualified individuals for Board membership, including individuals suggested by directors and/or shareholders;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periodically review the size and responsibilities of our Board and its committees and recommend changes to our Board;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annually review and recommend committee slates and additional committee members to our Board as needed;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periodically review the Company’s ESG strategy, initiatives and policies and receive updates on significant ESG activities;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review, together with the full Board, the Company’s programs for the development and management of human capital, including programs for the promotion of diversity and inclusion;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annually review the Company’s Compliance Program and discuss potential revisions to the Company’s Code of Conduct;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develop and recommend to our Board a set of corporate governance guidelines and periodically review such guidelines and propose changes to our Board;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develop and recommend to our Board an annual self-evaluation process for our Board and its committees, and administer and oversee the evaluation process. </w:t>
                            </w:r>
                          </w:p>
                        </w:tc>
                      </w:tr>
                    </w:tbl>
                    <w:p>
                      <w:pPr>
                        <w:pStyle w:val="TextBody"/>
                        <w:spacing w:before="240" w:after="0"/>
                        <w:rPr>
                          <w:rFonts w:ascii="ARIAL" w:hAnsi="ARIAL"/>
                          <w:color w:val="005CB9"/>
                          <w:sz w:val="20"/>
                        </w:rPr>
                      </w:pPr>
                      <w:r>
                        <w:rPr>
                          <w:rFonts w:ascii="ARIAL" w:hAnsi="ARIAL"/>
                          <w:b/>
                          <w:i/>
                          <w:color w:val="005CB9"/>
                          <w:sz w:val="20"/>
                        </w:rPr>
                        <w:t>Executive Committee:</w:t>
                      </w:r>
                      <w:r>
                        <w:rPr>
                          <w:rFonts w:ascii="ARIAL" w:hAnsi="ARIAL"/>
                          <w:color w:val="005CB9"/>
                          <w:sz w:val="20"/>
                        </w:rPr>
                        <w:t xml:space="preserve"> </w:t>
                      </w:r>
                      <w:r>
                        <w:rPr>
                          <w:rFonts w:ascii="ARIAL" w:hAnsi="ARIAL"/>
                          <w:b/>
                          <w:color w:val="005CB9"/>
                          <w:sz w:val="20"/>
                        </w:rPr>
                        <w:t xml:space="preserve">No Meetings Held in 2022 </w:t>
                      </w:r>
                    </w:p>
                    <w:p>
                      <w:pPr>
                        <w:pStyle w:val="TextBody"/>
                        <w:spacing w:before="120" w:after="0"/>
                        <w:rPr>
                          <w:rFonts w:ascii="ARIAL" w:hAnsi="ARIAL"/>
                          <w:sz w:val="19"/>
                        </w:rPr>
                      </w:pPr>
                      <w:r>
                        <w:rPr>
                          <w:rFonts w:ascii="ARIAL" w:hAnsi="ARIAL"/>
                          <w:sz w:val="19"/>
                        </w:rPr>
                        <w:t xml:space="preserve">The Executive Committee has the authority to exercise all powers of the Board between regularly scheduled Board meetings. </w:t>
                      </w:r>
                    </w:p>
                  </w:txbxContent>
                </v:textbox>
                <w10:wrap type="square" side="right"/>
              </v:rect>
            </w:pict>
          </mc:Fallback>
        </mc:AlternateConten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16</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7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0" descr=""/>
                          <pic:cNvPicPr>
                            <a:picLocks noChangeAspect="1" noChangeArrowheads="1"/>
                          </pic:cNvPicPr>
                        </pic:nvPicPr>
                        <pic:blipFill>
                          <a:blip r:embed="rId61"/>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32"/>
        </w:rPr>
      </w:pPr>
      <w:bookmarkStart w:id="9" w:name="toc356364_7"/>
      <w:bookmarkEnd w:id="9"/>
      <w:r>
        <w:rPr>
          <w:rFonts w:ascii="ARIAL" w:hAnsi="ARIAL"/>
          <w:color w:val="005CB9"/>
          <w:sz w:val="32"/>
        </w:rPr>
        <w:t xml:space="preserve">DIRECTOR COMPENSATION </w:t>
      </w:r>
    </w:p>
    <w:p>
      <w:pPr>
        <w:pStyle w:val="TextBody"/>
        <w:spacing w:before="360" w:after="0"/>
        <w:jc w:val="left"/>
        <w:rPr>
          <w:rFonts w:ascii="ARIAL" w:hAnsi="ARIAL"/>
          <w:sz w:val="19"/>
        </w:rPr>
      </w:pPr>
      <w:r>
        <w:rPr>
          <w:rFonts w:ascii="ARIAL" w:hAnsi="ARIAL"/>
          <w:sz w:val="19"/>
        </w:rPr>
        <w:t xml:space="preserve">Compensation for our non-employee directors is governed by our Director Compensation Plan, which is a sub-plan of our 2021 Incentive Plan. The Director Compensation Plan recognizes the Board’s instrumental contribution to Roper’s long-term success and creation of superior shareholder value. Over the past 15 years, our shareholders have earned a cumulative 655.3% return – more than two and a half times that of the S&amp;P 500’s 254.6% return. Compensation paid to our directors reflects the significant time commitment and effort associated with serving on our Board, including participation in a minimum of 15 days of Board meetings each year, in addition to numerous Committee meetings throughout the year. These time commitments, together with our focus on capital deployment for software and technology enabled product companies, and continual market developments present unique challenges to recruiting individuals capable of adding value to our high-growth, asset-light, diversified enterprise. Despite these challenges, in the past eight years, we have added five new independent directors to the Board bringing needed key skills, strengths and capabilities to the Board while increasing its level of gender and ethnic diversity. Going forward, the Board will continue to insist on the high standards of qualifications that are in place. </w:t>
      </w:r>
    </w:p>
    <w:p>
      <w:pPr>
        <w:pStyle w:val="TextBody"/>
        <w:spacing w:before="120" w:after="0"/>
        <w:jc w:val="left"/>
        <w:rPr>
          <w:rFonts w:ascii="ARIAL" w:hAnsi="ARIAL"/>
          <w:sz w:val="19"/>
        </w:rPr>
      </w:pPr>
      <w:r>
        <w:rPr>
          <w:rFonts w:ascii="ARIAL" w:hAnsi="ARIAL"/>
          <w:sz w:val="19"/>
        </w:rPr>
        <w:t xml:space="preserve">Consistent with Roper’s long-standing “pay-for-performance” philosophy, the Director Compensation Plan ties director compensation directly to the Company’s stock performance, closely aligning the financial interests of our directors with those of our shareholders. Directors receive limited cash retainers and no perquisites (such as deferred compensation benefits), and instead receive a higher percentage of their compensation in shares of Company stock. The compensation paid under the Director Compensation Plan is summarized in the table below.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9070"/>
        <w:gridCol w:w="120"/>
        <w:gridCol w:w="140"/>
        <w:gridCol w:w="800"/>
        <w:gridCol w:w="75"/>
      </w:tblGrid>
      <w:tr>
        <w:trPr/>
        <w:tc>
          <w:tcPr>
            <w:tcW w:w="90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070" w:type="dxa"/>
            <w:tcBorders/>
            <w:shd w:fill="E5EEF8" w:val="clear"/>
            <w:vAlign w:val="center"/>
          </w:tcPr>
          <w:p>
            <w:pPr>
              <w:pStyle w:val="TableContents"/>
              <w:spacing w:before="0" w:after="0"/>
              <w:rPr/>
            </w:pPr>
            <w:r>
              <w:rPr/>
              <w:t> </w:t>
            </w:r>
            <w:r>
              <w:rPr>
                <w:rFonts w:ascii="ARIAL" w:hAnsi="ARIAL"/>
                <w:b/>
                <w:i/>
                <w:sz w:val="19"/>
              </w:rPr>
              <w:t>2022 Annual Equity Award</w:t>
            </w:r>
          </w:p>
        </w:tc>
        <w:tc>
          <w:tcPr>
            <w:tcW w:w="120" w:type="dxa"/>
            <w:tcBorders/>
            <w:shd w:fill="E5EEF8" w:val="clear"/>
            <w:vAlign w:val="center"/>
          </w:tcPr>
          <w:p>
            <w:pPr>
              <w:pStyle w:val="TableContents"/>
              <w:spacing w:before="0" w:after="283"/>
              <w:rPr/>
            </w:pPr>
            <w:r>
              <w:rPr/>
              <w:t>  </w:t>
            </w:r>
          </w:p>
        </w:tc>
        <w:tc>
          <w:tcPr>
            <w:tcW w:w="140" w:type="dxa"/>
            <w:tcBorders/>
            <w:shd w:fill="E5EEF8" w:val="clear"/>
            <w:vAlign w:val="center"/>
          </w:tcPr>
          <w:p>
            <w:pPr>
              <w:pStyle w:val="TableContents"/>
              <w:spacing w:before="0" w:after="283"/>
              <w:rPr>
                <w:sz w:val="4"/>
                <w:szCs w:val="4"/>
              </w:rPr>
            </w:pPr>
            <w:r>
              <w:rPr>
                <w:sz w:val="4"/>
                <w:szCs w:val="4"/>
              </w:rPr>
            </w:r>
          </w:p>
        </w:tc>
        <w:tc>
          <w:tcPr>
            <w:tcW w:w="800"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9070" w:type="dxa"/>
            <w:tcBorders/>
            <w:shd w:fill="auto" w:val="clear"/>
            <w:vAlign w:val="center"/>
          </w:tcPr>
          <w:p>
            <w:pPr>
              <w:pStyle w:val="TableContents"/>
              <w:spacing w:before="0" w:after="0"/>
              <w:rPr/>
            </w:pPr>
            <w:r>
              <w:rPr/>
              <w:t> </w:t>
            </w:r>
            <w:r>
              <w:rPr>
                <w:rFonts w:ascii="ARIAL" w:hAnsi="ARIAL"/>
                <w:sz w:val="19"/>
              </w:rPr>
              <w:t>Economic value of $385,000 (based on the closing price of the Company’s stock on date of grant)</w:t>
            </w:r>
          </w:p>
          <w:p>
            <w:pPr>
              <w:pStyle w:val="TableContents"/>
              <w:spacing w:before="0" w:after="0"/>
              <w:rPr/>
            </w:pPr>
            <w:r>
              <w:rPr/>
              <w:t> </w:t>
            </w:r>
          </w:p>
          <w:p>
            <w:pPr>
              <w:pStyle w:val="TableContents"/>
              <w:spacing w:before="0" w:after="20"/>
              <w:rPr/>
            </w:pPr>
            <w:r>
              <w:rPr/>
              <w:t>•  </w:t>
            </w:r>
            <w:r>
              <w:rPr>
                <w:rFonts w:ascii="ARIAL" w:hAnsi="ARIAL"/>
                <w:sz w:val="19"/>
              </w:rPr>
              <w:t>Award vests 50% on the six-month anniversary of the grant date and 50% on the day prior to the next Annual Meeting of Shareholders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385,000</w:t>
            </w:r>
          </w:p>
        </w:tc>
        <w:tc>
          <w:tcPr>
            <w:tcW w:w="75" w:type="dxa"/>
            <w:tcBorders/>
            <w:shd w:fill="auto" w:val="clear"/>
            <w:vAlign w:val="center"/>
          </w:tcPr>
          <w:p>
            <w:pPr>
              <w:pStyle w:val="TableContents"/>
              <w:spacing w:before="0" w:after="283"/>
              <w:rPr/>
            </w:pPr>
            <w:r>
              <w:rPr/>
              <w:t> </w:t>
            </w:r>
          </w:p>
        </w:tc>
      </w:tr>
      <w:tr>
        <w:trPr/>
        <w:tc>
          <w:tcPr>
            <w:tcW w:w="9070" w:type="dxa"/>
            <w:tcBorders/>
            <w:shd w:fill="E5EEF8" w:val="clear"/>
            <w:vAlign w:val="center"/>
          </w:tcPr>
          <w:p>
            <w:pPr>
              <w:pStyle w:val="TableContents"/>
              <w:spacing w:before="0" w:after="0"/>
              <w:rPr/>
            </w:pPr>
            <w:r>
              <w:rPr/>
              <w:t> </w:t>
            </w:r>
            <w:r>
              <w:rPr>
                <w:rFonts w:ascii="ARIAL" w:hAnsi="ARIAL"/>
                <w:b/>
                <w:i/>
                <w:sz w:val="19"/>
              </w:rPr>
              <w:t>2022 Annual Cash Retainer</w:t>
            </w:r>
          </w:p>
        </w:tc>
        <w:tc>
          <w:tcPr>
            <w:tcW w:w="120" w:type="dxa"/>
            <w:tcBorders/>
            <w:shd w:fill="E5EEF8" w:val="clear"/>
            <w:vAlign w:val="center"/>
          </w:tcPr>
          <w:p>
            <w:pPr>
              <w:pStyle w:val="TableContents"/>
              <w:spacing w:before="0" w:after="283"/>
              <w:rPr/>
            </w:pPr>
            <w:r>
              <w:rPr/>
              <w:t>  </w:t>
            </w:r>
          </w:p>
        </w:tc>
        <w:tc>
          <w:tcPr>
            <w:tcW w:w="140" w:type="dxa"/>
            <w:tcBorders/>
            <w:shd w:fill="E5EEF8" w:val="clear"/>
            <w:vAlign w:val="center"/>
          </w:tcPr>
          <w:p>
            <w:pPr>
              <w:pStyle w:val="TableContents"/>
              <w:spacing w:before="0" w:after="283"/>
              <w:rPr>
                <w:sz w:val="4"/>
                <w:szCs w:val="4"/>
              </w:rPr>
            </w:pPr>
            <w:r>
              <w:rPr>
                <w:sz w:val="4"/>
                <w:szCs w:val="4"/>
              </w:rPr>
            </w:r>
          </w:p>
        </w:tc>
        <w:tc>
          <w:tcPr>
            <w:tcW w:w="800"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9070" w:type="dxa"/>
            <w:tcBorders/>
            <w:shd w:fill="auto" w:val="clear"/>
            <w:vAlign w:val="center"/>
          </w:tcPr>
          <w:p>
            <w:pPr>
              <w:pStyle w:val="TableContents"/>
              <w:spacing w:before="0" w:after="0"/>
              <w:rPr/>
            </w:pPr>
            <w:r>
              <w:rPr/>
              <w:t> </w:t>
            </w:r>
            <w:r>
              <w:rPr>
                <w:rFonts w:ascii="ARIAL" w:hAnsi="ARIAL"/>
                <w:sz w:val="19"/>
              </w:rPr>
              <w:t>Cash Retainer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60,000</w:t>
            </w:r>
          </w:p>
        </w:tc>
        <w:tc>
          <w:tcPr>
            <w:tcW w:w="75" w:type="dxa"/>
            <w:tcBorders/>
            <w:shd w:fill="auto" w:val="clear"/>
            <w:vAlign w:val="center"/>
          </w:tcPr>
          <w:p>
            <w:pPr>
              <w:pStyle w:val="TableContents"/>
              <w:spacing w:before="0" w:after="283"/>
              <w:rPr/>
            </w:pPr>
            <w:r>
              <w:rPr/>
              <w:t> </w:t>
            </w:r>
          </w:p>
        </w:tc>
      </w:tr>
      <w:tr>
        <w:trPr/>
        <w:tc>
          <w:tcPr>
            <w:tcW w:w="9070" w:type="dxa"/>
            <w:tcBorders/>
            <w:shd w:fill="E5EEF8" w:val="clear"/>
            <w:vAlign w:val="center"/>
          </w:tcPr>
          <w:p>
            <w:pPr>
              <w:pStyle w:val="TableContents"/>
              <w:spacing w:before="0" w:after="0"/>
              <w:rPr/>
            </w:pPr>
            <w:r>
              <w:rPr/>
              <w:t> </w:t>
            </w:r>
            <w:r>
              <w:rPr>
                <w:rFonts w:ascii="ARIAL" w:hAnsi="ARIAL"/>
                <w:b/>
                <w:i/>
                <w:sz w:val="19"/>
              </w:rPr>
              <w:t>2022 Supplemental Annual Cash Retainers</w:t>
            </w:r>
          </w:p>
        </w:tc>
        <w:tc>
          <w:tcPr>
            <w:tcW w:w="120" w:type="dxa"/>
            <w:tcBorders/>
            <w:shd w:fill="E5EEF8" w:val="clear"/>
            <w:vAlign w:val="center"/>
          </w:tcPr>
          <w:p>
            <w:pPr>
              <w:pStyle w:val="TableContents"/>
              <w:spacing w:before="0" w:after="283"/>
              <w:rPr/>
            </w:pPr>
            <w:r>
              <w:rPr/>
              <w:t>  </w:t>
            </w:r>
          </w:p>
        </w:tc>
        <w:tc>
          <w:tcPr>
            <w:tcW w:w="140" w:type="dxa"/>
            <w:tcBorders/>
            <w:shd w:fill="E5EEF8" w:val="clear"/>
            <w:vAlign w:val="center"/>
          </w:tcPr>
          <w:p>
            <w:pPr>
              <w:pStyle w:val="TableContents"/>
              <w:spacing w:before="0" w:after="283"/>
              <w:rPr>
                <w:sz w:val="4"/>
                <w:szCs w:val="4"/>
              </w:rPr>
            </w:pPr>
            <w:r>
              <w:rPr>
                <w:sz w:val="4"/>
                <w:szCs w:val="4"/>
              </w:rPr>
            </w:r>
          </w:p>
        </w:tc>
        <w:tc>
          <w:tcPr>
            <w:tcW w:w="800"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9070" w:type="dxa"/>
            <w:tcBorders/>
            <w:shd w:fill="auto" w:val="clear"/>
            <w:vAlign w:val="center"/>
          </w:tcPr>
          <w:p>
            <w:pPr>
              <w:pStyle w:val="TableContents"/>
              <w:spacing w:before="0" w:after="0"/>
              <w:rPr/>
            </w:pPr>
            <w:r>
              <w:rPr/>
              <w:t> </w:t>
            </w:r>
            <w:r>
              <w:rPr>
                <w:rFonts w:ascii="ARIAL" w:hAnsi="ARIAL"/>
                <w:sz w:val="19"/>
              </w:rPr>
              <w:t>Independent Chair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125,000</w:t>
            </w:r>
          </w:p>
        </w:tc>
        <w:tc>
          <w:tcPr>
            <w:tcW w:w="75" w:type="dxa"/>
            <w:tcBorders/>
            <w:shd w:fill="auto" w:val="clear"/>
            <w:vAlign w:val="center"/>
          </w:tcPr>
          <w:p>
            <w:pPr>
              <w:pStyle w:val="TableContents"/>
              <w:spacing w:before="0" w:after="283"/>
              <w:rPr/>
            </w:pPr>
            <w:r>
              <w:rPr/>
              <w:t> </w:t>
            </w:r>
          </w:p>
        </w:tc>
      </w:tr>
      <w:tr>
        <w:trPr/>
        <w:tc>
          <w:tcPr>
            <w:tcW w:w="9070" w:type="dxa"/>
            <w:tcBorders/>
            <w:shd w:fill="auto" w:val="clear"/>
            <w:vAlign w:val="center"/>
          </w:tcPr>
          <w:p>
            <w:pPr>
              <w:pStyle w:val="TableContents"/>
              <w:spacing w:before="0" w:after="0"/>
              <w:rPr/>
            </w:pPr>
            <w:r>
              <w:rPr/>
              <w:t> </w:t>
            </w:r>
            <w:r>
              <w:rPr>
                <w:rFonts w:ascii="ARIAL" w:hAnsi="ARIAL"/>
                <w:sz w:val="19"/>
              </w:rPr>
              <w:t>Chair of Audit Committee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5,000</w:t>
            </w:r>
          </w:p>
        </w:tc>
        <w:tc>
          <w:tcPr>
            <w:tcW w:w="75" w:type="dxa"/>
            <w:tcBorders/>
            <w:shd w:fill="auto" w:val="clear"/>
            <w:vAlign w:val="center"/>
          </w:tcPr>
          <w:p>
            <w:pPr>
              <w:pStyle w:val="TableContents"/>
              <w:spacing w:before="0" w:after="283"/>
              <w:rPr/>
            </w:pPr>
            <w:r>
              <w:rPr/>
              <w:t> </w:t>
            </w:r>
          </w:p>
        </w:tc>
      </w:tr>
      <w:tr>
        <w:trPr/>
        <w:tc>
          <w:tcPr>
            <w:tcW w:w="9070" w:type="dxa"/>
            <w:tcBorders/>
            <w:shd w:fill="auto" w:val="clear"/>
            <w:vAlign w:val="center"/>
          </w:tcPr>
          <w:p>
            <w:pPr>
              <w:pStyle w:val="TableContents"/>
              <w:spacing w:before="0" w:after="0"/>
              <w:rPr/>
            </w:pPr>
            <w:r>
              <w:rPr/>
              <w:t> </w:t>
            </w:r>
            <w:r>
              <w:rPr>
                <w:rFonts w:ascii="ARIAL" w:hAnsi="ARIAL"/>
                <w:sz w:val="19"/>
              </w:rPr>
              <w:t>Chair of Compensation Committee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5,000</w:t>
            </w:r>
          </w:p>
        </w:tc>
        <w:tc>
          <w:tcPr>
            <w:tcW w:w="75" w:type="dxa"/>
            <w:tcBorders/>
            <w:shd w:fill="auto" w:val="clear"/>
            <w:vAlign w:val="center"/>
          </w:tcPr>
          <w:p>
            <w:pPr>
              <w:pStyle w:val="TableContents"/>
              <w:spacing w:before="0" w:after="283"/>
              <w:rPr/>
            </w:pPr>
            <w:r>
              <w:rPr/>
              <w:t> </w:t>
            </w:r>
          </w:p>
        </w:tc>
      </w:tr>
      <w:tr>
        <w:trPr/>
        <w:tc>
          <w:tcPr>
            <w:tcW w:w="9070" w:type="dxa"/>
            <w:tcBorders/>
            <w:shd w:fill="auto" w:val="clear"/>
            <w:vAlign w:val="center"/>
          </w:tcPr>
          <w:p>
            <w:pPr>
              <w:pStyle w:val="TableContents"/>
              <w:spacing w:before="0" w:after="0"/>
              <w:rPr/>
            </w:pPr>
            <w:r>
              <w:rPr/>
              <w:t> </w:t>
            </w:r>
            <w:r>
              <w:rPr>
                <w:rFonts w:ascii="ARIAL" w:hAnsi="ARIAL"/>
                <w:sz w:val="19"/>
              </w:rPr>
              <w:t>Chair of Nominating and Governance Committee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5,000</w:t>
            </w:r>
          </w:p>
        </w:tc>
        <w:tc>
          <w:tcPr>
            <w:tcW w:w="75" w:type="dxa"/>
            <w:tcBorders/>
            <w:shd w:fill="auto" w:val="clear"/>
            <w:vAlign w:val="center"/>
          </w:tcPr>
          <w:p>
            <w:pPr>
              <w:pStyle w:val="TableContents"/>
              <w:spacing w:before="0" w:after="283"/>
              <w:rPr/>
            </w:pPr>
            <w:r>
              <w:rPr/>
              <w:t> </w:t>
            </w:r>
          </w:p>
        </w:tc>
      </w:tr>
    </w:tbl>
    <w:p>
      <w:pPr>
        <w:pStyle w:val="TextBody"/>
        <w:spacing w:before="120" w:after="0"/>
        <w:jc w:val="left"/>
        <w:rPr>
          <w:rFonts w:ascii="ARIAL" w:hAnsi="ARIAL"/>
          <w:sz w:val="19"/>
        </w:rPr>
      </w:pPr>
      <w:r>
        <w:rPr>
          <w:rFonts w:ascii="ARIAL" w:hAnsi="ARIAL"/>
          <w:sz w:val="19"/>
        </w:rPr>
        <w:t xml:space="preserve">We also reimburse our directors for reasonable travel expenses incurred in connection with attendance at Board, Committee and shareholder meetings and other Company business. In addition, the cash retainer and the number of equity awards granted are prorated for any new director appointed during the year based on the number of full months such director serves as a non-employee director during the year. </w: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8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1" descr=""/>
                          <pic:cNvPicPr>
                            <a:picLocks noChangeAspect="1" noChangeArrowheads="1"/>
                          </pic:cNvPicPr>
                        </pic:nvPicPr>
                        <pic:blipFill>
                          <a:blip r:embed="rId62"/>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17</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DIRECTOR COMPENSATION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sz w:val="19"/>
        </w:rPr>
      </w:pPr>
      <w:r>
        <w:rPr>
          <w:rFonts w:ascii="ARIAL" w:hAnsi="ARIAL"/>
          <w:sz w:val="19"/>
        </w:rPr>
        <w:t xml:space="preserve">Mr. Hunn is an employee of our Company and did not receive any compensation for his service as a director. His compensation is set forth in the “Executive Compensation” section below. </w:t>
      </w:r>
    </w:p>
    <w:p>
      <w:pPr>
        <w:pStyle w:val="TextBody"/>
        <w:spacing w:before="240" w:after="0"/>
        <w:jc w:val="left"/>
        <w:rPr>
          <w:rFonts w:ascii="ARIAL" w:hAnsi="ARIAL"/>
          <w:b/>
          <w:i/>
          <w:sz w:val="20"/>
        </w:rPr>
      </w:pPr>
      <w:r>
        <w:rPr>
          <w:rFonts w:ascii="ARIAL" w:hAnsi="ARIAL"/>
          <w:b/>
          <w:i/>
          <w:sz w:val="20"/>
        </w:rPr>
        <w:t xml:space="preserve">2022 Director Compensation </w:t>
      </w:r>
    </w:p>
    <w:p>
      <w:pPr>
        <w:pStyle w:val="TextBody"/>
        <w:spacing w:before="0" w:after="0"/>
        <w:jc w:val="left"/>
        <w:rPr/>
      </w:pPr>
      <w:r>
        <w:rPr/>
        <w:t> </w:t>
      </w:r>
    </w:p>
    <w:tbl>
      <w:tblPr>
        <w:tblW w:w="5960" w:type="dxa"/>
        <w:jc w:val="left"/>
        <w:tblInd w:w="0" w:type="dxa"/>
        <w:tblCellMar>
          <w:top w:w="0" w:type="dxa"/>
          <w:left w:w="0" w:type="dxa"/>
          <w:bottom w:w="0" w:type="dxa"/>
          <w:right w:w="0" w:type="dxa"/>
        </w:tblCellMar>
      </w:tblPr>
      <w:tblGrid>
        <w:gridCol w:w="2180"/>
        <w:gridCol w:w="120"/>
        <w:gridCol w:w="100"/>
        <w:gridCol w:w="1345"/>
        <w:gridCol w:w="60"/>
        <w:gridCol w:w="120"/>
        <w:gridCol w:w="60"/>
        <w:gridCol w:w="800"/>
        <w:gridCol w:w="60"/>
        <w:gridCol w:w="120"/>
        <w:gridCol w:w="60"/>
        <w:gridCol w:w="860"/>
        <w:gridCol w:w="75"/>
      </w:tblGrid>
      <w:tr>
        <w:trPr/>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005CB9" w:val="clear"/>
            <w:vAlign w:val="center"/>
          </w:tcPr>
          <w:p>
            <w:pPr>
              <w:pStyle w:val="TableContents"/>
              <w:spacing w:before="0" w:after="283"/>
              <w:rPr>
                <w:color w:val="FFFFFF"/>
              </w:rPr>
            </w:pPr>
            <w:r>
              <w:rPr>
                <w:color w:val="FFFFFF"/>
              </w:rPr>
              <w:t>  </w:t>
            </w:r>
            <w:r>
              <w:rPr>
                <w:color w:val="FFFFFF"/>
              </w:rPr>
              <w:t>Name</w:t>
            </w:r>
          </w:p>
        </w:tc>
        <w:tc>
          <w:tcPr>
            <w:tcW w:w="120" w:type="dxa"/>
            <w:tcBorders/>
            <w:shd w:fill="005CB9" w:val="clear"/>
            <w:vAlign w:val="center"/>
          </w:tcPr>
          <w:p>
            <w:pPr>
              <w:pStyle w:val="TableContents"/>
              <w:spacing w:before="0" w:after="283"/>
              <w:rPr/>
            </w:pPr>
            <w:r>
              <w:rPr/>
              <w:t>  </w:t>
            </w:r>
          </w:p>
        </w:tc>
        <w:tc>
          <w:tcPr>
            <w:tcW w:w="1445" w:type="dxa"/>
            <w:gridSpan w:val="2"/>
            <w:tcBorders/>
            <w:shd w:fill="005CB9" w:val="clear"/>
            <w:vAlign w:val="center"/>
          </w:tcPr>
          <w:p>
            <w:pPr>
              <w:pStyle w:val="TableContents"/>
              <w:spacing w:before="0" w:after="283"/>
              <w:jc w:val="center"/>
              <w:rPr>
                <w:color w:val="FFFFFF"/>
              </w:rPr>
            </w:pPr>
            <w:r>
              <w:rPr>
                <w:color w:val="FFFFFF"/>
              </w:rPr>
              <w:t>Fees Earned or</w:t>
              <w:br/>
              <w:t>Paid in Cash</w:t>
              <w:br/>
              <w:t>($)</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860" w:type="dxa"/>
            <w:gridSpan w:val="2"/>
            <w:tcBorders/>
            <w:shd w:fill="005CB9" w:val="clear"/>
            <w:vAlign w:val="center"/>
          </w:tcPr>
          <w:p>
            <w:pPr>
              <w:pStyle w:val="TableContents"/>
              <w:spacing w:before="0" w:after="283"/>
              <w:jc w:val="center"/>
              <w:rPr/>
            </w:pPr>
            <w:r>
              <w:rPr>
                <w:color w:val="FFFFFF"/>
              </w:rPr>
              <w:t>Stock</w:t>
              <w:br/>
              <w:t>Awards</w:t>
              <w:br/>
              <w:t>($)</w:t>
            </w:r>
            <w:r>
              <w:rPr>
                <w:color w:val="FFFFFF"/>
                <w:sz w:val="10"/>
              </w:rPr>
              <w:t xml:space="preserve">(1) </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920" w:type="dxa"/>
            <w:gridSpan w:val="2"/>
            <w:tcBorders/>
            <w:shd w:fill="005CB9" w:val="clear"/>
            <w:vAlign w:val="center"/>
          </w:tcPr>
          <w:p>
            <w:pPr>
              <w:pStyle w:val="TableContents"/>
              <w:spacing w:before="0" w:after="0"/>
              <w:jc w:val="center"/>
              <w:rPr>
                <w:rFonts w:ascii="arial" w:hAnsi="arial"/>
                <w:color w:val="FFFFFF"/>
                <w:sz w:val="16"/>
              </w:rPr>
            </w:pPr>
            <w:r>
              <w:rPr>
                <w:rFonts w:ascii="arial" w:hAnsi="arial"/>
                <w:color w:val="FFFFFF"/>
                <w:sz w:val="16"/>
              </w:rPr>
              <w:t>Total</w:t>
            </w:r>
          </w:p>
          <w:p>
            <w:pPr>
              <w:pStyle w:val="TableContents"/>
              <w:spacing w:before="0" w:after="20"/>
              <w:jc w:val="center"/>
              <w:rPr>
                <w:rFonts w:ascii="arial" w:hAnsi="arial"/>
                <w:color w:val="FFFFFF"/>
                <w:sz w:val="16"/>
              </w:rPr>
            </w:pPr>
            <w:r>
              <w:rPr>
                <w:rFonts w:ascii="arial" w:hAnsi="arial"/>
                <w:color w:val="FFFFFF"/>
                <w:sz w:val="16"/>
              </w:rPr>
              <w:t>($)</w:t>
            </w:r>
          </w:p>
        </w:tc>
        <w:tc>
          <w:tcPr>
            <w:tcW w:w="7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r>
      <w:tr>
        <w:trPr/>
        <w:tc>
          <w:tcPr>
            <w:tcW w:w="2180" w:type="dxa"/>
            <w:tcBorders/>
            <w:shd w:fill="E5EEF8" w:val="clear"/>
            <w:vAlign w:val="center"/>
          </w:tcPr>
          <w:p>
            <w:pPr>
              <w:pStyle w:val="TableContents"/>
              <w:spacing w:before="0" w:after="283"/>
              <w:rPr>
                <w:sz w:val="4"/>
                <w:szCs w:val="4"/>
              </w:rPr>
            </w:pPr>
            <w:r>
              <w:rPr>
                <w:sz w:val="4"/>
                <w:szCs w:val="4"/>
              </w:rPr>
            </w:r>
          </w:p>
        </w:tc>
        <w:tc>
          <w:tcPr>
            <w:tcW w:w="1625" w:type="dxa"/>
            <w:gridSpan w:val="4"/>
            <w:tcBorders/>
            <w:shd w:fill="E5EEF8" w:val="clear"/>
            <w:vAlign w:val="center"/>
          </w:tcPr>
          <w:p>
            <w:pPr>
              <w:pStyle w:val="TableContents"/>
              <w:spacing w:before="0" w:after="283"/>
              <w:rPr>
                <w:sz w:val="4"/>
                <w:szCs w:val="4"/>
              </w:rPr>
            </w:pPr>
            <w:r>
              <w:rPr>
                <w:sz w:val="4"/>
                <w:szCs w:val="4"/>
              </w:rPr>
            </w:r>
          </w:p>
        </w:tc>
        <w:tc>
          <w:tcPr>
            <w:tcW w:w="1040" w:type="dxa"/>
            <w:gridSpan w:val="4"/>
            <w:tcBorders/>
            <w:shd w:fill="E5EEF8" w:val="clear"/>
            <w:vAlign w:val="center"/>
          </w:tcPr>
          <w:p>
            <w:pPr>
              <w:pStyle w:val="TableContents"/>
              <w:spacing w:before="0" w:after="283"/>
              <w:rPr>
                <w:sz w:val="4"/>
                <w:szCs w:val="4"/>
              </w:rPr>
            </w:pPr>
            <w:r>
              <w:rPr>
                <w:sz w:val="4"/>
                <w:szCs w:val="4"/>
              </w:rPr>
            </w:r>
          </w:p>
        </w:tc>
        <w:tc>
          <w:tcPr>
            <w:tcW w:w="1115" w:type="dxa"/>
            <w:gridSpan w:val="4"/>
            <w:tcBorders/>
            <w:shd w:fill="E5EEF8" w:val="clear"/>
            <w:vAlign w:val="center"/>
          </w:tcPr>
          <w:p>
            <w:pPr>
              <w:pStyle w:val="TableContents"/>
              <w:spacing w:before="0" w:after="283"/>
              <w:rPr>
                <w:sz w:val="4"/>
                <w:szCs w:val="4"/>
              </w:rPr>
            </w:pPr>
            <w:r>
              <w:rPr>
                <w:sz w:val="4"/>
                <w:szCs w:val="4"/>
              </w:rPr>
            </w:r>
          </w:p>
        </w:tc>
      </w:tr>
      <w:tr>
        <w:trPr/>
        <w:tc>
          <w:tcPr>
            <w:tcW w:w="2180" w:type="dxa"/>
            <w:tcBorders/>
            <w:shd w:fill="E5EEF8" w:val="clear"/>
            <w:vAlign w:val="center"/>
          </w:tcPr>
          <w:p>
            <w:pPr>
              <w:pStyle w:val="TableContents"/>
              <w:spacing w:before="0" w:after="0"/>
              <w:rPr/>
            </w:pPr>
            <w:r>
              <w:rPr/>
              <w:t>  </w:t>
            </w:r>
            <w:r>
              <w:rPr>
                <w:rFonts w:ascii="ARIAL" w:hAnsi="ARIAL"/>
                <w:sz w:val="19"/>
              </w:rPr>
              <w:t>Shellye L. Archambeau</w:t>
            </w:r>
          </w:p>
        </w:tc>
        <w:tc>
          <w:tcPr>
            <w:tcW w:w="120" w:type="dxa"/>
            <w:tcBorders/>
            <w:shd w:fill="E5EEF8" w:val="clear"/>
            <w:vAlign w:val="center"/>
          </w:tcPr>
          <w:p>
            <w:pPr>
              <w:pStyle w:val="TableContents"/>
              <w:spacing w:before="0" w:after="283"/>
              <w:rPr/>
            </w:pPr>
            <w:r>
              <w:rPr/>
              <w:t>  </w:t>
            </w:r>
          </w:p>
        </w:tc>
        <w:tc>
          <w:tcPr>
            <w:tcW w:w="100" w:type="dxa"/>
            <w:tcBorders/>
            <w:shd w:fill="E5EEF8" w:val="clear"/>
            <w:vAlign w:val="center"/>
          </w:tcPr>
          <w:p>
            <w:pPr>
              <w:pStyle w:val="TableContents"/>
              <w:spacing w:before="0" w:after="283"/>
              <w:rPr/>
            </w:pPr>
            <w:r>
              <w:rPr/>
              <w:t> </w:t>
            </w:r>
          </w:p>
        </w:tc>
        <w:tc>
          <w:tcPr>
            <w:tcW w:w="1345" w:type="dxa"/>
            <w:tcBorders/>
            <w:shd w:fill="E5EEF8" w:val="clear"/>
            <w:vAlign w:val="center"/>
          </w:tcPr>
          <w:p>
            <w:pPr>
              <w:pStyle w:val="TableContents"/>
              <w:spacing w:before="0" w:after="283"/>
              <w:jc w:val="right"/>
              <w:rPr/>
            </w:pPr>
            <w:r>
              <w:rPr/>
              <w:t>65,000</w:t>
            </w:r>
          </w:p>
        </w:tc>
        <w:tc>
          <w:tcPr>
            <w:tcW w:w="60" w:type="dxa"/>
            <w:tcBorders/>
            <w:shd w:fill="E5EEF8" w:val="clear"/>
            <w:vAlign w:val="center"/>
          </w:tcPr>
          <w:p>
            <w:pPr>
              <w:pStyle w:val="TableContents"/>
              <w:spacing w:before="0" w:after="283"/>
              <w:rPr/>
            </w:pPr>
            <w:r>
              <w:rPr/>
              <w:t> </w:t>
            </w:r>
          </w:p>
        </w:tc>
        <w:tc>
          <w:tcPr>
            <w:tcW w:w="12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pPr>
            <w:r>
              <w:rPr/>
              <w:t> </w:t>
            </w:r>
          </w:p>
        </w:tc>
        <w:tc>
          <w:tcPr>
            <w:tcW w:w="800" w:type="dxa"/>
            <w:tcBorders/>
            <w:shd w:fill="E5EEF8" w:val="clear"/>
            <w:vAlign w:val="center"/>
          </w:tcPr>
          <w:p>
            <w:pPr>
              <w:pStyle w:val="TableContents"/>
              <w:spacing w:before="0" w:after="283"/>
              <w:jc w:val="right"/>
              <w:rPr/>
            </w:pPr>
            <w:r>
              <w:rPr/>
              <w:t>385,000</w:t>
            </w:r>
          </w:p>
        </w:tc>
        <w:tc>
          <w:tcPr>
            <w:tcW w:w="60" w:type="dxa"/>
            <w:tcBorders/>
            <w:shd w:fill="E5EEF8" w:val="clear"/>
            <w:vAlign w:val="center"/>
          </w:tcPr>
          <w:p>
            <w:pPr>
              <w:pStyle w:val="TableContents"/>
              <w:spacing w:before="0" w:after="283"/>
              <w:rPr/>
            </w:pPr>
            <w:r>
              <w:rPr/>
              <w:t> </w:t>
            </w:r>
          </w:p>
        </w:tc>
        <w:tc>
          <w:tcPr>
            <w:tcW w:w="12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pPr>
            <w:r>
              <w:rPr/>
              <w:t> </w:t>
            </w:r>
          </w:p>
        </w:tc>
        <w:tc>
          <w:tcPr>
            <w:tcW w:w="860" w:type="dxa"/>
            <w:tcBorders/>
            <w:shd w:fill="E5EEF8" w:val="clear"/>
            <w:vAlign w:val="center"/>
          </w:tcPr>
          <w:p>
            <w:pPr>
              <w:pStyle w:val="TableContents"/>
              <w:spacing w:before="0" w:after="283"/>
              <w:jc w:val="right"/>
              <w:rPr/>
            </w:pPr>
            <w:r>
              <w:rPr/>
              <w:t>450,000 </w:t>
            </w:r>
          </w:p>
        </w:tc>
        <w:tc>
          <w:tcPr>
            <w:tcW w:w="75" w:type="dxa"/>
            <w:tcBorders/>
            <w:shd w:fill="E5EEF8"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283"/>
              <w:rPr>
                <w:sz w:val="4"/>
                <w:szCs w:val="4"/>
              </w:rPr>
            </w:pPr>
            <w:r>
              <w:rPr>
                <w:sz w:val="4"/>
                <w:szCs w:val="4"/>
              </w:rPr>
            </w:r>
          </w:p>
        </w:tc>
        <w:tc>
          <w:tcPr>
            <w:tcW w:w="1625"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0"/>
              <w:rPr/>
            </w:pPr>
            <w:r>
              <w:rPr/>
              <w:t>  </w:t>
            </w:r>
            <w:r>
              <w:rPr>
                <w:rFonts w:ascii="ARIAL" w:hAnsi="ARIAL"/>
                <w:sz w:val="19"/>
              </w:rPr>
              <w:t>Amy Woods Brinkley</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185,000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385,000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570,000 </w:t>
            </w:r>
          </w:p>
        </w:tc>
        <w:tc>
          <w:tcPr>
            <w:tcW w:w="75"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E5EEF8" w:val="clear"/>
            <w:vAlign w:val="center"/>
          </w:tcPr>
          <w:p>
            <w:pPr>
              <w:pStyle w:val="TableContents"/>
              <w:spacing w:before="0" w:after="283"/>
              <w:rPr>
                <w:sz w:val="4"/>
                <w:szCs w:val="4"/>
              </w:rPr>
            </w:pPr>
            <w:r>
              <w:rPr>
                <w:sz w:val="4"/>
                <w:szCs w:val="4"/>
              </w:rPr>
            </w:r>
          </w:p>
        </w:tc>
        <w:tc>
          <w:tcPr>
            <w:tcW w:w="1625" w:type="dxa"/>
            <w:gridSpan w:val="4"/>
            <w:tcBorders/>
            <w:shd w:fill="E5EEF8" w:val="clear"/>
            <w:vAlign w:val="center"/>
          </w:tcPr>
          <w:p>
            <w:pPr>
              <w:pStyle w:val="TableContents"/>
              <w:spacing w:before="0" w:after="283"/>
              <w:rPr>
                <w:sz w:val="4"/>
                <w:szCs w:val="4"/>
              </w:rPr>
            </w:pPr>
            <w:r>
              <w:rPr>
                <w:sz w:val="4"/>
                <w:szCs w:val="4"/>
              </w:rPr>
            </w:r>
          </w:p>
        </w:tc>
        <w:tc>
          <w:tcPr>
            <w:tcW w:w="1040" w:type="dxa"/>
            <w:gridSpan w:val="4"/>
            <w:tcBorders/>
            <w:shd w:fill="E5EEF8" w:val="clear"/>
            <w:vAlign w:val="center"/>
          </w:tcPr>
          <w:p>
            <w:pPr>
              <w:pStyle w:val="TableContents"/>
              <w:spacing w:before="0" w:after="283"/>
              <w:rPr>
                <w:sz w:val="4"/>
                <w:szCs w:val="4"/>
              </w:rPr>
            </w:pPr>
            <w:r>
              <w:rPr>
                <w:sz w:val="4"/>
                <w:szCs w:val="4"/>
              </w:rPr>
            </w:r>
          </w:p>
        </w:tc>
        <w:tc>
          <w:tcPr>
            <w:tcW w:w="1115" w:type="dxa"/>
            <w:gridSpan w:val="4"/>
            <w:tcBorders/>
            <w:shd w:fill="E5EEF8" w:val="clear"/>
            <w:vAlign w:val="center"/>
          </w:tcPr>
          <w:p>
            <w:pPr>
              <w:pStyle w:val="TableContents"/>
              <w:spacing w:before="0" w:after="283"/>
              <w:rPr>
                <w:sz w:val="4"/>
                <w:szCs w:val="4"/>
              </w:rPr>
            </w:pPr>
            <w:r>
              <w:rPr>
                <w:sz w:val="4"/>
                <w:szCs w:val="4"/>
              </w:rPr>
            </w:r>
          </w:p>
        </w:tc>
      </w:tr>
      <w:tr>
        <w:trPr/>
        <w:tc>
          <w:tcPr>
            <w:tcW w:w="2180" w:type="dxa"/>
            <w:tcBorders/>
            <w:shd w:fill="E5EEF8" w:val="clear"/>
            <w:vAlign w:val="center"/>
          </w:tcPr>
          <w:p>
            <w:pPr>
              <w:pStyle w:val="TableContents"/>
              <w:spacing w:before="0" w:after="0"/>
              <w:rPr/>
            </w:pPr>
            <w:r>
              <w:rPr/>
              <w:t>  </w:t>
            </w:r>
            <w:r>
              <w:rPr>
                <w:rFonts w:ascii="ARIAL" w:hAnsi="ARIAL"/>
                <w:sz w:val="19"/>
              </w:rPr>
              <w:t>Irene M. Esteves</w:t>
            </w:r>
          </w:p>
        </w:tc>
        <w:tc>
          <w:tcPr>
            <w:tcW w:w="120" w:type="dxa"/>
            <w:tcBorders/>
            <w:shd w:fill="E5EEF8" w:val="clear"/>
            <w:vAlign w:val="center"/>
          </w:tcPr>
          <w:p>
            <w:pPr>
              <w:pStyle w:val="TableContents"/>
              <w:spacing w:before="0" w:after="283"/>
              <w:rPr/>
            </w:pPr>
            <w:r>
              <w:rPr/>
              <w:t>  </w:t>
            </w:r>
          </w:p>
        </w:tc>
        <w:tc>
          <w:tcPr>
            <w:tcW w:w="100" w:type="dxa"/>
            <w:tcBorders/>
            <w:shd w:fill="E5EEF8" w:val="clear"/>
            <w:vAlign w:val="center"/>
          </w:tcPr>
          <w:p>
            <w:pPr>
              <w:pStyle w:val="TableContents"/>
              <w:spacing w:before="0" w:after="283"/>
              <w:rPr/>
            </w:pPr>
            <w:r>
              <w:rPr/>
              <w:t> </w:t>
            </w:r>
          </w:p>
        </w:tc>
        <w:tc>
          <w:tcPr>
            <w:tcW w:w="1345" w:type="dxa"/>
            <w:tcBorders/>
            <w:shd w:fill="E5EEF8" w:val="clear"/>
            <w:vAlign w:val="center"/>
          </w:tcPr>
          <w:p>
            <w:pPr>
              <w:pStyle w:val="TableContents"/>
              <w:spacing w:before="0" w:after="283"/>
              <w:jc w:val="right"/>
              <w:rPr/>
            </w:pPr>
            <w:r>
              <w:rPr/>
              <w:t>60,000</w:t>
            </w:r>
          </w:p>
        </w:tc>
        <w:tc>
          <w:tcPr>
            <w:tcW w:w="60" w:type="dxa"/>
            <w:tcBorders/>
            <w:shd w:fill="E5EEF8" w:val="clear"/>
            <w:vAlign w:val="center"/>
          </w:tcPr>
          <w:p>
            <w:pPr>
              <w:pStyle w:val="TableContents"/>
              <w:spacing w:before="0" w:after="283"/>
              <w:rPr/>
            </w:pPr>
            <w:r>
              <w:rPr/>
              <w:t> </w:t>
            </w:r>
          </w:p>
        </w:tc>
        <w:tc>
          <w:tcPr>
            <w:tcW w:w="12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pPr>
            <w:r>
              <w:rPr/>
              <w:t> </w:t>
            </w:r>
          </w:p>
        </w:tc>
        <w:tc>
          <w:tcPr>
            <w:tcW w:w="800" w:type="dxa"/>
            <w:tcBorders/>
            <w:shd w:fill="E5EEF8" w:val="clear"/>
            <w:vAlign w:val="center"/>
          </w:tcPr>
          <w:p>
            <w:pPr>
              <w:pStyle w:val="TableContents"/>
              <w:spacing w:before="0" w:after="283"/>
              <w:jc w:val="right"/>
              <w:rPr/>
            </w:pPr>
            <w:r>
              <w:rPr/>
              <w:t>385,000</w:t>
            </w:r>
          </w:p>
        </w:tc>
        <w:tc>
          <w:tcPr>
            <w:tcW w:w="60" w:type="dxa"/>
            <w:tcBorders/>
            <w:shd w:fill="E5EEF8" w:val="clear"/>
            <w:vAlign w:val="center"/>
          </w:tcPr>
          <w:p>
            <w:pPr>
              <w:pStyle w:val="TableContents"/>
              <w:spacing w:before="0" w:after="283"/>
              <w:rPr/>
            </w:pPr>
            <w:r>
              <w:rPr/>
              <w:t> </w:t>
            </w:r>
          </w:p>
        </w:tc>
        <w:tc>
          <w:tcPr>
            <w:tcW w:w="12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pPr>
            <w:r>
              <w:rPr/>
              <w:t> </w:t>
            </w:r>
          </w:p>
        </w:tc>
        <w:tc>
          <w:tcPr>
            <w:tcW w:w="860" w:type="dxa"/>
            <w:tcBorders/>
            <w:shd w:fill="E5EEF8" w:val="clear"/>
            <w:vAlign w:val="center"/>
          </w:tcPr>
          <w:p>
            <w:pPr>
              <w:pStyle w:val="TableContents"/>
              <w:spacing w:before="0" w:after="283"/>
              <w:jc w:val="right"/>
              <w:rPr/>
            </w:pPr>
            <w:r>
              <w:rPr/>
              <w:t>445,000 </w:t>
            </w:r>
          </w:p>
        </w:tc>
        <w:tc>
          <w:tcPr>
            <w:tcW w:w="75" w:type="dxa"/>
            <w:tcBorders/>
            <w:shd w:fill="E5EEF8"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283"/>
              <w:rPr>
                <w:sz w:val="4"/>
                <w:szCs w:val="4"/>
              </w:rPr>
            </w:pPr>
            <w:r>
              <w:rPr>
                <w:sz w:val="4"/>
                <w:szCs w:val="4"/>
              </w:rPr>
            </w:r>
          </w:p>
        </w:tc>
        <w:tc>
          <w:tcPr>
            <w:tcW w:w="1625"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0"/>
              <w:rPr/>
            </w:pPr>
            <w:r>
              <w:rPr/>
              <w:t>  </w:t>
            </w:r>
            <w:r>
              <w:rPr>
                <w:rFonts w:ascii="ARIAL" w:hAnsi="ARIAL"/>
                <w:sz w:val="19"/>
              </w:rPr>
              <w:t>John F. Fort III(2)</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25,000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25,000 </w:t>
            </w:r>
          </w:p>
        </w:tc>
        <w:tc>
          <w:tcPr>
            <w:tcW w:w="75"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E5EEF8" w:val="clear"/>
            <w:vAlign w:val="center"/>
          </w:tcPr>
          <w:p>
            <w:pPr>
              <w:pStyle w:val="TableContents"/>
              <w:spacing w:before="0" w:after="283"/>
              <w:rPr>
                <w:sz w:val="4"/>
                <w:szCs w:val="4"/>
              </w:rPr>
            </w:pPr>
            <w:r>
              <w:rPr>
                <w:sz w:val="4"/>
                <w:szCs w:val="4"/>
              </w:rPr>
            </w:r>
          </w:p>
        </w:tc>
        <w:tc>
          <w:tcPr>
            <w:tcW w:w="1625" w:type="dxa"/>
            <w:gridSpan w:val="4"/>
            <w:tcBorders/>
            <w:shd w:fill="E5EEF8" w:val="clear"/>
            <w:vAlign w:val="center"/>
          </w:tcPr>
          <w:p>
            <w:pPr>
              <w:pStyle w:val="TableContents"/>
              <w:spacing w:before="0" w:after="283"/>
              <w:rPr>
                <w:sz w:val="4"/>
                <w:szCs w:val="4"/>
              </w:rPr>
            </w:pPr>
            <w:r>
              <w:rPr>
                <w:sz w:val="4"/>
                <w:szCs w:val="4"/>
              </w:rPr>
            </w:r>
          </w:p>
        </w:tc>
        <w:tc>
          <w:tcPr>
            <w:tcW w:w="1040" w:type="dxa"/>
            <w:gridSpan w:val="4"/>
            <w:tcBorders/>
            <w:shd w:fill="E5EEF8" w:val="clear"/>
            <w:vAlign w:val="center"/>
          </w:tcPr>
          <w:p>
            <w:pPr>
              <w:pStyle w:val="TableContents"/>
              <w:spacing w:before="0" w:after="283"/>
              <w:rPr>
                <w:sz w:val="4"/>
                <w:szCs w:val="4"/>
              </w:rPr>
            </w:pPr>
            <w:r>
              <w:rPr>
                <w:sz w:val="4"/>
                <w:szCs w:val="4"/>
              </w:rPr>
            </w:r>
          </w:p>
        </w:tc>
        <w:tc>
          <w:tcPr>
            <w:tcW w:w="1115" w:type="dxa"/>
            <w:gridSpan w:val="4"/>
            <w:tcBorders/>
            <w:shd w:fill="E5EEF8" w:val="clear"/>
            <w:vAlign w:val="center"/>
          </w:tcPr>
          <w:p>
            <w:pPr>
              <w:pStyle w:val="TableContents"/>
              <w:spacing w:before="0" w:after="283"/>
              <w:rPr>
                <w:sz w:val="4"/>
                <w:szCs w:val="4"/>
              </w:rPr>
            </w:pPr>
            <w:r>
              <w:rPr>
                <w:sz w:val="4"/>
                <w:szCs w:val="4"/>
              </w:rPr>
            </w:r>
          </w:p>
        </w:tc>
      </w:tr>
      <w:tr>
        <w:trPr/>
        <w:tc>
          <w:tcPr>
            <w:tcW w:w="2180" w:type="dxa"/>
            <w:tcBorders/>
            <w:shd w:fill="E5EEF8" w:val="clear"/>
            <w:vAlign w:val="center"/>
          </w:tcPr>
          <w:p>
            <w:pPr>
              <w:pStyle w:val="TableContents"/>
              <w:spacing w:before="0" w:after="0"/>
              <w:rPr/>
            </w:pPr>
            <w:r>
              <w:rPr/>
              <w:t>  </w:t>
            </w:r>
            <w:r>
              <w:rPr>
                <w:rFonts w:ascii="ARIAL" w:hAnsi="ARIAL"/>
                <w:sz w:val="19"/>
              </w:rPr>
              <w:t>Robert D. Johnson</w:t>
            </w:r>
          </w:p>
        </w:tc>
        <w:tc>
          <w:tcPr>
            <w:tcW w:w="120" w:type="dxa"/>
            <w:tcBorders/>
            <w:shd w:fill="E5EEF8" w:val="clear"/>
            <w:vAlign w:val="center"/>
          </w:tcPr>
          <w:p>
            <w:pPr>
              <w:pStyle w:val="TableContents"/>
              <w:spacing w:before="0" w:after="283"/>
              <w:rPr/>
            </w:pPr>
            <w:r>
              <w:rPr/>
              <w:t>  </w:t>
            </w:r>
          </w:p>
        </w:tc>
        <w:tc>
          <w:tcPr>
            <w:tcW w:w="100" w:type="dxa"/>
            <w:tcBorders/>
            <w:shd w:fill="E5EEF8" w:val="clear"/>
            <w:vAlign w:val="center"/>
          </w:tcPr>
          <w:p>
            <w:pPr>
              <w:pStyle w:val="TableContents"/>
              <w:spacing w:before="0" w:after="283"/>
              <w:rPr/>
            </w:pPr>
            <w:r>
              <w:rPr/>
              <w:t> </w:t>
            </w:r>
          </w:p>
        </w:tc>
        <w:tc>
          <w:tcPr>
            <w:tcW w:w="1345" w:type="dxa"/>
            <w:tcBorders/>
            <w:shd w:fill="E5EEF8" w:val="clear"/>
            <w:vAlign w:val="center"/>
          </w:tcPr>
          <w:p>
            <w:pPr>
              <w:pStyle w:val="TableContents"/>
              <w:spacing w:before="0" w:after="283"/>
              <w:jc w:val="right"/>
              <w:rPr/>
            </w:pPr>
            <w:r>
              <w:rPr/>
              <w:t>60,000</w:t>
            </w:r>
          </w:p>
        </w:tc>
        <w:tc>
          <w:tcPr>
            <w:tcW w:w="60" w:type="dxa"/>
            <w:tcBorders/>
            <w:shd w:fill="E5EEF8" w:val="clear"/>
            <w:vAlign w:val="center"/>
          </w:tcPr>
          <w:p>
            <w:pPr>
              <w:pStyle w:val="TableContents"/>
              <w:spacing w:before="0" w:after="283"/>
              <w:rPr/>
            </w:pPr>
            <w:r>
              <w:rPr/>
              <w:t> </w:t>
            </w:r>
          </w:p>
        </w:tc>
        <w:tc>
          <w:tcPr>
            <w:tcW w:w="12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pPr>
            <w:r>
              <w:rPr/>
              <w:t> </w:t>
            </w:r>
          </w:p>
        </w:tc>
        <w:tc>
          <w:tcPr>
            <w:tcW w:w="800" w:type="dxa"/>
            <w:tcBorders/>
            <w:shd w:fill="E5EEF8" w:val="clear"/>
            <w:vAlign w:val="center"/>
          </w:tcPr>
          <w:p>
            <w:pPr>
              <w:pStyle w:val="TableContents"/>
              <w:spacing w:before="0" w:after="283"/>
              <w:jc w:val="right"/>
              <w:rPr/>
            </w:pPr>
            <w:r>
              <w:rPr/>
              <w:t>385,000</w:t>
            </w:r>
          </w:p>
        </w:tc>
        <w:tc>
          <w:tcPr>
            <w:tcW w:w="60" w:type="dxa"/>
            <w:tcBorders/>
            <w:shd w:fill="E5EEF8" w:val="clear"/>
            <w:vAlign w:val="center"/>
          </w:tcPr>
          <w:p>
            <w:pPr>
              <w:pStyle w:val="TableContents"/>
              <w:spacing w:before="0" w:after="283"/>
              <w:rPr/>
            </w:pPr>
            <w:r>
              <w:rPr/>
              <w:t> </w:t>
            </w:r>
          </w:p>
        </w:tc>
        <w:tc>
          <w:tcPr>
            <w:tcW w:w="12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pPr>
            <w:r>
              <w:rPr/>
              <w:t> </w:t>
            </w:r>
          </w:p>
        </w:tc>
        <w:tc>
          <w:tcPr>
            <w:tcW w:w="860" w:type="dxa"/>
            <w:tcBorders/>
            <w:shd w:fill="E5EEF8" w:val="clear"/>
            <w:vAlign w:val="center"/>
          </w:tcPr>
          <w:p>
            <w:pPr>
              <w:pStyle w:val="TableContents"/>
              <w:spacing w:before="0" w:after="283"/>
              <w:jc w:val="right"/>
              <w:rPr/>
            </w:pPr>
            <w:r>
              <w:rPr/>
              <w:t>445,000 </w:t>
            </w:r>
          </w:p>
        </w:tc>
        <w:tc>
          <w:tcPr>
            <w:tcW w:w="75" w:type="dxa"/>
            <w:tcBorders/>
            <w:shd w:fill="E5EEF8"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283"/>
              <w:rPr>
                <w:sz w:val="4"/>
                <w:szCs w:val="4"/>
              </w:rPr>
            </w:pPr>
            <w:r>
              <w:rPr>
                <w:sz w:val="4"/>
                <w:szCs w:val="4"/>
              </w:rPr>
            </w:r>
          </w:p>
        </w:tc>
        <w:tc>
          <w:tcPr>
            <w:tcW w:w="1625"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0"/>
              <w:rPr/>
            </w:pPr>
            <w:r>
              <w:rPr/>
              <w:t>  </w:t>
            </w:r>
            <w:r>
              <w:rPr>
                <w:rFonts w:ascii="ARIAL" w:hAnsi="ARIAL"/>
                <w:sz w:val="19"/>
              </w:rPr>
              <w:t>Thomas P. Joyce, Jr.</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60,000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385,000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445,000 </w:t>
            </w:r>
          </w:p>
        </w:tc>
        <w:tc>
          <w:tcPr>
            <w:tcW w:w="75"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E5EEF8" w:val="clear"/>
            <w:vAlign w:val="center"/>
          </w:tcPr>
          <w:p>
            <w:pPr>
              <w:pStyle w:val="TableContents"/>
              <w:spacing w:before="0" w:after="283"/>
              <w:rPr>
                <w:sz w:val="4"/>
                <w:szCs w:val="4"/>
              </w:rPr>
            </w:pPr>
            <w:r>
              <w:rPr>
                <w:sz w:val="4"/>
                <w:szCs w:val="4"/>
              </w:rPr>
            </w:r>
          </w:p>
        </w:tc>
        <w:tc>
          <w:tcPr>
            <w:tcW w:w="1625" w:type="dxa"/>
            <w:gridSpan w:val="4"/>
            <w:tcBorders/>
            <w:shd w:fill="E5EEF8" w:val="clear"/>
            <w:vAlign w:val="center"/>
          </w:tcPr>
          <w:p>
            <w:pPr>
              <w:pStyle w:val="TableContents"/>
              <w:spacing w:before="0" w:after="283"/>
              <w:rPr>
                <w:sz w:val="4"/>
                <w:szCs w:val="4"/>
              </w:rPr>
            </w:pPr>
            <w:r>
              <w:rPr>
                <w:sz w:val="4"/>
                <w:szCs w:val="4"/>
              </w:rPr>
            </w:r>
          </w:p>
        </w:tc>
        <w:tc>
          <w:tcPr>
            <w:tcW w:w="1040" w:type="dxa"/>
            <w:gridSpan w:val="4"/>
            <w:tcBorders/>
            <w:shd w:fill="E5EEF8" w:val="clear"/>
            <w:vAlign w:val="center"/>
          </w:tcPr>
          <w:p>
            <w:pPr>
              <w:pStyle w:val="TableContents"/>
              <w:spacing w:before="0" w:after="283"/>
              <w:rPr>
                <w:sz w:val="4"/>
                <w:szCs w:val="4"/>
              </w:rPr>
            </w:pPr>
            <w:r>
              <w:rPr>
                <w:sz w:val="4"/>
                <w:szCs w:val="4"/>
              </w:rPr>
            </w:r>
          </w:p>
        </w:tc>
        <w:tc>
          <w:tcPr>
            <w:tcW w:w="1115" w:type="dxa"/>
            <w:gridSpan w:val="4"/>
            <w:tcBorders/>
            <w:shd w:fill="E5EEF8" w:val="clear"/>
            <w:vAlign w:val="center"/>
          </w:tcPr>
          <w:p>
            <w:pPr>
              <w:pStyle w:val="TableContents"/>
              <w:spacing w:before="0" w:after="283"/>
              <w:rPr>
                <w:sz w:val="4"/>
                <w:szCs w:val="4"/>
              </w:rPr>
            </w:pPr>
            <w:r>
              <w:rPr>
                <w:sz w:val="4"/>
                <w:szCs w:val="4"/>
              </w:rPr>
            </w:r>
          </w:p>
        </w:tc>
      </w:tr>
      <w:tr>
        <w:trPr/>
        <w:tc>
          <w:tcPr>
            <w:tcW w:w="2180" w:type="dxa"/>
            <w:tcBorders/>
            <w:shd w:fill="E5EEF8" w:val="clear"/>
            <w:vAlign w:val="center"/>
          </w:tcPr>
          <w:p>
            <w:pPr>
              <w:pStyle w:val="TableContents"/>
              <w:spacing w:before="0" w:after="0"/>
              <w:rPr/>
            </w:pPr>
            <w:r>
              <w:rPr/>
              <w:t>  </w:t>
            </w:r>
            <w:r>
              <w:rPr>
                <w:rFonts w:ascii="ARIAL" w:hAnsi="ARIAL"/>
                <w:sz w:val="19"/>
              </w:rPr>
              <w:t>Laura G. Thatcher</w:t>
            </w:r>
          </w:p>
        </w:tc>
        <w:tc>
          <w:tcPr>
            <w:tcW w:w="120" w:type="dxa"/>
            <w:tcBorders/>
            <w:shd w:fill="E5EEF8" w:val="clear"/>
            <w:vAlign w:val="center"/>
          </w:tcPr>
          <w:p>
            <w:pPr>
              <w:pStyle w:val="TableContents"/>
              <w:spacing w:before="0" w:after="283"/>
              <w:rPr/>
            </w:pPr>
            <w:r>
              <w:rPr/>
              <w:t>  </w:t>
            </w:r>
          </w:p>
        </w:tc>
        <w:tc>
          <w:tcPr>
            <w:tcW w:w="100" w:type="dxa"/>
            <w:tcBorders/>
            <w:shd w:fill="E5EEF8" w:val="clear"/>
            <w:vAlign w:val="center"/>
          </w:tcPr>
          <w:p>
            <w:pPr>
              <w:pStyle w:val="TableContents"/>
              <w:spacing w:before="0" w:after="283"/>
              <w:rPr/>
            </w:pPr>
            <w:r>
              <w:rPr/>
              <w:t> </w:t>
            </w:r>
          </w:p>
        </w:tc>
        <w:tc>
          <w:tcPr>
            <w:tcW w:w="1345" w:type="dxa"/>
            <w:tcBorders/>
            <w:shd w:fill="E5EEF8" w:val="clear"/>
            <w:vAlign w:val="center"/>
          </w:tcPr>
          <w:p>
            <w:pPr>
              <w:pStyle w:val="TableContents"/>
              <w:spacing w:before="0" w:after="283"/>
              <w:jc w:val="right"/>
              <w:rPr/>
            </w:pPr>
            <w:r>
              <w:rPr/>
              <w:t>65,000</w:t>
            </w:r>
          </w:p>
        </w:tc>
        <w:tc>
          <w:tcPr>
            <w:tcW w:w="60" w:type="dxa"/>
            <w:tcBorders/>
            <w:shd w:fill="E5EEF8" w:val="clear"/>
            <w:vAlign w:val="center"/>
          </w:tcPr>
          <w:p>
            <w:pPr>
              <w:pStyle w:val="TableContents"/>
              <w:spacing w:before="0" w:after="283"/>
              <w:rPr/>
            </w:pPr>
            <w:r>
              <w:rPr/>
              <w:t> </w:t>
            </w:r>
          </w:p>
        </w:tc>
        <w:tc>
          <w:tcPr>
            <w:tcW w:w="12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pPr>
            <w:r>
              <w:rPr/>
              <w:t> </w:t>
            </w:r>
          </w:p>
        </w:tc>
        <w:tc>
          <w:tcPr>
            <w:tcW w:w="800" w:type="dxa"/>
            <w:tcBorders/>
            <w:shd w:fill="E5EEF8" w:val="clear"/>
            <w:vAlign w:val="center"/>
          </w:tcPr>
          <w:p>
            <w:pPr>
              <w:pStyle w:val="TableContents"/>
              <w:spacing w:before="0" w:after="283"/>
              <w:jc w:val="right"/>
              <w:rPr/>
            </w:pPr>
            <w:r>
              <w:rPr/>
              <w:t>385,000</w:t>
            </w:r>
          </w:p>
        </w:tc>
        <w:tc>
          <w:tcPr>
            <w:tcW w:w="60" w:type="dxa"/>
            <w:tcBorders/>
            <w:shd w:fill="E5EEF8" w:val="clear"/>
            <w:vAlign w:val="center"/>
          </w:tcPr>
          <w:p>
            <w:pPr>
              <w:pStyle w:val="TableContents"/>
              <w:spacing w:before="0" w:after="283"/>
              <w:rPr/>
            </w:pPr>
            <w:r>
              <w:rPr/>
              <w:t> </w:t>
            </w:r>
          </w:p>
        </w:tc>
        <w:tc>
          <w:tcPr>
            <w:tcW w:w="12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pPr>
            <w:r>
              <w:rPr/>
              <w:t> </w:t>
            </w:r>
          </w:p>
        </w:tc>
        <w:tc>
          <w:tcPr>
            <w:tcW w:w="860" w:type="dxa"/>
            <w:tcBorders/>
            <w:shd w:fill="E5EEF8" w:val="clear"/>
            <w:vAlign w:val="center"/>
          </w:tcPr>
          <w:p>
            <w:pPr>
              <w:pStyle w:val="TableContents"/>
              <w:spacing w:before="0" w:after="283"/>
              <w:jc w:val="right"/>
              <w:rPr/>
            </w:pPr>
            <w:r>
              <w:rPr/>
              <w:t>450,000 </w:t>
            </w:r>
          </w:p>
        </w:tc>
        <w:tc>
          <w:tcPr>
            <w:tcW w:w="75" w:type="dxa"/>
            <w:tcBorders/>
            <w:shd w:fill="E5EEF8"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sz w:val="4"/>
                <w:szCs w:val="4"/>
              </w:rPr>
            </w:pPr>
            <w:r>
              <w:rPr>
                <w:sz w:val="4"/>
                <w:szCs w:val="4"/>
              </w:rPr>
            </w:r>
          </w:p>
        </w:tc>
        <w:tc>
          <w:tcPr>
            <w:tcW w:w="1625"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0"/>
              <w:rPr/>
            </w:pPr>
            <w:r>
              <w:rPr/>
              <w:t>  </w:t>
            </w:r>
            <w:r>
              <w:rPr>
                <w:rFonts w:ascii="ARIAL" w:hAnsi="ARIAL"/>
                <w:sz w:val="19"/>
              </w:rPr>
              <w:t>Richard F. Wallman</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65,000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385,000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450,000 </w:t>
            </w:r>
          </w:p>
        </w:tc>
        <w:tc>
          <w:tcPr>
            <w:tcW w:w="75"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E5EEF8" w:val="clear"/>
            <w:vAlign w:val="center"/>
          </w:tcPr>
          <w:p>
            <w:pPr>
              <w:pStyle w:val="TableContents"/>
              <w:spacing w:before="0" w:after="0"/>
              <w:rPr/>
            </w:pPr>
            <w:r>
              <w:rPr/>
              <w:t>  </w:t>
            </w:r>
            <w:r>
              <w:rPr>
                <w:rFonts w:ascii="ARIAL" w:hAnsi="ARIAL"/>
                <w:sz w:val="19"/>
              </w:rPr>
              <w:t>Christopher Wright</w:t>
            </w:r>
          </w:p>
        </w:tc>
        <w:tc>
          <w:tcPr>
            <w:tcW w:w="120" w:type="dxa"/>
            <w:tcBorders/>
            <w:shd w:fill="E5EEF8" w:val="clear"/>
            <w:vAlign w:val="center"/>
          </w:tcPr>
          <w:p>
            <w:pPr>
              <w:pStyle w:val="TableContents"/>
              <w:spacing w:before="0" w:after="283"/>
              <w:rPr/>
            </w:pPr>
            <w:r>
              <w:rPr/>
              <w:t>  </w:t>
            </w:r>
          </w:p>
        </w:tc>
        <w:tc>
          <w:tcPr>
            <w:tcW w:w="100" w:type="dxa"/>
            <w:tcBorders/>
            <w:shd w:fill="E5EEF8" w:val="clear"/>
            <w:vAlign w:val="center"/>
          </w:tcPr>
          <w:p>
            <w:pPr>
              <w:pStyle w:val="TableContents"/>
              <w:spacing w:before="0" w:after="283"/>
              <w:rPr/>
            </w:pPr>
            <w:r>
              <w:rPr/>
              <w:t> </w:t>
            </w:r>
          </w:p>
        </w:tc>
        <w:tc>
          <w:tcPr>
            <w:tcW w:w="1345" w:type="dxa"/>
            <w:tcBorders/>
            <w:shd w:fill="E5EEF8" w:val="clear"/>
            <w:vAlign w:val="center"/>
          </w:tcPr>
          <w:p>
            <w:pPr>
              <w:pStyle w:val="TableContents"/>
              <w:spacing w:before="0" w:after="283"/>
              <w:jc w:val="right"/>
              <w:rPr/>
            </w:pPr>
            <w:r>
              <w:rPr/>
              <w:t>60,000</w:t>
            </w:r>
          </w:p>
        </w:tc>
        <w:tc>
          <w:tcPr>
            <w:tcW w:w="60" w:type="dxa"/>
            <w:tcBorders/>
            <w:shd w:fill="E5EEF8" w:val="clear"/>
            <w:vAlign w:val="center"/>
          </w:tcPr>
          <w:p>
            <w:pPr>
              <w:pStyle w:val="TableContents"/>
              <w:spacing w:before="0" w:after="283"/>
              <w:rPr/>
            </w:pPr>
            <w:r>
              <w:rPr/>
              <w:t> </w:t>
            </w:r>
          </w:p>
        </w:tc>
        <w:tc>
          <w:tcPr>
            <w:tcW w:w="12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pPr>
            <w:r>
              <w:rPr/>
              <w:t> </w:t>
            </w:r>
          </w:p>
        </w:tc>
        <w:tc>
          <w:tcPr>
            <w:tcW w:w="800" w:type="dxa"/>
            <w:tcBorders/>
            <w:shd w:fill="E5EEF8" w:val="clear"/>
            <w:vAlign w:val="center"/>
          </w:tcPr>
          <w:p>
            <w:pPr>
              <w:pStyle w:val="TableContents"/>
              <w:spacing w:before="0" w:after="283"/>
              <w:jc w:val="right"/>
              <w:rPr/>
            </w:pPr>
            <w:r>
              <w:rPr/>
              <w:t>385,000</w:t>
            </w:r>
          </w:p>
        </w:tc>
        <w:tc>
          <w:tcPr>
            <w:tcW w:w="60" w:type="dxa"/>
            <w:tcBorders/>
            <w:shd w:fill="E5EEF8" w:val="clear"/>
            <w:vAlign w:val="center"/>
          </w:tcPr>
          <w:p>
            <w:pPr>
              <w:pStyle w:val="TableContents"/>
              <w:spacing w:before="0" w:after="283"/>
              <w:rPr/>
            </w:pPr>
            <w:r>
              <w:rPr/>
              <w:t> </w:t>
            </w:r>
          </w:p>
        </w:tc>
        <w:tc>
          <w:tcPr>
            <w:tcW w:w="12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pPr>
            <w:r>
              <w:rPr/>
              <w:t> </w:t>
            </w:r>
          </w:p>
        </w:tc>
        <w:tc>
          <w:tcPr>
            <w:tcW w:w="860" w:type="dxa"/>
            <w:tcBorders/>
            <w:shd w:fill="E5EEF8" w:val="clear"/>
            <w:vAlign w:val="center"/>
          </w:tcPr>
          <w:p>
            <w:pPr>
              <w:pStyle w:val="TableContents"/>
              <w:spacing w:before="0" w:after="283"/>
              <w:jc w:val="right"/>
              <w:rPr/>
            </w:pPr>
            <w:r>
              <w:rPr/>
              <w:t>445,000 </w:t>
            </w:r>
          </w:p>
        </w:tc>
        <w:tc>
          <w:tcPr>
            <w:tcW w:w="75" w:type="dxa"/>
            <w:tcBorders/>
            <w:shd w:fill="E5EEF8"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vAlign w:val="center"/>
          </w:tcPr>
          <w:p>
            <w:pPr>
              <w:pStyle w:val="TableContents"/>
              <w:spacing w:before="0" w:after="283"/>
              <w:jc w:val="left"/>
              <w:rPr/>
            </w:pPr>
            <w:r>
              <w:rPr/>
              <w:t>(1) </w:t>
            </w:r>
          </w:p>
        </w:tc>
        <w:tc>
          <w:tcPr>
            <w:tcW w:w="9936"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dollar values shown represent the grant date fair values for restricted stock or RSUs, as the case may be, granted to these directors during 2022, calculated in accordance with Financial Accounting Standards Board Accounting Standards Codification Topic 718 (“ASC Topic 718”). The restricted stock and RSUs vest in equal increments 50% six months from the date of grant and 50% on the day prior to the 2023 Annual Meeting. </w:t>
            </w:r>
          </w:p>
        </w:tc>
      </w:tr>
    </w:tbl>
    <w:p>
      <w:pPr>
        <w:pStyle w:val="TextBody"/>
        <w:spacing w:before="0" w:after="0"/>
        <w:jc w:val="left"/>
        <w:rPr/>
      </w:pPr>
      <w:r>
        <w:rPr/>
        <w:t> </w:t>
      </w:r>
    </w:p>
    <w:tbl>
      <w:tblPr>
        <w:tblW w:w="4585" w:type="dxa"/>
        <w:jc w:val="left"/>
        <w:tblInd w:w="0" w:type="dxa"/>
        <w:tblCellMar>
          <w:top w:w="0" w:type="dxa"/>
          <w:left w:w="0" w:type="dxa"/>
          <w:bottom w:w="0" w:type="dxa"/>
          <w:right w:w="0" w:type="dxa"/>
        </w:tblCellMar>
      </w:tblPr>
      <w:tblGrid>
        <w:gridCol w:w="365"/>
        <w:gridCol w:w="4220"/>
      </w:tblGrid>
      <w:tr>
        <w:trPr/>
        <w:tc>
          <w:tcPr>
            <w:tcW w:w="365" w:type="dxa"/>
            <w:tcBorders/>
            <w:shd w:fill="auto" w:val="clear"/>
            <w:vAlign w:val="center"/>
          </w:tcPr>
          <w:p>
            <w:pPr>
              <w:pStyle w:val="TableContents"/>
              <w:spacing w:before="0" w:after="283"/>
              <w:jc w:val="left"/>
              <w:rPr/>
            </w:pPr>
            <w:r>
              <w:rPr/>
              <w:t>(2) </w:t>
            </w:r>
          </w:p>
        </w:tc>
        <w:tc>
          <w:tcPr>
            <w:tcW w:w="4220" w:type="dxa"/>
            <w:tcBorders/>
            <w:shd w:fill="auto" w:val="clear"/>
            <w:vAlign w:val="center"/>
          </w:tcPr>
          <w:p>
            <w:pPr>
              <w:pStyle w:val="TableContents"/>
              <w:spacing w:before="0" w:after="0"/>
              <w:jc w:val="left"/>
              <w:rPr>
                <w:rFonts w:ascii="ARIAL" w:hAnsi="ARIAL"/>
                <w:sz w:val="16"/>
              </w:rPr>
            </w:pPr>
            <w:r>
              <w:rPr>
                <w:rFonts w:ascii="ARIAL" w:hAnsi="ARIAL"/>
                <w:sz w:val="16"/>
              </w:rPr>
              <w:t xml:space="preserve">Mr. Fort retired from the Board of Directors in June 2022. </w:t>
            </w:r>
          </w:p>
        </w:tc>
      </w:tr>
    </w:tbl>
    <w:p>
      <w:pPr>
        <w:pStyle w:val="TextBody"/>
        <w:spacing w:before="120" w:after="0"/>
        <w:jc w:val="left"/>
        <w:rPr>
          <w:rFonts w:ascii="ARIAL" w:hAnsi="ARIAL"/>
          <w:sz w:val="19"/>
        </w:rPr>
      </w:pPr>
      <w:r>
        <w:rPr>
          <w:rFonts w:ascii="ARIAL" w:hAnsi="ARIAL"/>
          <w:sz w:val="19"/>
        </w:rPr>
        <w:t xml:space="preserve">Our share ownership and retention guidelines for non-employee directors require each director to own shares of our common stock with a value of at least 10 times the annual cash base retainer, or $600,000 in value, within five years of becoming a director. Until the ownership requirements are met, non-employee directors are required to retain 60% of any shares they receive (on a net after tax basis) under our Director Compensation Plan. Each of our directors is in compliance with these guidelines. </w: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18</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8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2" descr=""/>
                          <pic:cNvPicPr>
                            <a:picLocks noChangeAspect="1" noChangeArrowheads="1"/>
                          </pic:cNvPicPr>
                        </pic:nvPicPr>
                        <pic:blipFill>
                          <a:blip r:embed="rId63"/>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32"/>
        </w:rPr>
      </w:pPr>
      <w:bookmarkStart w:id="10" w:name="toc356364_8"/>
      <w:bookmarkEnd w:id="10"/>
      <w:r>
        <w:rPr>
          <w:rFonts w:ascii="ARIAL" w:hAnsi="ARIAL"/>
          <w:color w:val="005CB9"/>
          <w:sz w:val="32"/>
        </w:rPr>
        <w:t xml:space="preserve">BENEFICIAL OWNERSHIP </w:t>
      </w:r>
    </w:p>
    <w:p>
      <w:pPr>
        <w:pStyle w:val="TextBody"/>
        <w:spacing w:before="360" w:after="0"/>
        <w:jc w:val="left"/>
        <w:rPr>
          <w:rFonts w:ascii="ARIAL" w:hAnsi="ARIAL"/>
          <w:sz w:val="19"/>
        </w:rPr>
      </w:pPr>
      <w:r>
        <w:rPr>
          <w:rFonts w:ascii="ARIAL" w:hAnsi="ARIAL"/>
          <w:sz w:val="19"/>
        </w:rPr>
        <w:t xml:space="preserve">Beneficial ownership is determined in accordance with SEC rules. Under the rules, the number of shares beneficially owned by a person and the percentage of ownership held by that person includes shares of common stock that could be acquired upon exercise of an option within sixty days, although such shares are not deemed exercised and outstanding for computing the percentage of ownership held by any other person. Unless otherwise indicated in the footnotes below, the persons and entities named in the table have sole voting and investment power with respect to all shares beneficially owned, subject to community property laws where applicable. </w:t>
      </w:r>
    </w:p>
    <w:p>
      <w:pPr>
        <w:pStyle w:val="TextBody"/>
        <w:spacing w:before="240" w:after="0"/>
        <w:jc w:val="left"/>
        <w:rPr>
          <w:rFonts w:ascii="ARIAL" w:hAnsi="ARIAL"/>
          <w:sz w:val="19"/>
        </w:rPr>
      </w:pPr>
      <w:r>
        <w:rPr>
          <w:rFonts w:ascii="ARIAL" w:hAnsi="ARIAL"/>
          <w:sz w:val="19"/>
        </w:rPr>
        <w:t>The following table shows the beneficial ownership of Roper common stock as of March 31, 2023 by (i) each of our director nominees, (ii) each named executive officer in the “2022 Summary Compensation Table,” (iii) all of our current directors and executive officers as a group, and (iv) all persons who we know are the beneficial owners of five percent or more of Roper common stock. Except as noted below, the address of each person in the table is c/o Roper Technologies, Inc., 6901 Professional Parkway, Suite 200, Sarasota, Florida 34240</w:t>
      </w:r>
      <w:r>
        <w:rPr>
          <w:rFonts w:ascii="ARIAL" w:hAnsi="ARIAL"/>
          <w:b/>
          <w:sz w:val="19"/>
        </w:rPr>
        <w:t>.</w:t>
      </w:r>
      <w:r>
        <w:rPr>
          <w:rFonts w:ascii="ARIAL" w:hAnsi="ARIAL"/>
          <w:sz w:val="19"/>
        </w:rPr>
        <w:t xml:space="preserve"> </w:t>
      </w:r>
    </w:p>
    <w:p>
      <w:pPr>
        <w:pStyle w:val="TextBody"/>
        <w:spacing w:before="0" w:after="0"/>
        <w:jc w:val="left"/>
        <w:rPr/>
      </w:pPr>
      <w:r>
        <w:rPr/>
        <w:t> </w:t>
      </w:r>
    </w:p>
    <w:tbl>
      <w:tblPr>
        <w:tblW w:w="9699" w:type="dxa"/>
        <w:jc w:val="left"/>
        <w:tblInd w:w="0" w:type="dxa"/>
        <w:tblCellMar>
          <w:top w:w="0" w:type="dxa"/>
          <w:left w:w="0" w:type="dxa"/>
          <w:bottom w:w="0" w:type="dxa"/>
          <w:right w:w="0" w:type="dxa"/>
        </w:tblCellMar>
      </w:tblPr>
      <w:tblGrid>
        <w:gridCol w:w="6110"/>
        <w:gridCol w:w="120"/>
        <w:gridCol w:w="103"/>
        <w:gridCol w:w="1701"/>
        <w:gridCol w:w="350"/>
        <w:gridCol w:w="60"/>
        <w:gridCol w:w="133"/>
        <w:gridCol w:w="712"/>
        <w:gridCol w:w="410"/>
      </w:tblGrid>
      <w:tr>
        <w:trPr/>
        <w:tc>
          <w:tcPr>
            <w:tcW w:w="61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6110" w:type="dxa"/>
            <w:tcBorders/>
            <w:shd w:fill="005CB9" w:val="clear"/>
            <w:vAlign w:val="center"/>
          </w:tcPr>
          <w:p>
            <w:pPr>
              <w:pStyle w:val="TableContents"/>
              <w:spacing w:before="0" w:after="0"/>
              <w:rPr>
                <w:color w:val="FFFFFF"/>
              </w:rPr>
            </w:pPr>
            <w:r>
              <w:rPr>
                <w:color w:val="FFFFFF"/>
              </w:rPr>
              <w:t>  </w:t>
            </w:r>
            <w:r>
              <w:rPr>
                <w:rFonts w:ascii="arial" w:hAnsi="arial"/>
                <w:color w:val="FFFFFF"/>
                <w:sz w:val="16"/>
              </w:rPr>
              <w:t>Name of Beneficial Owner</w:t>
            </w:r>
          </w:p>
          <w:p>
            <w:pPr>
              <w:pStyle w:val="TableContents"/>
              <w:spacing w:before="0" w:after="20"/>
              <w:rPr/>
            </w:pPr>
            <w:r>
              <w:rPr/>
              <w:t> </w:t>
            </w:r>
          </w:p>
        </w:tc>
        <w:tc>
          <w:tcPr>
            <w:tcW w:w="120" w:type="dxa"/>
            <w:tcBorders/>
            <w:shd w:fill="005CB9" w:val="clear"/>
            <w:vAlign w:val="center"/>
          </w:tcPr>
          <w:p>
            <w:pPr>
              <w:pStyle w:val="TableContents"/>
              <w:spacing w:before="0" w:after="283"/>
              <w:rPr/>
            </w:pPr>
            <w:r>
              <w:rPr/>
              <w:t>  </w:t>
            </w:r>
          </w:p>
        </w:tc>
        <w:tc>
          <w:tcPr>
            <w:tcW w:w="1804" w:type="dxa"/>
            <w:gridSpan w:val="2"/>
            <w:tcBorders/>
            <w:shd w:fill="005CB9" w:val="clear"/>
            <w:vAlign w:val="center"/>
          </w:tcPr>
          <w:p>
            <w:pPr>
              <w:pStyle w:val="TableContents"/>
              <w:spacing w:before="0" w:after="0"/>
              <w:jc w:val="right"/>
              <w:rPr>
                <w:color w:val="FFFFFF"/>
              </w:rPr>
            </w:pPr>
            <w:r>
              <w:rPr>
                <w:color w:val="FFFFFF"/>
              </w:rPr>
              <w:t>    </w:t>
            </w:r>
            <w:r>
              <w:rPr>
                <w:rFonts w:ascii="arial" w:hAnsi="arial"/>
                <w:color w:val="FFFFFF"/>
                <w:sz w:val="16"/>
              </w:rPr>
              <w:t>Beneficial Ownership</w:t>
            </w:r>
          </w:p>
          <w:p>
            <w:pPr>
              <w:pStyle w:val="TableContents"/>
              <w:spacing w:before="0" w:after="20"/>
              <w:jc w:val="right"/>
              <w:rPr/>
            </w:pPr>
            <w:r>
              <w:rPr>
                <w:color w:val="FFFFFF"/>
              </w:rPr>
              <w:t>    </w:t>
            </w:r>
            <w:r>
              <w:rPr>
                <w:rFonts w:ascii="arial" w:hAnsi="arial"/>
                <w:color w:val="FFFFFF"/>
                <w:sz w:val="16"/>
              </w:rPr>
              <w:t>of Common Stock</w:t>
            </w:r>
            <w:r>
              <w:rPr>
                <w:rFonts w:ascii="arial" w:hAnsi="arial"/>
                <w:color w:val="FFFFFF"/>
                <w:sz w:val="10"/>
              </w:rPr>
              <w:t>(1)(2)</w:t>
            </w:r>
          </w:p>
        </w:tc>
        <w:tc>
          <w:tcPr>
            <w:tcW w:w="35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845"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Percent     </w:t>
            </w:r>
          </w:p>
          <w:p>
            <w:pPr>
              <w:pStyle w:val="TableContents"/>
              <w:spacing w:before="0" w:after="20"/>
              <w:jc w:val="right"/>
              <w:rPr>
                <w:rFonts w:ascii="arial" w:hAnsi="arial"/>
                <w:color w:val="FFFFFF"/>
                <w:sz w:val="16"/>
              </w:rPr>
            </w:pPr>
            <w:r>
              <w:rPr>
                <w:rFonts w:ascii="arial" w:hAnsi="arial"/>
                <w:color w:val="FFFFFF"/>
                <w:sz w:val="16"/>
              </w:rPr>
              <w:t>of Class     </w:t>
            </w:r>
          </w:p>
        </w:tc>
        <w:tc>
          <w:tcPr>
            <w:tcW w:w="410"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r>
      <w:tr>
        <w:trPr/>
        <w:tc>
          <w:tcPr>
            <w:tcW w:w="6110" w:type="dxa"/>
            <w:tcBorders/>
            <w:shd w:fill="E5EEF8" w:val="clear"/>
            <w:vAlign w:val="center"/>
          </w:tcPr>
          <w:p>
            <w:pPr>
              <w:pStyle w:val="TableContents"/>
              <w:spacing w:before="0" w:after="283"/>
              <w:rPr>
                <w:sz w:val="4"/>
                <w:szCs w:val="4"/>
              </w:rPr>
            </w:pPr>
            <w:r>
              <w:rPr>
                <w:sz w:val="4"/>
                <w:szCs w:val="4"/>
              </w:rPr>
            </w:r>
          </w:p>
        </w:tc>
        <w:tc>
          <w:tcPr>
            <w:tcW w:w="2274" w:type="dxa"/>
            <w:gridSpan w:val="4"/>
            <w:tcBorders/>
            <w:shd w:fill="E5EEF8" w:val="clear"/>
            <w:vAlign w:val="center"/>
          </w:tcPr>
          <w:p>
            <w:pPr>
              <w:pStyle w:val="TableContents"/>
              <w:spacing w:before="0" w:after="283"/>
              <w:rPr>
                <w:sz w:val="4"/>
                <w:szCs w:val="4"/>
              </w:rPr>
            </w:pPr>
            <w:r>
              <w:rPr>
                <w:sz w:val="4"/>
                <w:szCs w:val="4"/>
              </w:rPr>
            </w:r>
          </w:p>
        </w:tc>
        <w:tc>
          <w:tcPr>
            <w:tcW w:w="1315" w:type="dxa"/>
            <w:gridSpan w:val="4"/>
            <w:tcBorders/>
            <w:shd w:fill="E5EEF8" w:val="clear"/>
            <w:vAlign w:val="center"/>
          </w:tcPr>
          <w:p>
            <w:pPr>
              <w:pStyle w:val="TableContents"/>
              <w:spacing w:before="0" w:after="283"/>
              <w:rPr>
                <w:sz w:val="4"/>
                <w:szCs w:val="4"/>
              </w:rPr>
            </w:pPr>
            <w:r>
              <w:rPr>
                <w:sz w:val="4"/>
                <w:szCs w:val="4"/>
              </w:rPr>
            </w:r>
          </w:p>
        </w:tc>
      </w:tr>
      <w:tr>
        <w:trPr/>
        <w:tc>
          <w:tcPr>
            <w:tcW w:w="6110" w:type="dxa"/>
            <w:tcBorders/>
            <w:shd w:fill="E5EEF8" w:val="clear"/>
            <w:vAlign w:val="center"/>
          </w:tcPr>
          <w:p>
            <w:pPr>
              <w:pStyle w:val="TableContents"/>
              <w:spacing w:before="0" w:after="0"/>
              <w:rPr/>
            </w:pPr>
            <w:r>
              <w:rPr/>
              <w:t> </w:t>
            </w:r>
            <w:r>
              <w:rPr>
                <w:rFonts w:ascii="ARIAL" w:hAnsi="ARIAL"/>
                <w:sz w:val="19"/>
              </w:rPr>
              <w:t>The Vanguard Group</w:t>
            </w:r>
          </w:p>
          <w:p>
            <w:pPr>
              <w:pStyle w:val="TableContents"/>
              <w:spacing w:before="0" w:after="20"/>
              <w:rPr/>
            </w:pPr>
            <w:r>
              <w:rPr/>
              <w:t> </w:t>
            </w:r>
            <w:r>
              <w:rPr>
                <w:rFonts w:ascii="ARIAL" w:hAnsi="ARIAL"/>
                <w:sz w:val="19"/>
              </w:rPr>
              <w:t>100 Vanguard Blvd., Malvern, PA 19355</w:t>
            </w:r>
          </w:p>
        </w:tc>
        <w:tc>
          <w:tcPr>
            <w:tcW w:w="120" w:type="dxa"/>
            <w:tcBorders/>
            <w:shd w:fill="E5EEF8" w:val="clear"/>
            <w:vAlign w:val="center"/>
          </w:tcPr>
          <w:p>
            <w:pPr>
              <w:pStyle w:val="TableContents"/>
              <w:spacing w:before="0" w:after="283"/>
              <w:rPr/>
            </w:pPr>
            <w:r>
              <w:rPr/>
              <w:t>  </w:t>
            </w:r>
          </w:p>
        </w:tc>
        <w:tc>
          <w:tcPr>
            <w:tcW w:w="103" w:type="dxa"/>
            <w:tcBorders/>
            <w:shd w:fill="E5EEF8" w:val="clear"/>
            <w:vAlign w:val="center"/>
          </w:tcPr>
          <w:p>
            <w:pPr>
              <w:pStyle w:val="TableContents"/>
              <w:spacing w:before="0" w:after="283"/>
              <w:rPr/>
            </w:pPr>
            <w:r>
              <w:rPr/>
              <w:t> </w:t>
            </w:r>
          </w:p>
        </w:tc>
        <w:tc>
          <w:tcPr>
            <w:tcW w:w="1701" w:type="dxa"/>
            <w:tcBorders/>
            <w:shd w:fill="E5EEF8" w:val="clear"/>
            <w:vAlign w:val="center"/>
          </w:tcPr>
          <w:p>
            <w:pPr>
              <w:pStyle w:val="TableContents"/>
              <w:spacing w:before="0" w:after="283"/>
              <w:jc w:val="right"/>
              <w:rPr/>
            </w:pPr>
            <w:r>
              <w:rPr/>
              <w:t>9,520,222</w:t>
            </w:r>
          </w:p>
        </w:tc>
        <w:tc>
          <w:tcPr>
            <w:tcW w:w="350" w:type="dxa"/>
            <w:tcBorders/>
            <w:shd w:fill="E5EEF8" w:val="clear"/>
            <w:vAlign w:val="center"/>
          </w:tcPr>
          <w:p>
            <w:pPr>
              <w:pStyle w:val="TableContents"/>
              <w:spacing w:before="0" w:after="283"/>
              <w:rPr/>
            </w:pPr>
            <w:r>
              <w:rPr/>
              <w:t>(3) </w:t>
              <w:br/>
              <w:t> </w:t>
            </w:r>
          </w:p>
        </w:tc>
        <w:tc>
          <w:tcPr>
            <w:tcW w:w="60" w:type="dxa"/>
            <w:tcBorders/>
            <w:shd w:fill="E5EEF8" w:val="clear"/>
            <w:vAlign w:val="center"/>
          </w:tcPr>
          <w:p>
            <w:pPr>
              <w:pStyle w:val="TableContents"/>
              <w:spacing w:before="0" w:after="283"/>
              <w:rPr/>
            </w:pPr>
            <w:r>
              <w:rPr/>
              <w:t> </w:t>
            </w:r>
          </w:p>
        </w:tc>
        <w:tc>
          <w:tcPr>
            <w:tcW w:w="133" w:type="dxa"/>
            <w:tcBorders/>
            <w:shd w:fill="E5EEF8" w:val="clear"/>
            <w:vAlign w:val="center"/>
          </w:tcPr>
          <w:p>
            <w:pPr>
              <w:pStyle w:val="TableContents"/>
              <w:spacing w:before="0" w:after="283"/>
              <w:rPr/>
            </w:pPr>
            <w:r>
              <w:rPr/>
              <w:t> </w:t>
            </w:r>
          </w:p>
        </w:tc>
        <w:tc>
          <w:tcPr>
            <w:tcW w:w="712" w:type="dxa"/>
            <w:tcBorders/>
            <w:shd w:fill="E5EEF8" w:val="clear"/>
            <w:vAlign w:val="center"/>
          </w:tcPr>
          <w:p>
            <w:pPr>
              <w:pStyle w:val="TableContents"/>
              <w:spacing w:before="0" w:after="283"/>
              <w:jc w:val="right"/>
              <w:rPr/>
            </w:pPr>
            <w:r>
              <w:rPr/>
              <w:t>8.9</w:t>
            </w:r>
          </w:p>
        </w:tc>
        <w:tc>
          <w:tcPr>
            <w:tcW w:w="410" w:type="dxa"/>
            <w:tcBorders/>
            <w:shd w:fill="E5EEF8"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283"/>
              <w:rPr>
                <w:sz w:val="4"/>
                <w:szCs w:val="4"/>
              </w:rPr>
            </w:pPr>
            <w:r>
              <w:rPr>
                <w:sz w:val="4"/>
                <w:szCs w:val="4"/>
              </w:rPr>
            </w:r>
          </w:p>
        </w:tc>
        <w:tc>
          <w:tcPr>
            <w:tcW w:w="2274"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rPr/>
            </w:pPr>
            <w:r>
              <w:rPr/>
              <w:t> </w:t>
            </w:r>
            <w:r>
              <w:rPr>
                <w:rFonts w:ascii="ARIAL" w:hAnsi="ARIAL"/>
                <w:sz w:val="19"/>
              </w:rPr>
              <w:t>T. Rowe Price Associates, Inc.</w:t>
            </w:r>
          </w:p>
          <w:p>
            <w:pPr>
              <w:pStyle w:val="TableContents"/>
              <w:spacing w:before="0" w:after="20"/>
              <w:rPr/>
            </w:pPr>
            <w:r>
              <w:rPr/>
              <w:t> </w:t>
            </w:r>
            <w:r>
              <w:rPr>
                <w:rFonts w:ascii="ARIAL" w:hAnsi="ARIAL"/>
                <w:sz w:val="19"/>
              </w:rPr>
              <w:t>100 E. Pratt Street, Baltimore, MD 21202</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701" w:type="dxa"/>
            <w:tcBorders/>
            <w:shd w:fill="auto" w:val="clear"/>
            <w:vAlign w:val="center"/>
          </w:tcPr>
          <w:p>
            <w:pPr>
              <w:pStyle w:val="TableContents"/>
              <w:spacing w:before="0" w:after="283"/>
              <w:jc w:val="right"/>
              <w:rPr/>
            </w:pPr>
            <w:r>
              <w:rPr/>
              <w:t>8,440,825</w:t>
            </w:r>
          </w:p>
        </w:tc>
        <w:tc>
          <w:tcPr>
            <w:tcW w:w="350"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jc w:val="right"/>
              <w:rPr/>
            </w:pPr>
            <w:r>
              <w:rPr/>
              <w:t>8.0</w:t>
            </w:r>
          </w:p>
        </w:tc>
        <w:tc>
          <w:tcPr>
            <w:tcW w:w="410" w:type="dxa"/>
            <w:tcBorders/>
            <w:shd w:fill="auto" w:val="clear"/>
            <w:vAlign w:val="center"/>
          </w:tcPr>
          <w:p>
            <w:pPr>
              <w:pStyle w:val="TableContents"/>
              <w:spacing w:before="0" w:after="283"/>
              <w:rPr/>
            </w:pPr>
            <w:r>
              <w:rPr/>
              <w:t>% </w:t>
            </w:r>
          </w:p>
        </w:tc>
      </w:tr>
      <w:tr>
        <w:trPr/>
        <w:tc>
          <w:tcPr>
            <w:tcW w:w="6110" w:type="dxa"/>
            <w:tcBorders/>
            <w:shd w:fill="E5EEF8" w:val="clear"/>
            <w:vAlign w:val="center"/>
          </w:tcPr>
          <w:p>
            <w:pPr>
              <w:pStyle w:val="TableContents"/>
              <w:spacing w:before="0" w:after="283"/>
              <w:rPr>
                <w:sz w:val="4"/>
                <w:szCs w:val="4"/>
              </w:rPr>
            </w:pPr>
            <w:r>
              <w:rPr>
                <w:sz w:val="4"/>
                <w:szCs w:val="4"/>
              </w:rPr>
            </w:r>
          </w:p>
        </w:tc>
        <w:tc>
          <w:tcPr>
            <w:tcW w:w="2274" w:type="dxa"/>
            <w:gridSpan w:val="4"/>
            <w:tcBorders/>
            <w:shd w:fill="E5EEF8" w:val="clear"/>
            <w:vAlign w:val="center"/>
          </w:tcPr>
          <w:p>
            <w:pPr>
              <w:pStyle w:val="TableContents"/>
              <w:spacing w:before="0" w:after="283"/>
              <w:rPr>
                <w:sz w:val="4"/>
                <w:szCs w:val="4"/>
              </w:rPr>
            </w:pPr>
            <w:r>
              <w:rPr>
                <w:sz w:val="4"/>
                <w:szCs w:val="4"/>
              </w:rPr>
            </w:r>
          </w:p>
        </w:tc>
        <w:tc>
          <w:tcPr>
            <w:tcW w:w="1315" w:type="dxa"/>
            <w:gridSpan w:val="4"/>
            <w:tcBorders/>
            <w:shd w:fill="E5EEF8" w:val="clear"/>
            <w:vAlign w:val="center"/>
          </w:tcPr>
          <w:p>
            <w:pPr>
              <w:pStyle w:val="TableContents"/>
              <w:spacing w:before="0" w:after="283"/>
              <w:rPr>
                <w:sz w:val="4"/>
                <w:szCs w:val="4"/>
              </w:rPr>
            </w:pPr>
            <w:r>
              <w:rPr>
                <w:sz w:val="4"/>
                <w:szCs w:val="4"/>
              </w:rPr>
            </w:r>
          </w:p>
        </w:tc>
      </w:tr>
      <w:tr>
        <w:trPr/>
        <w:tc>
          <w:tcPr>
            <w:tcW w:w="6110" w:type="dxa"/>
            <w:tcBorders/>
            <w:shd w:fill="E5EEF8" w:val="clear"/>
            <w:vAlign w:val="center"/>
          </w:tcPr>
          <w:p>
            <w:pPr>
              <w:pStyle w:val="TableContents"/>
              <w:spacing w:before="0" w:after="0"/>
              <w:rPr/>
            </w:pPr>
            <w:r>
              <w:rPr/>
              <w:t> </w:t>
            </w:r>
            <w:r>
              <w:rPr>
                <w:rFonts w:ascii="ARIAL" w:hAnsi="ARIAL"/>
                <w:sz w:val="19"/>
              </w:rPr>
              <w:t>BlackRock, Inc.</w:t>
            </w:r>
          </w:p>
          <w:p>
            <w:pPr>
              <w:pStyle w:val="TableContents"/>
              <w:spacing w:before="0" w:after="20"/>
              <w:rPr/>
            </w:pPr>
            <w:r>
              <w:rPr/>
              <w:t> </w:t>
            </w:r>
            <w:r>
              <w:rPr>
                <w:rFonts w:ascii="ARIAL" w:hAnsi="ARIAL"/>
                <w:sz w:val="19"/>
              </w:rPr>
              <w:t>55 East 52nd Street, New York, NY 10055</w:t>
            </w:r>
          </w:p>
        </w:tc>
        <w:tc>
          <w:tcPr>
            <w:tcW w:w="120" w:type="dxa"/>
            <w:tcBorders/>
            <w:shd w:fill="E5EEF8" w:val="clear"/>
            <w:vAlign w:val="center"/>
          </w:tcPr>
          <w:p>
            <w:pPr>
              <w:pStyle w:val="TableContents"/>
              <w:spacing w:before="0" w:after="283"/>
              <w:rPr/>
            </w:pPr>
            <w:r>
              <w:rPr/>
              <w:t>  </w:t>
            </w:r>
          </w:p>
        </w:tc>
        <w:tc>
          <w:tcPr>
            <w:tcW w:w="103" w:type="dxa"/>
            <w:tcBorders/>
            <w:shd w:fill="E5EEF8" w:val="clear"/>
            <w:vAlign w:val="center"/>
          </w:tcPr>
          <w:p>
            <w:pPr>
              <w:pStyle w:val="TableContents"/>
              <w:spacing w:before="0" w:after="283"/>
              <w:rPr/>
            </w:pPr>
            <w:r>
              <w:rPr/>
              <w:t> </w:t>
            </w:r>
          </w:p>
        </w:tc>
        <w:tc>
          <w:tcPr>
            <w:tcW w:w="1701" w:type="dxa"/>
            <w:tcBorders/>
            <w:shd w:fill="E5EEF8" w:val="clear"/>
            <w:vAlign w:val="center"/>
          </w:tcPr>
          <w:p>
            <w:pPr>
              <w:pStyle w:val="TableContents"/>
              <w:spacing w:before="0" w:after="283"/>
              <w:jc w:val="right"/>
              <w:rPr/>
            </w:pPr>
            <w:r>
              <w:rPr/>
              <w:t>7,691,077</w:t>
            </w:r>
          </w:p>
        </w:tc>
        <w:tc>
          <w:tcPr>
            <w:tcW w:w="350" w:type="dxa"/>
            <w:tcBorders/>
            <w:shd w:fill="E5EEF8" w:val="clear"/>
            <w:vAlign w:val="center"/>
          </w:tcPr>
          <w:p>
            <w:pPr>
              <w:pStyle w:val="TableContents"/>
              <w:spacing w:before="0" w:after="283"/>
              <w:rPr/>
            </w:pPr>
            <w:r>
              <w:rPr/>
              <w:t>(5) </w:t>
            </w:r>
          </w:p>
        </w:tc>
        <w:tc>
          <w:tcPr>
            <w:tcW w:w="60" w:type="dxa"/>
            <w:tcBorders/>
            <w:shd w:fill="E5EEF8" w:val="clear"/>
            <w:vAlign w:val="center"/>
          </w:tcPr>
          <w:p>
            <w:pPr>
              <w:pStyle w:val="TableContents"/>
              <w:spacing w:before="0" w:after="283"/>
              <w:rPr/>
            </w:pPr>
            <w:r>
              <w:rPr/>
              <w:t> </w:t>
            </w:r>
          </w:p>
        </w:tc>
        <w:tc>
          <w:tcPr>
            <w:tcW w:w="133" w:type="dxa"/>
            <w:tcBorders/>
            <w:shd w:fill="E5EEF8" w:val="clear"/>
            <w:vAlign w:val="center"/>
          </w:tcPr>
          <w:p>
            <w:pPr>
              <w:pStyle w:val="TableContents"/>
              <w:spacing w:before="0" w:after="283"/>
              <w:rPr/>
            </w:pPr>
            <w:r>
              <w:rPr/>
              <w:t> </w:t>
            </w:r>
          </w:p>
        </w:tc>
        <w:tc>
          <w:tcPr>
            <w:tcW w:w="712" w:type="dxa"/>
            <w:tcBorders/>
            <w:shd w:fill="E5EEF8" w:val="clear"/>
            <w:vAlign w:val="center"/>
          </w:tcPr>
          <w:p>
            <w:pPr>
              <w:pStyle w:val="TableContents"/>
              <w:spacing w:before="0" w:after="283"/>
              <w:jc w:val="right"/>
              <w:rPr/>
            </w:pPr>
            <w:r>
              <w:rPr/>
              <w:t>7.3</w:t>
            </w:r>
          </w:p>
        </w:tc>
        <w:tc>
          <w:tcPr>
            <w:tcW w:w="410" w:type="dxa"/>
            <w:tcBorders/>
            <w:shd w:fill="E5EEF8"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283"/>
              <w:rPr>
                <w:sz w:val="4"/>
                <w:szCs w:val="4"/>
              </w:rPr>
            </w:pPr>
            <w:r>
              <w:rPr>
                <w:sz w:val="4"/>
                <w:szCs w:val="4"/>
              </w:rPr>
            </w:r>
          </w:p>
        </w:tc>
        <w:tc>
          <w:tcPr>
            <w:tcW w:w="2274"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rPr/>
            </w:pPr>
            <w:r>
              <w:rPr/>
              <w:t> </w:t>
            </w:r>
            <w:r>
              <w:rPr>
                <w:rFonts w:ascii="ARIAL" w:hAnsi="ARIAL"/>
                <w:sz w:val="19"/>
              </w:rPr>
              <w:t>Shellye L. Archambeau</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701" w:type="dxa"/>
            <w:tcBorders/>
            <w:shd w:fill="auto" w:val="clear"/>
            <w:vAlign w:val="center"/>
          </w:tcPr>
          <w:p>
            <w:pPr>
              <w:pStyle w:val="TableContents"/>
              <w:spacing w:before="0" w:after="283"/>
              <w:jc w:val="right"/>
              <w:rPr/>
            </w:pPr>
            <w:r>
              <w:rPr/>
              <w:t>7,953</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rPr/>
            </w:pPr>
            <w:r>
              <w:rPr/>
              <w:t>* </w:t>
            </w:r>
          </w:p>
        </w:tc>
      </w:tr>
      <w:tr>
        <w:trPr/>
        <w:tc>
          <w:tcPr>
            <w:tcW w:w="6110" w:type="dxa"/>
            <w:tcBorders/>
            <w:shd w:fill="E5EEF8" w:val="clear"/>
            <w:vAlign w:val="center"/>
          </w:tcPr>
          <w:p>
            <w:pPr>
              <w:pStyle w:val="TableContents"/>
              <w:spacing w:before="0" w:after="283"/>
              <w:rPr>
                <w:sz w:val="4"/>
                <w:szCs w:val="4"/>
              </w:rPr>
            </w:pPr>
            <w:r>
              <w:rPr>
                <w:sz w:val="4"/>
                <w:szCs w:val="4"/>
              </w:rPr>
            </w:r>
          </w:p>
        </w:tc>
        <w:tc>
          <w:tcPr>
            <w:tcW w:w="2274" w:type="dxa"/>
            <w:gridSpan w:val="4"/>
            <w:tcBorders/>
            <w:shd w:fill="E5EEF8" w:val="clear"/>
            <w:vAlign w:val="center"/>
          </w:tcPr>
          <w:p>
            <w:pPr>
              <w:pStyle w:val="TableContents"/>
              <w:spacing w:before="0" w:after="283"/>
              <w:rPr>
                <w:sz w:val="4"/>
                <w:szCs w:val="4"/>
              </w:rPr>
            </w:pPr>
            <w:r>
              <w:rPr>
                <w:sz w:val="4"/>
                <w:szCs w:val="4"/>
              </w:rPr>
            </w:r>
          </w:p>
        </w:tc>
        <w:tc>
          <w:tcPr>
            <w:tcW w:w="1315" w:type="dxa"/>
            <w:gridSpan w:val="4"/>
            <w:tcBorders/>
            <w:shd w:fill="E5EEF8" w:val="clear"/>
            <w:vAlign w:val="center"/>
          </w:tcPr>
          <w:p>
            <w:pPr>
              <w:pStyle w:val="TableContents"/>
              <w:spacing w:before="0" w:after="283"/>
              <w:rPr>
                <w:sz w:val="4"/>
                <w:szCs w:val="4"/>
              </w:rPr>
            </w:pPr>
            <w:r>
              <w:rPr>
                <w:sz w:val="4"/>
                <w:szCs w:val="4"/>
              </w:rPr>
            </w:r>
          </w:p>
        </w:tc>
      </w:tr>
      <w:tr>
        <w:trPr/>
        <w:tc>
          <w:tcPr>
            <w:tcW w:w="6110" w:type="dxa"/>
            <w:tcBorders/>
            <w:shd w:fill="E5EEF8" w:val="clear"/>
            <w:vAlign w:val="center"/>
          </w:tcPr>
          <w:p>
            <w:pPr>
              <w:pStyle w:val="TableContents"/>
              <w:spacing w:before="0" w:after="0"/>
              <w:rPr/>
            </w:pPr>
            <w:r>
              <w:rPr/>
              <w:t> </w:t>
            </w:r>
            <w:r>
              <w:rPr>
                <w:rFonts w:ascii="ARIAL" w:hAnsi="ARIAL"/>
                <w:sz w:val="19"/>
              </w:rPr>
              <w:t>Amy Woods Brinkley</w:t>
            </w:r>
          </w:p>
        </w:tc>
        <w:tc>
          <w:tcPr>
            <w:tcW w:w="120" w:type="dxa"/>
            <w:tcBorders/>
            <w:shd w:fill="E5EEF8" w:val="clear"/>
            <w:vAlign w:val="center"/>
          </w:tcPr>
          <w:p>
            <w:pPr>
              <w:pStyle w:val="TableContents"/>
              <w:spacing w:before="0" w:after="283"/>
              <w:rPr/>
            </w:pPr>
            <w:r>
              <w:rPr/>
              <w:t>  </w:t>
            </w:r>
          </w:p>
        </w:tc>
        <w:tc>
          <w:tcPr>
            <w:tcW w:w="103" w:type="dxa"/>
            <w:tcBorders/>
            <w:shd w:fill="E5EEF8" w:val="clear"/>
            <w:vAlign w:val="center"/>
          </w:tcPr>
          <w:p>
            <w:pPr>
              <w:pStyle w:val="TableContents"/>
              <w:spacing w:before="0" w:after="283"/>
              <w:rPr/>
            </w:pPr>
            <w:r>
              <w:rPr/>
              <w:t> </w:t>
            </w:r>
          </w:p>
        </w:tc>
        <w:tc>
          <w:tcPr>
            <w:tcW w:w="1701" w:type="dxa"/>
            <w:tcBorders/>
            <w:shd w:fill="E5EEF8" w:val="clear"/>
            <w:vAlign w:val="center"/>
          </w:tcPr>
          <w:p>
            <w:pPr>
              <w:pStyle w:val="TableContents"/>
              <w:spacing w:before="0" w:after="283"/>
              <w:jc w:val="right"/>
              <w:rPr/>
            </w:pPr>
            <w:r>
              <w:rPr/>
              <w:t>14,763</w:t>
            </w:r>
          </w:p>
        </w:tc>
        <w:tc>
          <w:tcPr>
            <w:tcW w:w="35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pPr>
            <w:r>
              <w:rPr/>
              <w:t> </w:t>
            </w:r>
          </w:p>
        </w:tc>
        <w:tc>
          <w:tcPr>
            <w:tcW w:w="133" w:type="dxa"/>
            <w:tcBorders/>
            <w:shd w:fill="E5EEF8" w:val="clear"/>
            <w:vAlign w:val="center"/>
          </w:tcPr>
          <w:p>
            <w:pPr>
              <w:pStyle w:val="TableContents"/>
              <w:spacing w:before="0" w:after="283"/>
              <w:rPr/>
            </w:pPr>
            <w:r>
              <w:rPr/>
              <w:t> </w:t>
            </w:r>
          </w:p>
        </w:tc>
        <w:tc>
          <w:tcPr>
            <w:tcW w:w="712" w:type="dxa"/>
            <w:tcBorders/>
            <w:shd w:fill="E5EEF8" w:val="clear"/>
            <w:vAlign w:val="center"/>
          </w:tcPr>
          <w:p>
            <w:pPr>
              <w:pStyle w:val="TableContents"/>
              <w:spacing w:before="0" w:after="283"/>
              <w:jc w:val="right"/>
              <w:rPr/>
            </w:pPr>
            <w:r>
              <w:rPr/>
              <w:t>*</w:t>
            </w:r>
          </w:p>
        </w:tc>
        <w:tc>
          <w:tcPr>
            <w:tcW w:w="410" w:type="dxa"/>
            <w:tcBorders/>
            <w:shd w:fill="E5EEF8"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283"/>
              <w:rPr>
                <w:sz w:val="4"/>
                <w:szCs w:val="4"/>
              </w:rPr>
            </w:pPr>
            <w:r>
              <w:rPr>
                <w:sz w:val="4"/>
                <w:szCs w:val="4"/>
              </w:rPr>
            </w:r>
          </w:p>
        </w:tc>
        <w:tc>
          <w:tcPr>
            <w:tcW w:w="2274"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rPr/>
            </w:pPr>
            <w:r>
              <w:rPr/>
              <w:t> </w:t>
            </w:r>
            <w:r>
              <w:rPr>
                <w:rFonts w:ascii="ARIAL" w:hAnsi="ARIAL"/>
                <w:sz w:val="19"/>
              </w:rPr>
              <w:t>Jason Conley</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701" w:type="dxa"/>
            <w:tcBorders/>
            <w:shd w:fill="auto" w:val="clear"/>
            <w:vAlign w:val="center"/>
          </w:tcPr>
          <w:p>
            <w:pPr>
              <w:pStyle w:val="TableContents"/>
              <w:spacing w:before="0" w:after="283"/>
              <w:jc w:val="right"/>
              <w:rPr/>
            </w:pPr>
            <w:r>
              <w:rPr/>
              <w:t>107,454</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rPr/>
            </w:pPr>
            <w:r>
              <w:rPr/>
              <w:t>* </w:t>
            </w:r>
          </w:p>
        </w:tc>
      </w:tr>
      <w:tr>
        <w:trPr/>
        <w:tc>
          <w:tcPr>
            <w:tcW w:w="6110" w:type="dxa"/>
            <w:tcBorders/>
            <w:shd w:fill="E5EEF8" w:val="clear"/>
            <w:vAlign w:val="center"/>
          </w:tcPr>
          <w:p>
            <w:pPr>
              <w:pStyle w:val="TableContents"/>
              <w:spacing w:before="0" w:after="283"/>
              <w:rPr>
                <w:sz w:val="4"/>
                <w:szCs w:val="4"/>
              </w:rPr>
            </w:pPr>
            <w:r>
              <w:rPr>
                <w:sz w:val="4"/>
                <w:szCs w:val="4"/>
              </w:rPr>
            </w:r>
          </w:p>
        </w:tc>
        <w:tc>
          <w:tcPr>
            <w:tcW w:w="2274" w:type="dxa"/>
            <w:gridSpan w:val="4"/>
            <w:tcBorders/>
            <w:shd w:fill="E5EEF8" w:val="clear"/>
            <w:vAlign w:val="center"/>
          </w:tcPr>
          <w:p>
            <w:pPr>
              <w:pStyle w:val="TableContents"/>
              <w:spacing w:before="0" w:after="283"/>
              <w:rPr>
                <w:sz w:val="4"/>
                <w:szCs w:val="4"/>
              </w:rPr>
            </w:pPr>
            <w:r>
              <w:rPr>
                <w:sz w:val="4"/>
                <w:szCs w:val="4"/>
              </w:rPr>
            </w:r>
          </w:p>
        </w:tc>
        <w:tc>
          <w:tcPr>
            <w:tcW w:w="1315" w:type="dxa"/>
            <w:gridSpan w:val="4"/>
            <w:tcBorders/>
            <w:shd w:fill="E5EEF8" w:val="clear"/>
            <w:vAlign w:val="center"/>
          </w:tcPr>
          <w:p>
            <w:pPr>
              <w:pStyle w:val="TableContents"/>
              <w:spacing w:before="0" w:after="283"/>
              <w:rPr>
                <w:sz w:val="4"/>
                <w:szCs w:val="4"/>
              </w:rPr>
            </w:pPr>
            <w:r>
              <w:rPr>
                <w:sz w:val="4"/>
                <w:szCs w:val="4"/>
              </w:rPr>
            </w:r>
          </w:p>
        </w:tc>
      </w:tr>
      <w:tr>
        <w:trPr/>
        <w:tc>
          <w:tcPr>
            <w:tcW w:w="6110" w:type="dxa"/>
            <w:tcBorders/>
            <w:shd w:fill="E5EEF8" w:val="clear"/>
            <w:vAlign w:val="center"/>
          </w:tcPr>
          <w:p>
            <w:pPr>
              <w:pStyle w:val="TableContents"/>
              <w:spacing w:before="0" w:after="0"/>
              <w:rPr/>
            </w:pPr>
            <w:r>
              <w:rPr/>
              <w:t> </w:t>
            </w:r>
            <w:r>
              <w:rPr>
                <w:rFonts w:ascii="ARIAL" w:hAnsi="ARIAL"/>
                <w:sz w:val="19"/>
              </w:rPr>
              <w:t>Robert C. Crisci</w:t>
            </w:r>
          </w:p>
        </w:tc>
        <w:tc>
          <w:tcPr>
            <w:tcW w:w="120" w:type="dxa"/>
            <w:tcBorders/>
            <w:shd w:fill="E5EEF8" w:val="clear"/>
            <w:vAlign w:val="center"/>
          </w:tcPr>
          <w:p>
            <w:pPr>
              <w:pStyle w:val="TableContents"/>
              <w:spacing w:before="0" w:after="283"/>
              <w:rPr/>
            </w:pPr>
            <w:r>
              <w:rPr/>
              <w:t>  </w:t>
            </w:r>
          </w:p>
        </w:tc>
        <w:tc>
          <w:tcPr>
            <w:tcW w:w="103" w:type="dxa"/>
            <w:tcBorders/>
            <w:shd w:fill="E5EEF8" w:val="clear"/>
            <w:vAlign w:val="center"/>
          </w:tcPr>
          <w:p>
            <w:pPr>
              <w:pStyle w:val="TableContents"/>
              <w:spacing w:before="0" w:after="283"/>
              <w:rPr/>
            </w:pPr>
            <w:r>
              <w:rPr/>
              <w:t> </w:t>
            </w:r>
          </w:p>
        </w:tc>
        <w:tc>
          <w:tcPr>
            <w:tcW w:w="1701" w:type="dxa"/>
            <w:tcBorders/>
            <w:shd w:fill="E5EEF8" w:val="clear"/>
            <w:vAlign w:val="center"/>
          </w:tcPr>
          <w:p>
            <w:pPr>
              <w:pStyle w:val="TableContents"/>
              <w:spacing w:before="0" w:after="283"/>
              <w:jc w:val="right"/>
              <w:rPr/>
            </w:pPr>
            <w:r>
              <w:rPr/>
              <w:t>105,288</w:t>
            </w:r>
          </w:p>
        </w:tc>
        <w:tc>
          <w:tcPr>
            <w:tcW w:w="35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pPr>
            <w:r>
              <w:rPr/>
              <w:t> </w:t>
            </w:r>
          </w:p>
        </w:tc>
        <w:tc>
          <w:tcPr>
            <w:tcW w:w="133" w:type="dxa"/>
            <w:tcBorders/>
            <w:shd w:fill="E5EEF8" w:val="clear"/>
            <w:vAlign w:val="center"/>
          </w:tcPr>
          <w:p>
            <w:pPr>
              <w:pStyle w:val="TableContents"/>
              <w:spacing w:before="0" w:after="283"/>
              <w:rPr/>
            </w:pPr>
            <w:r>
              <w:rPr/>
              <w:t> </w:t>
            </w:r>
          </w:p>
        </w:tc>
        <w:tc>
          <w:tcPr>
            <w:tcW w:w="712" w:type="dxa"/>
            <w:tcBorders/>
            <w:shd w:fill="E5EEF8" w:val="clear"/>
            <w:vAlign w:val="center"/>
          </w:tcPr>
          <w:p>
            <w:pPr>
              <w:pStyle w:val="TableContents"/>
              <w:spacing w:before="0" w:after="283"/>
              <w:jc w:val="right"/>
              <w:rPr/>
            </w:pPr>
            <w:r>
              <w:rPr/>
              <w:t>*</w:t>
            </w:r>
          </w:p>
        </w:tc>
        <w:tc>
          <w:tcPr>
            <w:tcW w:w="410" w:type="dxa"/>
            <w:tcBorders/>
            <w:shd w:fill="E5EEF8"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283"/>
              <w:rPr>
                <w:sz w:val="4"/>
                <w:szCs w:val="4"/>
              </w:rPr>
            </w:pPr>
            <w:r>
              <w:rPr>
                <w:sz w:val="4"/>
                <w:szCs w:val="4"/>
              </w:rPr>
            </w:r>
          </w:p>
        </w:tc>
        <w:tc>
          <w:tcPr>
            <w:tcW w:w="2274"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rPr/>
            </w:pPr>
            <w:r>
              <w:rPr/>
              <w:t> </w:t>
            </w:r>
            <w:r>
              <w:rPr>
                <w:rFonts w:ascii="ARIAL" w:hAnsi="ARIAL"/>
                <w:sz w:val="19"/>
              </w:rPr>
              <w:t>Irene M. Esteves</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701" w:type="dxa"/>
            <w:tcBorders/>
            <w:shd w:fill="auto" w:val="clear"/>
            <w:vAlign w:val="center"/>
          </w:tcPr>
          <w:p>
            <w:pPr>
              <w:pStyle w:val="TableContents"/>
              <w:spacing w:before="0" w:after="283"/>
              <w:jc w:val="right"/>
              <w:rPr/>
            </w:pPr>
            <w:r>
              <w:rPr/>
              <w:t>978</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rPr/>
            </w:pPr>
            <w:r>
              <w:rPr/>
              <w:t>* </w:t>
            </w:r>
          </w:p>
        </w:tc>
      </w:tr>
      <w:tr>
        <w:trPr/>
        <w:tc>
          <w:tcPr>
            <w:tcW w:w="6110" w:type="dxa"/>
            <w:tcBorders/>
            <w:shd w:fill="E5EEF8" w:val="clear"/>
            <w:vAlign w:val="center"/>
          </w:tcPr>
          <w:p>
            <w:pPr>
              <w:pStyle w:val="TableContents"/>
              <w:spacing w:before="0" w:after="283"/>
              <w:rPr>
                <w:sz w:val="4"/>
                <w:szCs w:val="4"/>
              </w:rPr>
            </w:pPr>
            <w:r>
              <w:rPr>
                <w:sz w:val="4"/>
                <w:szCs w:val="4"/>
              </w:rPr>
            </w:r>
          </w:p>
        </w:tc>
        <w:tc>
          <w:tcPr>
            <w:tcW w:w="2274" w:type="dxa"/>
            <w:gridSpan w:val="4"/>
            <w:tcBorders/>
            <w:shd w:fill="E5EEF8" w:val="clear"/>
            <w:vAlign w:val="center"/>
          </w:tcPr>
          <w:p>
            <w:pPr>
              <w:pStyle w:val="TableContents"/>
              <w:spacing w:before="0" w:after="283"/>
              <w:rPr>
                <w:sz w:val="4"/>
                <w:szCs w:val="4"/>
              </w:rPr>
            </w:pPr>
            <w:r>
              <w:rPr>
                <w:sz w:val="4"/>
                <w:szCs w:val="4"/>
              </w:rPr>
            </w:r>
          </w:p>
        </w:tc>
        <w:tc>
          <w:tcPr>
            <w:tcW w:w="1315" w:type="dxa"/>
            <w:gridSpan w:val="4"/>
            <w:tcBorders/>
            <w:shd w:fill="E5EEF8" w:val="clear"/>
            <w:vAlign w:val="center"/>
          </w:tcPr>
          <w:p>
            <w:pPr>
              <w:pStyle w:val="TableContents"/>
              <w:spacing w:before="0" w:after="283"/>
              <w:rPr>
                <w:sz w:val="4"/>
                <w:szCs w:val="4"/>
              </w:rPr>
            </w:pPr>
            <w:r>
              <w:rPr>
                <w:sz w:val="4"/>
                <w:szCs w:val="4"/>
              </w:rPr>
            </w:r>
          </w:p>
        </w:tc>
      </w:tr>
      <w:tr>
        <w:trPr/>
        <w:tc>
          <w:tcPr>
            <w:tcW w:w="6110" w:type="dxa"/>
            <w:tcBorders/>
            <w:shd w:fill="E5EEF8" w:val="clear"/>
            <w:vAlign w:val="center"/>
          </w:tcPr>
          <w:p>
            <w:pPr>
              <w:pStyle w:val="TableContents"/>
              <w:spacing w:before="0" w:after="0"/>
              <w:rPr/>
            </w:pPr>
            <w:r>
              <w:rPr/>
              <w:t> </w:t>
            </w:r>
            <w:r>
              <w:rPr>
                <w:rFonts w:ascii="ARIAL" w:hAnsi="ARIAL"/>
                <w:sz w:val="19"/>
              </w:rPr>
              <w:t>L. Neil Hunn</w:t>
            </w:r>
          </w:p>
        </w:tc>
        <w:tc>
          <w:tcPr>
            <w:tcW w:w="120" w:type="dxa"/>
            <w:tcBorders/>
            <w:shd w:fill="E5EEF8" w:val="clear"/>
            <w:vAlign w:val="center"/>
          </w:tcPr>
          <w:p>
            <w:pPr>
              <w:pStyle w:val="TableContents"/>
              <w:spacing w:before="0" w:after="283"/>
              <w:rPr/>
            </w:pPr>
            <w:r>
              <w:rPr/>
              <w:t>  </w:t>
            </w:r>
          </w:p>
        </w:tc>
        <w:tc>
          <w:tcPr>
            <w:tcW w:w="103" w:type="dxa"/>
            <w:tcBorders/>
            <w:shd w:fill="E5EEF8" w:val="clear"/>
            <w:vAlign w:val="center"/>
          </w:tcPr>
          <w:p>
            <w:pPr>
              <w:pStyle w:val="TableContents"/>
              <w:spacing w:before="0" w:after="283"/>
              <w:rPr/>
            </w:pPr>
            <w:r>
              <w:rPr/>
              <w:t> </w:t>
            </w:r>
          </w:p>
        </w:tc>
        <w:tc>
          <w:tcPr>
            <w:tcW w:w="1701" w:type="dxa"/>
            <w:tcBorders/>
            <w:shd w:fill="E5EEF8" w:val="clear"/>
            <w:vAlign w:val="center"/>
          </w:tcPr>
          <w:p>
            <w:pPr>
              <w:pStyle w:val="TableContents"/>
              <w:spacing w:before="0" w:after="283"/>
              <w:jc w:val="right"/>
              <w:rPr/>
            </w:pPr>
            <w:r>
              <w:rPr/>
              <w:t>544,589</w:t>
            </w:r>
          </w:p>
        </w:tc>
        <w:tc>
          <w:tcPr>
            <w:tcW w:w="350" w:type="dxa"/>
            <w:tcBorders/>
            <w:shd w:fill="E5EEF8" w:val="clear"/>
            <w:vAlign w:val="center"/>
          </w:tcPr>
          <w:p>
            <w:pPr>
              <w:pStyle w:val="TableContents"/>
              <w:spacing w:before="0" w:after="283"/>
              <w:rPr/>
            </w:pPr>
            <w:r>
              <w:rPr/>
              <w:t>(6) </w:t>
            </w:r>
          </w:p>
        </w:tc>
        <w:tc>
          <w:tcPr>
            <w:tcW w:w="60" w:type="dxa"/>
            <w:tcBorders/>
            <w:shd w:fill="E5EEF8" w:val="clear"/>
            <w:vAlign w:val="center"/>
          </w:tcPr>
          <w:p>
            <w:pPr>
              <w:pStyle w:val="TableContents"/>
              <w:spacing w:before="0" w:after="283"/>
              <w:rPr/>
            </w:pPr>
            <w:r>
              <w:rPr/>
              <w:t> </w:t>
            </w:r>
          </w:p>
        </w:tc>
        <w:tc>
          <w:tcPr>
            <w:tcW w:w="133" w:type="dxa"/>
            <w:tcBorders/>
            <w:shd w:fill="E5EEF8" w:val="clear"/>
            <w:vAlign w:val="center"/>
          </w:tcPr>
          <w:p>
            <w:pPr>
              <w:pStyle w:val="TableContents"/>
              <w:spacing w:before="0" w:after="283"/>
              <w:rPr/>
            </w:pPr>
            <w:r>
              <w:rPr/>
              <w:t> </w:t>
            </w:r>
          </w:p>
        </w:tc>
        <w:tc>
          <w:tcPr>
            <w:tcW w:w="712" w:type="dxa"/>
            <w:tcBorders/>
            <w:shd w:fill="E5EEF8" w:val="clear"/>
            <w:vAlign w:val="center"/>
          </w:tcPr>
          <w:p>
            <w:pPr>
              <w:pStyle w:val="TableContents"/>
              <w:spacing w:before="0" w:after="283"/>
              <w:jc w:val="right"/>
              <w:rPr/>
            </w:pPr>
            <w:r>
              <w:rPr/>
              <w:t>*</w:t>
            </w:r>
          </w:p>
        </w:tc>
        <w:tc>
          <w:tcPr>
            <w:tcW w:w="410" w:type="dxa"/>
            <w:tcBorders/>
            <w:shd w:fill="E5EEF8"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283"/>
              <w:rPr>
                <w:sz w:val="4"/>
                <w:szCs w:val="4"/>
              </w:rPr>
            </w:pPr>
            <w:r>
              <w:rPr>
                <w:sz w:val="4"/>
                <w:szCs w:val="4"/>
              </w:rPr>
            </w:r>
          </w:p>
        </w:tc>
        <w:tc>
          <w:tcPr>
            <w:tcW w:w="2274"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rPr/>
            </w:pPr>
            <w:r>
              <w:rPr/>
              <w:t> </w:t>
            </w:r>
            <w:r>
              <w:rPr>
                <w:rFonts w:ascii="ARIAL" w:hAnsi="ARIAL"/>
                <w:sz w:val="19"/>
              </w:rPr>
              <w:t>Robert D. Johnson</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701" w:type="dxa"/>
            <w:tcBorders/>
            <w:shd w:fill="auto" w:val="clear"/>
            <w:vAlign w:val="center"/>
          </w:tcPr>
          <w:p>
            <w:pPr>
              <w:pStyle w:val="TableContents"/>
              <w:spacing w:before="0" w:after="283"/>
              <w:jc w:val="right"/>
              <w:rPr/>
            </w:pPr>
            <w:r>
              <w:rPr/>
              <w:t>5,636</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rPr/>
            </w:pPr>
            <w:r>
              <w:rPr/>
              <w:t>* </w:t>
            </w:r>
          </w:p>
        </w:tc>
      </w:tr>
      <w:tr>
        <w:trPr/>
        <w:tc>
          <w:tcPr>
            <w:tcW w:w="6110" w:type="dxa"/>
            <w:tcBorders/>
            <w:shd w:fill="E5EEF8" w:val="clear"/>
            <w:vAlign w:val="center"/>
          </w:tcPr>
          <w:p>
            <w:pPr>
              <w:pStyle w:val="TableContents"/>
              <w:spacing w:before="0" w:after="283"/>
              <w:rPr>
                <w:sz w:val="4"/>
                <w:szCs w:val="4"/>
              </w:rPr>
            </w:pPr>
            <w:r>
              <w:rPr>
                <w:sz w:val="4"/>
                <w:szCs w:val="4"/>
              </w:rPr>
            </w:r>
          </w:p>
        </w:tc>
        <w:tc>
          <w:tcPr>
            <w:tcW w:w="2274" w:type="dxa"/>
            <w:gridSpan w:val="4"/>
            <w:tcBorders/>
            <w:shd w:fill="E5EEF8" w:val="clear"/>
            <w:vAlign w:val="center"/>
          </w:tcPr>
          <w:p>
            <w:pPr>
              <w:pStyle w:val="TableContents"/>
              <w:spacing w:before="0" w:after="283"/>
              <w:rPr>
                <w:sz w:val="4"/>
                <w:szCs w:val="4"/>
              </w:rPr>
            </w:pPr>
            <w:r>
              <w:rPr>
                <w:sz w:val="4"/>
                <w:szCs w:val="4"/>
              </w:rPr>
            </w:r>
          </w:p>
        </w:tc>
        <w:tc>
          <w:tcPr>
            <w:tcW w:w="1315" w:type="dxa"/>
            <w:gridSpan w:val="4"/>
            <w:tcBorders/>
            <w:shd w:fill="E5EEF8" w:val="clear"/>
            <w:vAlign w:val="center"/>
          </w:tcPr>
          <w:p>
            <w:pPr>
              <w:pStyle w:val="TableContents"/>
              <w:spacing w:before="0" w:after="283"/>
              <w:rPr>
                <w:sz w:val="4"/>
                <w:szCs w:val="4"/>
              </w:rPr>
            </w:pPr>
            <w:r>
              <w:rPr>
                <w:sz w:val="4"/>
                <w:szCs w:val="4"/>
              </w:rPr>
            </w:r>
          </w:p>
        </w:tc>
      </w:tr>
      <w:tr>
        <w:trPr/>
        <w:tc>
          <w:tcPr>
            <w:tcW w:w="6110" w:type="dxa"/>
            <w:tcBorders/>
            <w:shd w:fill="E5EEF8" w:val="clear"/>
            <w:vAlign w:val="center"/>
          </w:tcPr>
          <w:p>
            <w:pPr>
              <w:pStyle w:val="TableContents"/>
              <w:spacing w:before="0" w:after="0"/>
              <w:rPr/>
            </w:pPr>
            <w:r>
              <w:rPr/>
              <w:t> </w:t>
            </w:r>
            <w:r>
              <w:rPr>
                <w:rFonts w:ascii="ARIAL" w:hAnsi="ARIAL"/>
                <w:sz w:val="19"/>
              </w:rPr>
              <w:t>Thomas P. Joyce, Jr.</w:t>
            </w:r>
          </w:p>
        </w:tc>
        <w:tc>
          <w:tcPr>
            <w:tcW w:w="120" w:type="dxa"/>
            <w:tcBorders/>
            <w:shd w:fill="E5EEF8" w:val="clear"/>
            <w:vAlign w:val="center"/>
          </w:tcPr>
          <w:p>
            <w:pPr>
              <w:pStyle w:val="TableContents"/>
              <w:spacing w:before="0" w:after="283"/>
              <w:rPr/>
            </w:pPr>
            <w:r>
              <w:rPr/>
              <w:t>  </w:t>
            </w:r>
          </w:p>
        </w:tc>
        <w:tc>
          <w:tcPr>
            <w:tcW w:w="103" w:type="dxa"/>
            <w:tcBorders/>
            <w:shd w:fill="E5EEF8" w:val="clear"/>
            <w:vAlign w:val="center"/>
          </w:tcPr>
          <w:p>
            <w:pPr>
              <w:pStyle w:val="TableContents"/>
              <w:spacing w:before="0" w:after="283"/>
              <w:rPr/>
            </w:pPr>
            <w:r>
              <w:rPr/>
              <w:t> </w:t>
            </w:r>
          </w:p>
        </w:tc>
        <w:tc>
          <w:tcPr>
            <w:tcW w:w="1701" w:type="dxa"/>
            <w:tcBorders/>
            <w:shd w:fill="E5EEF8" w:val="clear"/>
            <w:vAlign w:val="center"/>
          </w:tcPr>
          <w:p>
            <w:pPr>
              <w:pStyle w:val="TableContents"/>
              <w:spacing w:before="0" w:after="283"/>
              <w:jc w:val="right"/>
              <w:rPr/>
            </w:pPr>
            <w:r>
              <w:rPr/>
              <w:t>978</w:t>
            </w:r>
          </w:p>
        </w:tc>
        <w:tc>
          <w:tcPr>
            <w:tcW w:w="35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pPr>
            <w:r>
              <w:rPr/>
              <w:t> </w:t>
            </w:r>
          </w:p>
        </w:tc>
        <w:tc>
          <w:tcPr>
            <w:tcW w:w="133" w:type="dxa"/>
            <w:tcBorders/>
            <w:shd w:fill="E5EEF8" w:val="clear"/>
            <w:vAlign w:val="center"/>
          </w:tcPr>
          <w:p>
            <w:pPr>
              <w:pStyle w:val="TableContents"/>
              <w:spacing w:before="0" w:after="283"/>
              <w:rPr/>
            </w:pPr>
            <w:r>
              <w:rPr/>
              <w:t> </w:t>
            </w:r>
          </w:p>
        </w:tc>
        <w:tc>
          <w:tcPr>
            <w:tcW w:w="712" w:type="dxa"/>
            <w:tcBorders/>
            <w:shd w:fill="E5EEF8" w:val="clear"/>
            <w:vAlign w:val="center"/>
          </w:tcPr>
          <w:p>
            <w:pPr>
              <w:pStyle w:val="TableContents"/>
              <w:spacing w:before="0" w:after="283"/>
              <w:jc w:val="right"/>
              <w:rPr/>
            </w:pPr>
            <w:r>
              <w:rPr/>
              <w:t>*</w:t>
            </w:r>
          </w:p>
        </w:tc>
        <w:tc>
          <w:tcPr>
            <w:tcW w:w="410" w:type="dxa"/>
            <w:tcBorders/>
            <w:shd w:fill="E5EEF8"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283"/>
              <w:rPr>
                <w:sz w:val="4"/>
                <w:szCs w:val="4"/>
              </w:rPr>
            </w:pPr>
            <w:r>
              <w:rPr>
                <w:sz w:val="4"/>
                <w:szCs w:val="4"/>
              </w:rPr>
            </w:r>
          </w:p>
        </w:tc>
        <w:tc>
          <w:tcPr>
            <w:tcW w:w="2274"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rPr/>
            </w:pPr>
            <w:r>
              <w:rPr/>
              <w:t> </w:t>
            </w:r>
            <w:r>
              <w:rPr>
                <w:rFonts w:ascii="ARIAL" w:hAnsi="ARIAL"/>
                <w:sz w:val="19"/>
              </w:rPr>
              <w:t>Laura G. Thatcher</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701" w:type="dxa"/>
            <w:tcBorders/>
            <w:shd w:fill="auto" w:val="clear"/>
            <w:vAlign w:val="center"/>
          </w:tcPr>
          <w:p>
            <w:pPr>
              <w:pStyle w:val="TableContents"/>
              <w:spacing w:before="0" w:after="283"/>
              <w:jc w:val="right"/>
              <w:rPr/>
            </w:pPr>
            <w:r>
              <w:rPr/>
              <w:t>18,703</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rPr/>
            </w:pPr>
            <w:r>
              <w:rPr/>
              <w:t>* </w:t>
            </w:r>
          </w:p>
        </w:tc>
      </w:tr>
      <w:tr>
        <w:trPr/>
        <w:tc>
          <w:tcPr>
            <w:tcW w:w="6110" w:type="dxa"/>
            <w:tcBorders/>
            <w:shd w:fill="E5EEF8" w:val="clear"/>
            <w:vAlign w:val="center"/>
          </w:tcPr>
          <w:p>
            <w:pPr>
              <w:pStyle w:val="TableContents"/>
              <w:spacing w:before="0" w:after="283"/>
              <w:rPr>
                <w:sz w:val="4"/>
                <w:szCs w:val="4"/>
              </w:rPr>
            </w:pPr>
            <w:r>
              <w:rPr>
                <w:sz w:val="4"/>
                <w:szCs w:val="4"/>
              </w:rPr>
            </w:r>
          </w:p>
        </w:tc>
        <w:tc>
          <w:tcPr>
            <w:tcW w:w="2274" w:type="dxa"/>
            <w:gridSpan w:val="4"/>
            <w:tcBorders/>
            <w:shd w:fill="E5EEF8" w:val="clear"/>
            <w:vAlign w:val="center"/>
          </w:tcPr>
          <w:p>
            <w:pPr>
              <w:pStyle w:val="TableContents"/>
              <w:spacing w:before="0" w:after="283"/>
              <w:rPr>
                <w:sz w:val="4"/>
                <w:szCs w:val="4"/>
              </w:rPr>
            </w:pPr>
            <w:r>
              <w:rPr>
                <w:sz w:val="4"/>
                <w:szCs w:val="4"/>
              </w:rPr>
            </w:r>
          </w:p>
        </w:tc>
        <w:tc>
          <w:tcPr>
            <w:tcW w:w="1315" w:type="dxa"/>
            <w:gridSpan w:val="4"/>
            <w:tcBorders/>
            <w:shd w:fill="E5EEF8" w:val="clear"/>
            <w:vAlign w:val="center"/>
          </w:tcPr>
          <w:p>
            <w:pPr>
              <w:pStyle w:val="TableContents"/>
              <w:spacing w:before="0" w:after="283"/>
              <w:rPr>
                <w:sz w:val="4"/>
                <w:szCs w:val="4"/>
              </w:rPr>
            </w:pPr>
            <w:r>
              <w:rPr>
                <w:sz w:val="4"/>
                <w:szCs w:val="4"/>
              </w:rPr>
            </w:r>
          </w:p>
        </w:tc>
      </w:tr>
      <w:tr>
        <w:trPr/>
        <w:tc>
          <w:tcPr>
            <w:tcW w:w="6110" w:type="dxa"/>
            <w:tcBorders/>
            <w:shd w:fill="E5EEF8" w:val="clear"/>
            <w:vAlign w:val="center"/>
          </w:tcPr>
          <w:p>
            <w:pPr>
              <w:pStyle w:val="TableContents"/>
              <w:spacing w:before="0" w:after="0"/>
              <w:rPr/>
            </w:pPr>
            <w:r>
              <w:rPr/>
              <w:t> </w:t>
            </w:r>
            <w:r>
              <w:rPr>
                <w:rFonts w:ascii="ARIAL" w:hAnsi="ARIAL"/>
                <w:sz w:val="19"/>
              </w:rPr>
              <w:t>Richard F. Wallman</w:t>
            </w:r>
          </w:p>
        </w:tc>
        <w:tc>
          <w:tcPr>
            <w:tcW w:w="120" w:type="dxa"/>
            <w:tcBorders/>
            <w:shd w:fill="E5EEF8" w:val="clear"/>
            <w:vAlign w:val="center"/>
          </w:tcPr>
          <w:p>
            <w:pPr>
              <w:pStyle w:val="TableContents"/>
              <w:spacing w:before="0" w:after="283"/>
              <w:rPr/>
            </w:pPr>
            <w:r>
              <w:rPr/>
              <w:t>  </w:t>
            </w:r>
          </w:p>
        </w:tc>
        <w:tc>
          <w:tcPr>
            <w:tcW w:w="103" w:type="dxa"/>
            <w:tcBorders/>
            <w:shd w:fill="E5EEF8" w:val="clear"/>
            <w:vAlign w:val="center"/>
          </w:tcPr>
          <w:p>
            <w:pPr>
              <w:pStyle w:val="TableContents"/>
              <w:spacing w:before="0" w:after="283"/>
              <w:rPr/>
            </w:pPr>
            <w:r>
              <w:rPr/>
              <w:t> </w:t>
            </w:r>
          </w:p>
        </w:tc>
        <w:tc>
          <w:tcPr>
            <w:tcW w:w="1701" w:type="dxa"/>
            <w:tcBorders/>
            <w:shd w:fill="E5EEF8" w:val="clear"/>
            <w:vAlign w:val="center"/>
          </w:tcPr>
          <w:p>
            <w:pPr>
              <w:pStyle w:val="TableContents"/>
              <w:spacing w:before="0" w:after="283"/>
              <w:jc w:val="right"/>
              <w:rPr/>
            </w:pPr>
            <w:r>
              <w:rPr/>
              <w:t>47,409</w:t>
            </w:r>
          </w:p>
        </w:tc>
        <w:tc>
          <w:tcPr>
            <w:tcW w:w="350" w:type="dxa"/>
            <w:tcBorders/>
            <w:shd w:fill="E5EEF8" w:val="clear"/>
            <w:vAlign w:val="center"/>
          </w:tcPr>
          <w:p>
            <w:pPr>
              <w:pStyle w:val="TableContents"/>
              <w:spacing w:before="0" w:after="283"/>
              <w:rPr/>
            </w:pPr>
            <w:r>
              <w:rPr/>
              <w:t>(7) </w:t>
            </w:r>
          </w:p>
        </w:tc>
        <w:tc>
          <w:tcPr>
            <w:tcW w:w="60" w:type="dxa"/>
            <w:tcBorders/>
            <w:shd w:fill="E5EEF8" w:val="clear"/>
            <w:vAlign w:val="center"/>
          </w:tcPr>
          <w:p>
            <w:pPr>
              <w:pStyle w:val="TableContents"/>
              <w:spacing w:before="0" w:after="283"/>
              <w:rPr/>
            </w:pPr>
            <w:r>
              <w:rPr/>
              <w:t> </w:t>
            </w:r>
          </w:p>
        </w:tc>
        <w:tc>
          <w:tcPr>
            <w:tcW w:w="133" w:type="dxa"/>
            <w:tcBorders/>
            <w:shd w:fill="E5EEF8" w:val="clear"/>
            <w:vAlign w:val="center"/>
          </w:tcPr>
          <w:p>
            <w:pPr>
              <w:pStyle w:val="TableContents"/>
              <w:spacing w:before="0" w:after="283"/>
              <w:rPr/>
            </w:pPr>
            <w:r>
              <w:rPr/>
              <w:t> </w:t>
            </w:r>
          </w:p>
        </w:tc>
        <w:tc>
          <w:tcPr>
            <w:tcW w:w="712" w:type="dxa"/>
            <w:tcBorders/>
            <w:shd w:fill="E5EEF8" w:val="clear"/>
            <w:vAlign w:val="center"/>
          </w:tcPr>
          <w:p>
            <w:pPr>
              <w:pStyle w:val="TableContents"/>
              <w:spacing w:before="0" w:after="283"/>
              <w:jc w:val="right"/>
              <w:rPr/>
            </w:pPr>
            <w:r>
              <w:rPr/>
              <w:t>*</w:t>
            </w:r>
          </w:p>
        </w:tc>
        <w:tc>
          <w:tcPr>
            <w:tcW w:w="410" w:type="dxa"/>
            <w:tcBorders/>
            <w:shd w:fill="E5EEF8"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283"/>
              <w:rPr>
                <w:sz w:val="4"/>
                <w:szCs w:val="4"/>
              </w:rPr>
            </w:pPr>
            <w:r>
              <w:rPr>
                <w:sz w:val="4"/>
                <w:szCs w:val="4"/>
              </w:rPr>
            </w:r>
          </w:p>
        </w:tc>
        <w:tc>
          <w:tcPr>
            <w:tcW w:w="2274"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rPr/>
            </w:pPr>
            <w:r>
              <w:rPr/>
              <w:t> </w:t>
            </w:r>
            <w:r>
              <w:rPr>
                <w:rFonts w:ascii="ARIAL" w:hAnsi="ARIAL"/>
                <w:sz w:val="19"/>
              </w:rPr>
              <w:t>Christopher Wright</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701" w:type="dxa"/>
            <w:tcBorders/>
            <w:shd w:fill="auto" w:val="clear"/>
            <w:vAlign w:val="center"/>
          </w:tcPr>
          <w:p>
            <w:pPr>
              <w:pStyle w:val="TableContents"/>
              <w:spacing w:before="0" w:after="283"/>
              <w:jc w:val="right"/>
              <w:rPr/>
            </w:pPr>
            <w:r>
              <w:rPr/>
              <w:t>51,267</w:t>
            </w:r>
          </w:p>
        </w:tc>
        <w:tc>
          <w:tcPr>
            <w:tcW w:w="350"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rPr/>
            </w:pPr>
            <w:r>
              <w:rPr/>
              <w:t>* </w:t>
            </w:r>
          </w:p>
        </w:tc>
      </w:tr>
      <w:tr>
        <w:trPr/>
        <w:tc>
          <w:tcPr>
            <w:tcW w:w="6110" w:type="dxa"/>
            <w:tcBorders/>
            <w:shd w:fill="E5EEF8" w:val="clear"/>
            <w:vAlign w:val="center"/>
          </w:tcPr>
          <w:p>
            <w:pPr>
              <w:pStyle w:val="TableContents"/>
              <w:spacing w:before="0" w:after="283"/>
              <w:rPr>
                <w:sz w:val="4"/>
                <w:szCs w:val="4"/>
              </w:rPr>
            </w:pPr>
            <w:r>
              <w:rPr>
                <w:sz w:val="4"/>
                <w:szCs w:val="4"/>
              </w:rPr>
            </w:r>
          </w:p>
        </w:tc>
        <w:tc>
          <w:tcPr>
            <w:tcW w:w="2274" w:type="dxa"/>
            <w:gridSpan w:val="4"/>
            <w:tcBorders/>
            <w:shd w:fill="E5EEF8" w:val="clear"/>
            <w:vAlign w:val="center"/>
          </w:tcPr>
          <w:p>
            <w:pPr>
              <w:pStyle w:val="TableContents"/>
              <w:spacing w:before="0" w:after="283"/>
              <w:rPr>
                <w:sz w:val="4"/>
                <w:szCs w:val="4"/>
              </w:rPr>
            </w:pPr>
            <w:r>
              <w:rPr>
                <w:sz w:val="4"/>
                <w:szCs w:val="4"/>
              </w:rPr>
            </w:r>
          </w:p>
        </w:tc>
        <w:tc>
          <w:tcPr>
            <w:tcW w:w="1315" w:type="dxa"/>
            <w:gridSpan w:val="4"/>
            <w:tcBorders/>
            <w:shd w:fill="E5EEF8" w:val="clear"/>
            <w:vAlign w:val="center"/>
          </w:tcPr>
          <w:p>
            <w:pPr>
              <w:pStyle w:val="TableContents"/>
              <w:spacing w:before="0" w:after="283"/>
              <w:rPr>
                <w:sz w:val="4"/>
                <w:szCs w:val="4"/>
              </w:rPr>
            </w:pPr>
            <w:r>
              <w:rPr>
                <w:sz w:val="4"/>
                <w:szCs w:val="4"/>
              </w:rPr>
            </w:r>
          </w:p>
        </w:tc>
      </w:tr>
      <w:tr>
        <w:trPr/>
        <w:tc>
          <w:tcPr>
            <w:tcW w:w="6110" w:type="dxa"/>
            <w:tcBorders/>
            <w:shd w:fill="E5EEF8" w:val="clear"/>
            <w:vAlign w:val="center"/>
          </w:tcPr>
          <w:p>
            <w:pPr>
              <w:pStyle w:val="TableContents"/>
              <w:spacing w:before="0" w:after="0"/>
              <w:rPr/>
            </w:pPr>
            <w:r>
              <w:rPr/>
              <w:t> </w:t>
            </w:r>
            <w:r>
              <w:rPr>
                <w:rFonts w:ascii="ARIAL" w:hAnsi="ARIAL"/>
                <w:sz w:val="19"/>
              </w:rPr>
              <w:t>John K. Stipancich</w:t>
            </w:r>
          </w:p>
        </w:tc>
        <w:tc>
          <w:tcPr>
            <w:tcW w:w="120" w:type="dxa"/>
            <w:tcBorders/>
            <w:shd w:fill="E5EEF8" w:val="clear"/>
            <w:vAlign w:val="center"/>
          </w:tcPr>
          <w:p>
            <w:pPr>
              <w:pStyle w:val="TableContents"/>
              <w:spacing w:before="0" w:after="283"/>
              <w:rPr/>
            </w:pPr>
            <w:r>
              <w:rPr/>
              <w:t>  </w:t>
            </w:r>
          </w:p>
        </w:tc>
        <w:tc>
          <w:tcPr>
            <w:tcW w:w="103" w:type="dxa"/>
            <w:tcBorders/>
            <w:shd w:fill="E5EEF8" w:val="clear"/>
            <w:vAlign w:val="center"/>
          </w:tcPr>
          <w:p>
            <w:pPr>
              <w:pStyle w:val="TableContents"/>
              <w:spacing w:before="0" w:after="283"/>
              <w:rPr/>
            </w:pPr>
            <w:r>
              <w:rPr/>
              <w:t> </w:t>
            </w:r>
          </w:p>
        </w:tc>
        <w:tc>
          <w:tcPr>
            <w:tcW w:w="1701" w:type="dxa"/>
            <w:tcBorders/>
            <w:shd w:fill="E5EEF8" w:val="clear"/>
            <w:vAlign w:val="center"/>
          </w:tcPr>
          <w:p>
            <w:pPr>
              <w:pStyle w:val="TableContents"/>
              <w:spacing w:before="0" w:after="283"/>
              <w:jc w:val="right"/>
              <w:rPr/>
            </w:pPr>
            <w:r>
              <w:rPr/>
              <w:t>93,327</w:t>
            </w:r>
          </w:p>
        </w:tc>
        <w:tc>
          <w:tcPr>
            <w:tcW w:w="35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pPr>
            <w:r>
              <w:rPr/>
              <w:t> </w:t>
            </w:r>
          </w:p>
        </w:tc>
        <w:tc>
          <w:tcPr>
            <w:tcW w:w="133" w:type="dxa"/>
            <w:tcBorders/>
            <w:shd w:fill="E5EEF8" w:val="clear"/>
            <w:vAlign w:val="center"/>
          </w:tcPr>
          <w:p>
            <w:pPr>
              <w:pStyle w:val="TableContents"/>
              <w:spacing w:before="0" w:after="283"/>
              <w:rPr/>
            </w:pPr>
            <w:r>
              <w:rPr/>
              <w:t> </w:t>
            </w:r>
          </w:p>
        </w:tc>
        <w:tc>
          <w:tcPr>
            <w:tcW w:w="712" w:type="dxa"/>
            <w:tcBorders/>
            <w:shd w:fill="E5EEF8" w:val="clear"/>
            <w:vAlign w:val="center"/>
          </w:tcPr>
          <w:p>
            <w:pPr>
              <w:pStyle w:val="TableContents"/>
              <w:spacing w:before="0" w:after="283"/>
              <w:jc w:val="right"/>
              <w:rPr/>
            </w:pPr>
            <w:r>
              <w:rPr/>
              <w:t>*</w:t>
            </w:r>
          </w:p>
        </w:tc>
        <w:tc>
          <w:tcPr>
            <w:tcW w:w="410" w:type="dxa"/>
            <w:tcBorders/>
            <w:shd w:fill="E5EEF8"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pPr>
            <w:r>
              <w:rPr/>
              <w:t> </w:t>
            </w:r>
            <w:r>
              <w:rPr>
                <w:rFonts w:ascii="ARIAL" w:hAnsi="ARIAL"/>
                <w:sz w:val="19"/>
              </w:rPr>
              <w:t>All current directors and executive officers as a group (12 individuals)</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701" w:type="dxa"/>
            <w:tcBorders/>
            <w:shd w:fill="auto" w:val="clear"/>
            <w:vAlign w:val="center"/>
          </w:tcPr>
          <w:p>
            <w:pPr>
              <w:pStyle w:val="TableContents"/>
              <w:spacing w:before="0" w:after="283"/>
              <w:jc w:val="right"/>
              <w:rPr/>
            </w:pPr>
            <w:r>
              <w:rPr/>
              <w:t>998,345</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rPr/>
            </w:pPr>
            <w:r>
              <w:rPr/>
              <w:t>*% </w:t>
            </w:r>
          </w:p>
        </w:tc>
      </w:tr>
    </w:tbl>
    <w:tbl>
      <w:tblPr>
        <w:tblW w:w="1405" w:type="dxa"/>
        <w:jc w:val="left"/>
        <w:tblInd w:w="0" w:type="dxa"/>
        <w:tblCellMar>
          <w:top w:w="0" w:type="dxa"/>
          <w:left w:w="0" w:type="dxa"/>
          <w:bottom w:w="0" w:type="dxa"/>
          <w:right w:w="0" w:type="dxa"/>
        </w:tblCellMar>
      </w:tblPr>
      <w:tblGrid>
        <w:gridCol w:w="275"/>
        <w:gridCol w:w="1130"/>
      </w:tblGrid>
      <w:tr>
        <w:trPr/>
        <w:tc>
          <w:tcPr>
            <w:tcW w:w="275" w:type="dxa"/>
            <w:tcBorders/>
            <w:shd w:fill="auto" w:val="clear"/>
            <w:vAlign w:val="center"/>
          </w:tcPr>
          <w:p>
            <w:pPr>
              <w:pStyle w:val="TableContents"/>
              <w:spacing w:before="0" w:after="283"/>
              <w:jc w:val="left"/>
              <w:rPr/>
            </w:pPr>
            <w:r>
              <w:rPr/>
              <w:t>**</w:t>
            </w:r>
          </w:p>
        </w:tc>
        <w:tc>
          <w:tcPr>
            <w:tcW w:w="1130" w:type="dxa"/>
            <w:tcBorders/>
            <w:shd w:fill="auto" w:val="clear"/>
            <w:vAlign w:val="center"/>
          </w:tcPr>
          <w:p>
            <w:pPr>
              <w:pStyle w:val="TableContents"/>
              <w:spacing w:before="0" w:after="0"/>
              <w:jc w:val="left"/>
              <w:rPr>
                <w:rFonts w:ascii="ARIAL" w:hAnsi="ARIAL"/>
                <w:sz w:val="16"/>
              </w:rPr>
            </w:pPr>
            <w:r>
              <w:rPr>
                <w:rFonts w:ascii="ARIAL" w:hAnsi="ARIAL"/>
                <w:sz w:val="16"/>
              </w:rPr>
              <w:t xml:space="preserve">Less than 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(1) </w:t>
            </w:r>
          </w:p>
        </w:tc>
        <w:tc>
          <w:tcPr>
            <w:tcW w:w="9932" w:type="dxa"/>
            <w:tcBorders/>
            <w:shd w:fill="auto" w:val="clear"/>
            <w:vAlign w:val="center"/>
          </w:tcPr>
          <w:p>
            <w:pPr>
              <w:pStyle w:val="TableContents"/>
              <w:spacing w:before="0" w:after="0"/>
              <w:jc w:val="left"/>
              <w:rPr>
                <w:rFonts w:ascii="ARIAL" w:hAnsi="ARIAL"/>
                <w:sz w:val="16"/>
              </w:rPr>
            </w:pPr>
            <w:r>
              <w:rPr>
                <w:rFonts w:ascii="ARIAL" w:hAnsi="ARIAL"/>
                <w:sz w:val="16"/>
              </w:rPr>
              <w:t xml:space="preserve">Includes the following shares that could be acquired on or before May 30, 2023 upon exercise of stock options issued under Company plans as follows: Mr. Conley (68,933), Mr. Hunn (307,068), Mr. Crisci (76,570), Mr. Stipancich (50,737), and all current directors and executive officers as a group (503,308). Holders do not have voting or investment power over unexercised option shares.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jc w:val="left"/>
              <w:rPr/>
            </w:pPr>
            <w:r>
              <w:rPr/>
              <w:t>(2) </w:t>
            </w:r>
          </w:p>
        </w:tc>
        <w:tc>
          <w:tcPr>
            <w:tcW w:w="9934" w:type="dxa"/>
            <w:tcBorders/>
            <w:shd w:fill="auto" w:val="clear"/>
            <w:vAlign w:val="center"/>
          </w:tcPr>
          <w:p>
            <w:pPr>
              <w:pStyle w:val="TableContents"/>
              <w:spacing w:before="0" w:after="0"/>
              <w:jc w:val="left"/>
              <w:rPr>
                <w:rFonts w:ascii="ARIAL" w:hAnsi="ARIAL"/>
                <w:sz w:val="16"/>
              </w:rPr>
            </w:pPr>
            <w:r>
              <w:rPr>
                <w:rFonts w:ascii="ARIAL" w:hAnsi="ARIAL"/>
                <w:sz w:val="16"/>
              </w:rPr>
              <w:t xml:space="preserve">Includes the following shares of unvested restricted stock held by named executives officers over which they have sole voting power but no investment power: Ms. Archambeau (517), Ms. Brinkley (517), Mr. Conley (17,402), Mr. Hunn (93,404), Mr. Crisci (14,267), Mr. Stipancich (16,668), Ms. Thatcher (517), and Mr. Wallman (517). The total for all current directors and executive officers as a group is (143,809).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7"/>
        <w:gridCol w:w="9928"/>
      </w:tblGrid>
      <w:tr>
        <w:trPr/>
        <w:tc>
          <w:tcPr>
            <w:tcW w:w="277" w:type="dxa"/>
            <w:tcBorders/>
            <w:shd w:fill="auto" w:val="clear"/>
            <w:vAlign w:val="center"/>
          </w:tcPr>
          <w:p>
            <w:pPr>
              <w:pStyle w:val="TableContents"/>
              <w:spacing w:before="0" w:after="283"/>
              <w:jc w:val="left"/>
              <w:rPr/>
            </w:pPr>
            <w:r>
              <w:rPr/>
              <w:t>(3) </w:t>
            </w:r>
          </w:p>
        </w:tc>
        <w:tc>
          <w:tcPr>
            <w:tcW w:w="9928" w:type="dxa"/>
            <w:tcBorders/>
            <w:shd w:fill="auto" w:val="clear"/>
            <w:vAlign w:val="center"/>
          </w:tcPr>
          <w:p>
            <w:pPr>
              <w:pStyle w:val="TableContents"/>
              <w:spacing w:before="0" w:after="0"/>
              <w:jc w:val="left"/>
              <w:rPr>
                <w:rFonts w:ascii="ARIAL" w:hAnsi="ARIAL"/>
                <w:sz w:val="16"/>
              </w:rPr>
            </w:pPr>
            <w:r>
              <w:rPr>
                <w:rFonts w:ascii="ARIAL" w:hAnsi="ARIAL"/>
                <w:sz w:val="16"/>
              </w:rPr>
              <w:t xml:space="preserve">Based on information reported on Schedule 13G/A filed with the SEC on February 9, 2023, as of December 31, 2022, The Vanguard Group (“Vanguard”) beneficially owned 9,520,222 shares of Roper common stock with shared voting power over 141,212 shares, sole dispositive power over 9,103,308 shares, and shared dispositive power over 416,914 shares.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5"/>
        <w:gridCol w:w="9920"/>
      </w:tblGrid>
      <w:tr>
        <w:trPr/>
        <w:tc>
          <w:tcPr>
            <w:tcW w:w="285" w:type="dxa"/>
            <w:tcBorders/>
            <w:shd w:fill="auto" w:val="clear"/>
            <w:vAlign w:val="center"/>
          </w:tcPr>
          <w:p>
            <w:pPr>
              <w:pStyle w:val="TableContents"/>
              <w:spacing w:before="0" w:after="283"/>
              <w:jc w:val="left"/>
              <w:rPr/>
            </w:pPr>
            <w:r>
              <w:rPr/>
              <w:t>(4) </w:t>
            </w:r>
          </w:p>
        </w:tc>
        <w:tc>
          <w:tcPr>
            <w:tcW w:w="9920" w:type="dxa"/>
            <w:tcBorders/>
            <w:shd w:fill="auto" w:val="clear"/>
            <w:vAlign w:val="center"/>
          </w:tcPr>
          <w:p>
            <w:pPr>
              <w:pStyle w:val="TableContents"/>
              <w:spacing w:before="0" w:after="0"/>
              <w:jc w:val="left"/>
              <w:rPr>
                <w:rFonts w:ascii="ARIAL" w:hAnsi="ARIAL"/>
                <w:sz w:val="16"/>
              </w:rPr>
            </w:pPr>
            <w:r>
              <w:rPr>
                <w:rFonts w:ascii="ARIAL" w:hAnsi="ARIAL"/>
                <w:sz w:val="16"/>
              </w:rPr>
              <w:t xml:space="preserve">Based on information reported on Schedule 13G/A filed with the SEC on February 14, 2023, as of December 31, 2022, T. Rowe Price Associates, Inc. beneficially owned 8,440,825 shares of Roper common stock with sole voting power over 3,246,325, shares and sole dispositive power over 8,424,256 shares. </w:t>
            </w:r>
          </w:p>
        </w:tc>
      </w:tr>
    </w:tbl>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8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3" descr=""/>
                          <pic:cNvPicPr>
                            <a:picLocks noChangeAspect="1" noChangeArrowheads="1"/>
                          </pic:cNvPicPr>
                        </pic:nvPicPr>
                        <pic:blipFill>
                          <a:blip r:embed="rId64"/>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19</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BENEFICIAL OWNERSHIP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83"/>
              <w:jc w:val="left"/>
              <w:rPr/>
            </w:pPr>
            <w:r>
              <w:rPr/>
              <w:t>(5) </w:t>
            </w:r>
          </w:p>
        </w:tc>
        <w:tc>
          <w:tcPr>
            <w:tcW w:w="9922" w:type="dxa"/>
            <w:tcBorders/>
            <w:shd w:fill="auto" w:val="clear"/>
            <w:vAlign w:val="center"/>
          </w:tcPr>
          <w:p>
            <w:pPr>
              <w:pStyle w:val="TableContents"/>
              <w:spacing w:before="0" w:after="0"/>
              <w:jc w:val="left"/>
              <w:rPr>
                <w:rFonts w:ascii="ARIAL" w:hAnsi="ARIAL"/>
                <w:sz w:val="16"/>
              </w:rPr>
            </w:pPr>
            <w:r>
              <w:rPr>
                <w:rFonts w:ascii="ARIAL" w:hAnsi="ARIAL"/>
                <w:sz w:val="16"/>
              </w:rPr>
              <w:t xml:space="preserve">Based on information reported on Schedule 13G/A filed with the SEC on January 31, 2023, as of December 31, 2022, BlackRock, Inc. (and certain of its subsidiaries) beneficially owned 7,691,077 shares of Roper common stock with sole voting power over 6,890,908 shares and sole dispositive power over 7,691,077 shares.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jc w:val="left"/>
              <w:rPr/>
            </w:pPr>
            <w:r>
              <w:rPr/>
              <w:t>(6) </w:t>
            </w:r>
          </w:p>
        </w:tc>
        <w:tc>
          <w:tcPr>
            <w:tcW w:w="9929" w:type="dxa"/>
            <w:tcBorders/>
            <w:shd w:fill="auto" w:val="clear"/>
            <w:vAlign w:val="center"/>
          </w:tcPr>
          <w:p>
            <w:pPr>
              <w:pStyle w:val="TableContents"/>
              <w:spacing w:before="0" w:after="0"/>
              <w:jc w:val="left"/>
              <w:rPr>
                <w:rFonts w:ascii="ARIAL" w:hAnsi="ARIAL"/>
                <w:sz w:val="16"/>
              </w:rPr>
            </w:pPr>
            <w:r>
              <w:rPr>
                <w:rFonts w:ascii="ARIAL" w:hAnsi="ARIAL"/>
                <w:sz w:val="16"/>
              </w:rPr>
              <w:t xml:space="preserve">Includes 92,808 shares held by a limited partnership which is owned 49.5% by a trust created by Mr. Hunn, 49.5% by a trust created by Mr. Hunn’s spouse, and 1% by a LLC which serves as the general partner of the limited partnership. The LLC is owned 50% by Mr. Hunn’s trust and 50% by Mr. Hunn’s spouse’s trust. Mr. Hunn serves as the sole manager of the LLC. </w:t>
            </w:r>
          </w:p>
        </w:tc>
      </w:tr>
    </w:tbl>
    <w:p>
      <w:pPr>
        <w:pStyle w:val="TextBody"/>
        <w:spacing w:before="0" w:after="0"/>
        <w:jc w:val="left"/>
        <w:rPr/>
      </w:pPr>
      <w:r>
        <w:rPr/>
        <w:t> </w:t>
      </w:r>
    </w:p>
    <w:tbl>
      <w:tblPr>
        <w:tblW w:w="4330" w:type="dxa"/>
        <w:jc w:val="left"/>
        <w:tblInd w:w="0" w:type="dxa"/>
        <w:tblCellMar>
          <w:top w:w="0" w:type="dxa"/>
          <w:left w:w="0" w:type="dxa"/>
          <w:bottom w:w="0" w:type="dxa"/>
          <w:right w:w="0" w:type="dxa"/>
        </w:tblCellMar>
      </w:tblPr>
      <w:tblGrid>
        <w:gridCol w:w="365"/>
        <w:gridCol w:w="3965"/>
      </w:tblGrid>
      <w:tr>
        <w:trPr/>
        <w:tc>
          <w:tcPr>
            <w:tcW w:w="365" w:type="dxa"/>
            <w:tcBorders/>
            <w:shd w:fill="auto" w:val="clear"/>
            <w:vAlign w:val="center"/>
          </w:tcPr>
          <w:p>
            <w:pPr>
              <w:pStyle w:val="TableContents"/>
              <w:spacing w:before="0" w:after="283"/>
              <w:jc w:val="left"/>
              <w:rPr/>
            </w:pPr>
            <w:r>
              <w:rPr/>
              <w:t>(7) </w:t>
            </w:r>
          </w:p>
        </w:tc>
        <w:tc>
          <w:tcPr>
            <w:tcW w:w="3965" w:type="dxa"/>
            <w:tcBorders/>
            <w:shd w:fill="auto" w:val="clear"/>
            <w:vAlign w:val="center"/>
          </w:tcPr>
          <w:p>
            <w:pPr>
              <w:pStyle w:val="TableContents"/>
              <w:spacing w:before="0" w:after="0"/>
              <w:jc w:val="left"/>
              <w:rPr>
                <w:rFonts w:ascii="ARIAL" w:hAnsi="ARIAL"/>
                <w:sz w:val="16"/>
              </w:rPr>
            </w:pPr>
            <w:r>
              <w:rPr>
                <w:rFonts w:ascii="ARIAL" w:hAnsi="ARIAL"/>
                <w:sz w:val="16"/>
              </w:rPr>
              <w:t xml:space="preserve">Includes 1,000 shares held by Mr. Wallman’s spouse.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283"/>
              <w:jc w:val="left"/>
              <w:rPr/>
            </w:pPr>
            <w:r>
              <w:rPr/>
              <w:t>(8) </w:t>
            </w:r>
          </w:p>
        </w:tc>
        <w:tc>
          <w:tcPr>
            <w:tcW w:w="9914" w:type="dxa"/>
            <w:tcBorders/>
            <w:shd w:fill="auto" w:val="clear"/>
            <w:vAlign w:val="center"/>
          </w:tcPr>
          <w:p>
            <w:pPr>
              <w:pStyle w:val="TableContents"/>
              <w:spacing w:before="0" w:after="0"/>
              <w:jc w:val="left"/>
              <w:rPr>
                <w:rFonts w:ascii="ARIAL" w:hAnsi="ARIAL"/>
                <w:sz w:val="16"/>
              </w:rPr>
            </w:pPr>
            <w:r>
              <w:rPr>
                <w:rFonts w:ascii="ARIAL" w:hAnsi="ARIAL"/>
                <w:sz w:val="16"/>
              </w:rPr>
              <w:t xml:space="preserve">Includes 14,500 shares held by an LLC of which Mr. Wright is a managing member, and in which he retains a continuing beneficial ownership of 1%. The shares held by the LLC are held in a margin account. In addition, 35,208 shares directly held by Mr. Wright are held in a margin account. </w:t>
            </w:r>
          </w:p>
        </w:tc>
      </w:tr>
    </w:tbl>
    <w:p>
      <w:pPr>
        <w:pStyle w:val="TextBody"/>
        <w:spacing w:before="480" w:after="0"/>
        <w:jc w:val="left"/>
        <w:rPr>
          <w:rFonts w:ascii="ARIAL" w:hAnsi="ARIAL"/>
          <w:color w:val="005CB9"/>
          <w:sz w:val="32"/>
        </w:rPr>
      </w:pPr>
      <w:bookmarkStart w:id="11" w:name="toc356364_9"/>
      <w:bookmarkEnd w:id="11"/>
      <w:r>
        <w:rPr>
          <w:rFonts w:ascii="ARIAL" w:hAnsi="ARIAL"/>
          <w:color w:val="005CB9"/>
          <w:sz w:val="32"/>
        </w:rPr>
        <w:t xml:space="preserve">DELINQUENT SECTION 16(a) REPORTS </w:t>
      </w:r>
    </w:p>
    <w:p>
      <w:pPr>
        <w:pStyle w:val="TextBody"/>
        <w:spacing w:before="360" w:after="0"/>
        <w:jc w:val="left"/>
        <w:rPr>
          <w:rFonts w:ascii="ARIAL" w:hAnsi="ARIAL"/>
          <w:sz w:val="19"/>
        </w:rPr>
      </w:pPr>
      <w:r>
        <w:rPr>
          <w:rFonts w:ascii="ARIAL" w:hAnsi="ARIAL"/>
          <w:sz w:val="19"/>
        </w:rPr>
        <w:t xml:space="preserve">Section 16(a) of the Securities Exchange Act of 1934, as amended (the “Exchange Act”) requires the Company’s directors, executive officers, and greater than 10% shareholders to file with the SEC initial reports of ownership and reports of changes in ownership of common stock and other equity securities of the Company. Officers, directors, and greater than 10% shareholders are required by SEC regulation to furnish the Company with copies of all Section 16(a) forms they file. </w:t>
      </w:r>
    </w:p>
    <w:p>
      <w:pPr>
        <w:pStyle w:val="TextBody"/>
        <w:spacing w:before="120" w:after="0"/>
        <w:jc w:val="left"/>
        <w:rPr>
          <w:rFonts w:ascii="ARIAL" w:hAnsi="ARIAL"/>
          <w:sz w:val="19"/>
        </w:rPr>
      </w:pPr>
      <w:r>
        <w:rPr>
          <w:rFonts w:ascii="ARIAL" w:hAnsi="ARIAL"/>
          <w:sz w:val="19"/>
        </w:rPr>
        <w:t xml:space="preserve">To the Company’s knowledge, based solely on a review of the copies of such reports furnished to the Company and written representations that no other reports were required, all Section 16(a) filing requirements applicable to its officers, directors, and greater than 10% shareholders were complied with in fiscal year 2022, except for the inadvertent late Form 5 report relating to a gift of 200 shares by former director John F. Fort III. </w: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20</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8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4" descr=""/>
                          <pic:cNvPicPr>
                            <a:picLocks noChangeAspect="1" noChangeArrowheads="1"/>
                          </pic:cNvPicPr>
                        </pic:nvPicPr>
                        <pic:blipFill>
                          <a:blip r:embed="rId65"/>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32"/>
        </w:rPr>
      </w:pPr>
      <w:bookmarkStart w:id="12" w:name="toc356364_10"/>
      <w:bookmarkEnd w:id="12"/>
      <w:r>
        <w:rPr>
          <w:rFonts w:ascii="ARIAL" w:hAnsi="ARIAL"/>
          <w:color w:val="005CB9"/>
          <w:sz w:val="32"/>
        </w:rPr>
        <w:t xml:space="preserve">COMPENSATION DISCUSSION AND ANALYSIS </w:t>
      </w:r>
    </w:p>
    <w:p>
      <w:pPr>
        <w:pStyle w:val="TextBody"/>
        <w:spacing w:before="320" w:after="0"/>
        <w:jc w:val="left"/>
        <w:rPr>
          <w:rFonts w:ascii="ARIAL" w:hAnsi="ARIAL"/>
          <w:sz w:val="19"/>
        </w:rPr>
      </w:pPr>
      <w:r>
        <w:rPr>
          <w:rFonts w:ascii="ARIAL" w:hAnsi="ARIAL"/>
          <w:sz w:val="19"/>
        </w:rPr>
        <w:t xml:space="preserve">This Compensation Discussion and Analysis (“CD&amp;A”) provides information about our compensation objectives and policies for our CEO and other executive officers included in the Summary Compensation Table and referred to in this CD&amp;A as “named executive officers.” Our named executive officers for 2022 are: </w:t>
      </w:r>
    </w:p>
    <w:p>
      <w:pPr>
        <w:pStyle w:val="TextBody"/>
        <w:spacing w:before="0" w:after="0"/>
        <w:jc w:val="left"/>
        <w:rPr/>
      </w:pPr>
      <w:r>
        <w:rPr/>
        <w:t> </w:t>
      </w:r>
    </w:p>
    <w:tbl>
      <w:tblPr>
        <w:tblW w:w="4810" w:type="dxa"/>
        <w:jc w:val="left"/>
        <w:tblInd w:w="0" w:type="dxa"/>
        <w:tblCellMar>
          <w:top w:w="0" w:type="dxa"/>
          <w:left w:w="0" w:type="dxa"/>
          <w:bottom w:w="0" w:type="dxa"/>
          <w:right w:w="0" w:type="dxa"/>
        </w:tblCellMar>
      </w:tblPr>
      <w:tblGrid>
        <w:gridCol w:w="125"/>
        <w:gridCol w:w="60"/>
        <w:gridCol w:w="462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25" w:type="dxa"/>
            <w:tcBorders/>
            <w:shd w:fill="auto" w:val="clear"/>
            <w:vAlign w:val="center"/>
          </w:tcPr>
          <w:p>
            <w:pPr>
              <w:pStyle w:val="TableContents"/>
              <w:spacing w:before="0" w:after="0"/>
              <w:jc w:val="left"/>
              <w:rPr>
                <w:rFonts w:ascii="ARIAL" w:hAnsi="ARIAL"/>
                <w:sz w:val="19"/>
              </w:rPr>
            </w:pPr>
            <w:r>
              <w:rPr>
                <w:rFonts w:ascii="ARIAL" w:hAnsi="ARIAL"/>
                <w:sz w:val="19"/>
              </w:rPr>
              <w:t xml:space="preserve">L. Neil Hunn, President and Chief Executive Officer; </w:t>
            </w:r>
          </w:p>
        </w:tc>
      </w:tr>
    </w:tbl>
    <w:tbl>
      <w:tblPr>
        <w:tblW w:w="6475" w:type="dxa"/>
        <w:jc w:val="left"/>
        <w:tblInd w:w="0" w:type="dxa"/>
        <w:tblCellMar>
          <w:top w:w="0" w:type="dxa"/>
          <w:left w:w="0" w:type="dxa"/>
          <w:bottom w:w="0" w:type="dxa"/>
          <w:right w:w="0" w:type="dxa"/>
        </w:tblCellMar>
      </w:tblPr>
      <w:tblGrid>
        <w:gridCol w:w="125"/>
        <w:gridCol w:w="60"/>
        <w:gridCol w:w="629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90" w:type="dxa"/>
            <w:tcBorders/>
            <w:shd w:fill="auto" w:val="clear"/>
            <w:vAlign w:val="center"/>
          </w:tcPr>
          <w:p>
            <w:pPr>
              <w:pStyle w:val="TableContents"/>
              <w:spacing w:before="0" w:after="0"/>
              <w:jc w:val="left"/>
              <w:rPr>
                <w:rFonts w:ascii="ARIAL" w:hAnsi="ARIAL"/>
                <w:sz w:val="19"/>
              </w:rPr>
            </w:pPr>
            <w:r>
              <w:rPr>
                <w:rFonts w:ascii="ARIAL" w:hAnsi="ARIAL"/>
                <w:sz w:val="19"/>
              </w:rPr>
              <w:t xml:space="preserve">Jason P. Conley, Executive Vice President and Chief Financial Officer; </w:t>
            </w:r>
          </w:p>
        </w:tc>
      </w:tr>
    </w:tbl>
    <w:tbl>
      <w:tblPr>
        <w:tblW w:w="7465" w:type="dxa"/>
        <w:jc w:val="left"/>
        <w:tblInd w:w="0" w:type="dxa"/>
        <w:tblCellMar>
          <w:top w:w="0" w:type="dxa"/>
          <w:left w:w="0" w:type="dxa"/>
          <w:bottom w:w="0" w:type="dxa"/>
          <w:right w:w="0" w:type="dxa"/>
        </w:tblCellMar>
      </w:tblPr>
      <w:tblGrid>
        <w:gridCol w:w="125"/>
        <w:gridCol w:w="60"/>
        <w:gridCol w:w="728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jc w:val="left"/>
              <w:rPr>
                <w:rFonts w:ascii="ARIAL" w:hAnsi="ARIAL"/>
                <w:sz w:val="19"/>
              </w:rPr>
            </w:pPr>
            <w:r>
              <w:rPr>
                <w:rFonts w:ascii="ARIAL" w:hAnsi="ARIAL"/>
                <w:sz w:val="19"/>
              </w:rPr>
              <w:t xml:space="preserve">Robert C. Crisci, Former Executive Vice President and Chief Financial Officer; and </w:t>
            </w:r>
          </w:p>
        </w:tc>
      </w:tr>
    </w:tbl>
    <w:tbl>
      <w:tblPr>
        <w:tblW w:w="8050" w:type="dxa"/>
        <w:jc w:val="left"/>
        <w:tblInd w:w="0" w:type="dxa"/>
        <w:tblCellMar>
          <w:top w:w="0" w:type="dxa"/>
          <w:left w:w="0" w:type="dxa"/>
          <w:bottom w:w="0" w:type="dxa"/>
          <w:right w:w="0" w:type="dxa"/>
        </w:tblCellMar>
      </w:tblPr>
      <w:tblGrid>
        <w:gridCol w:w="125"/>
        <w:gridCol w:w="60"/>
        <w:gridCol w:w="786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65" w:type="dxa"/>
            <w:tcBorders/>
            <w:shd w:fill="auto" w:val="clear"/>
            <w:vAlign w:val="center"/>
          </w:tcPr>
          <w:p>
            <w:pPr>
              <w:pStyle w:val="TableContents"/>
              <w:spacing w:before="0" w:after="0"/>
              <w:jc w:val="left"/>
              <w:rPr>
                <w:rFonts w:ascii="ARIAL" w:hAnsi="ARIAL"/>
                <w:sz w:val="19"/>
              </w:rPr>
            </w:pPr>
            <w:r>
              <w:rPr>
                <w:rFonts w:ascii="ARIAL" w:hAnsi="ARIAL"/>
                <w:sz w:val="19"/>
              </w:rPr>
              <w:t xml:space="preserve">John K. Stipancich, Executive Vice President, General Counsel and Corporate Secretary. </w:t>
            </w:r>
          </w:p>
        </w:tc>
      </w:tr>
    </w:tbl>
    <w:p>
      <w:pPr>
        <w:pStyle w:val="TextBody"/>
        <w:spacing w:before="200" w:after="0"/>
        <w:jc w:val="left"/>
        <w:rPr>
          <w:rFonts w:ascii="ARIAL" w:hAnsi="ARIAL"/>
          <w:b/>
          <w:sz w:val="24"/>
        </w:rPr>
      </w:pPr>
      <w:bookmarkStart w:id="13" w:name="toc356364_11"/>
      <w:bookmarkEnd w:id="13"/>
      <w:r>
        <w:rPr>
          <w:rFonts w:ascii="ARIAL" w:hAnsi="ARIAL"/>
          <w:b/>
          <w:sz w:val="24"/>
        </w:rPr>
        <w:t xml:space="preserve">OVERVIEW </w:t>
      </w:r>
    </w:p>
    <w:p>
      <w:pPr>
        <w:pStyle w:val="TextBody"/>
        <w:spacing w:before="120" w:after="0"/>
        <w:jc w:val="left"/>
        <w:rPr>
          <w:rFonts w:ascii="ARIAL" w:hAnsi="ARIAL"/>
          <w:sz w:val="19"/>
        </w:rPr>
      </w:pPr>
      <w:r>
        <w:rPr>
          <w:rFonts w:ascii="ARIAL" w:hAnsi="ARIAL"/>
          <w:sz w:val="19"/>
        </w:rPr>
        <w:t xml:space="preserve">With the goal of generating long-term value for our shareholders, we maintain an executive compensation program designed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attract and retain executives with the leadership skills, attributes, and experience necessary to succeed in an enterprise with Roper’s unique strategic focus, capital deployment strategy and broad portfolio diversity;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motivate executives to demonstrate exceptional personal performance and perform consistently at or above the levels that we expect, over the long-term and through a range of economic cycles;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link compensation to the achievement of goals and objectives that we believe best correlate with the creation of long-term shareholder value;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compensate executives in a manner consistent with private equity opportunities in light of their dual obligations for (i) supervising the operating performance of our diverse set of twenty-seven (27) companies, and (ii) effectively deploying capital to acquire high-quality companies consistent with our strategic focus. </w:t>
            </w:r>
          </w:p>
        </w:tc>
      </w:tr>
    </w:tbl>
    <w:p>
      <w:pPr>
        <w:pStyle w:val="TextBody"/>
        <w:spacing w:before="240" w:after="0"/>
        <w:jc w:val="left"/>
        <w:rPr>
          <w:rFonts w:ascii="ARIAL" w:hAnsi="ARIAL"/>
          <w:sz w:val="19"/>
        </w:rPr>
      </w:pPr>
      <w:r>
        <w:rPr>
          <w:rFonts w:ascii="ARIAL" w:hAnsi="ARIAL"/>
          <w:sz w:val="19"/>
        </w:rPr>
        <w:t xml:space="preserve">To achieve these objectives our compensation program combines annual and long-term components, cash and equity, and fixed and variable elements, with a bias toward long-term equity awards tied closely to driving growth and shareholder returns. Our executive compensation program rewards our executive officers when they help increase long-term shareholder value, achieve annual business goals, effectively deploy capital and successfully execute other strategic objectives. </w:t>
      </w:r>
    </w:p>
    <w:p>
      <w:pPr>
        <w:pStyle w:val="TextBody"/>
        <w:spacing w:before="240" w:after="0"/>
        <w:jc w:val="left"/>
        <w:rPr>
          <w:rFonts w:ascii="ARIAL" w:hAnsi="ARIAL"/>
          <w:b/>
          <w:color w:val="005CB9"/>
          <w:sz w:val="20"/>
        </w:rPr>
      </w:pPr>
      <w:r>
        <w:rPr>
          <w:rFonts w:ascii="ARIAL" w:hAnsi="ARIAL"/>
          <w:b/>
          <w:color w:val="005CB9"/>
          <w:sz w:val="20"/>
        </w:rPr>
        <w:t xml:space="preserve">2022 Financial Performance </w:t>
      </w:r>
    </w:p>
    <w:p>
      <w:pPr>
        <w:pStyle w:val="TextBody"/>
        <w:spacing w:before="120" w:after="0"/>
        <w:jc w:val="left"/>
        <w:rPr>
          <w:rFonts w:ascii="ARIAL" w:hAnsi="ARIAL"/>
          <w:sz w:val="19"/>
        </w:rPr>
      </w:pPr>
      <w:r>
        <w:rPr>
          <w:rFonts w:ascii="ARIAL" w:hAnsi="ARIAL"/>
          <w:sz w:val="19"/>
        </w:rPr>
        <w:t xml:space="preserve">In 2022, despite a challenging macro-economic environment we continued to demonstrate the resilience of our operating model and produced another year of strong results.(1) </w:t>
      </w:r>
    </w:p>
    <w:p>
      <w:pPr>
        <w:pStyle w:val="TextBody"/>
        <w:spacing w:before="0" w:after="0"/>
        <w:jc w:val="left"/>
        <w:rPr/>
      </w:pPr>
      <w:r>
        <w:rPr/>
        <w:t> </w:t>
      </w:r>
    </w:p>
    <w:tbl>
      <w:tblPr>
        <w:tblW w:w="8200" w:type="dxa"/>
        <w:jc w:val="left"/>
        <w:tblInd w:w="0" w:type="dxa"/>
        <w:tblCellMar>
          <w:top w:w="0" w:type="dxa"/>
          <w:left w:w="0" w:type="dxa"/>
          <w:bottom w:w="0" w:type="dxa"/>
          <w:right w:w="0" w:type="dxa"/>
        </w:tblCellMar>
      </w:tblPr>
      <w:tblGrid>
        <w:gridCol w:w="125"/>
        <w:gridCol w:w="60"/>
        <w:gridCol w:w="801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15" w:type="dxa"/>
            <w:tcBorders/>
            <w:shd w:fill="auto" w:val="clear"/>
            <w:vAlign w:val="center"/>
          </w:tcPr>
          <w:p>
            <w:pPr>
              <w:pStyle w:val="TableContents"/>
              <w:spacing w:before="0" w:after="0"/>
              <w:jc w:val="left"/>
              <w:rPr>
                <w:rFonts w:ascii="ARIAL" w:hAnsi="ARIAL"/>
                <w:sz w:val="20"/>
              </w:rPr>
            </w:pPr>
            <w:r>
              <w:rPr>
                <w:rFonts w:ascii="ARIAL" w:hAnsi="ARIAL"/>
                <w:sz w:val="20"/>
              </w:rPr>
              <w:t xml:space="preserve">Annual shareholder return of negative 11.6%, compared to negative 18.1% for the S&amp;P 500 </w:t>
            </w:r>
          </w:p>
        </w:tc>
      </w:tr>
    </w:tbl>
    <w:p>
      <w:pPr>
        <w:pStyle w:val="TextBody"/>
        <w:spacing w:before="0" w:after="0"/>
        <w:jc w:val="left"/>
        <w:rPr/>
      </w:pPr>
      <w:r>
        <w:rPr/>
        <w:t> </w:t>
      </w:r>
    </w:p>
    <w:tbl>
      <w:tblPr>
        <w:tblW w:w="7315" w:type="dxa"/>
        <w:jc w:val="left"/>
        <w:tblInd w:w="0" w:type="dxa"/>
        <w:tblCellMar>
          <w:top w:w="0" w:type="dxa"/>
          <w:left w:w="0" w:type="dxa"/>
          <w:bottom w:w="0" w:type="dxa"/>
          <w:right w:w="0" w:type="dxa"/>
        </w:tblCellMar>
      </w:tblPr>
      <w:tblGrid>
        <w:gridCol w:w="125"/>
        <w:gridCol w:w="60"/>
        <w:gridCol w:w="713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30" w:type="dxa"/>
            <w:tcBorders/>
            <w:shd w:fill="auto" w:val="clear"/>
            <w:vAlign w:val="center"/>
          </w:tcPr>
          <w:p>
            <w:pPr>
              <w:pStyle w:val="TableContents"/>
              <w:spacing w:before="0" w:after="0"/>
              <w:jc w:val="left"/>
              <w:rPr>
                <w:rFonts w:ascii="ARIAL" w:hAnsi="ARIAL"/>
                <w:sz w:val="19"/>
              </w:rPr>
            </w:pPr>
            <w:r>
              <w:rPr>
                <w:rFonts w:ascii="ARIAL" w:hAnsi="ARIAL"/>
                <w:sz w:val="19"/>
              </w:rPr>
              <w:t xml:space="preserve">GAAP revenue increased 11% to $5.37 billion and organic revenue increased 9%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Adjusted EBITDA increased by 12% to $2.17 billion and adjusted EBITDA margin improved 20 basis points to 40.4% </w:t>
            </w:r>
          </w:p>
        </w:tc>
      </w:tr>
    </w:tbl>
    <w:p>
      <w:pPr>
        <w:pStyle w:val="TextBody"/>
        <w:spacing w:before="0" w:after="0"/>
        <w:jc w:val="left"/>
        <w:rPr/>
      </w:pPr>
      <w:r>
        <w:rPr/>
        <w:t> </w:t>
      </w:r>
    </w:p>
    <w:tbl>
      <w:tblPr>
        <w:tblW w:w="8230" w:type="dxa"/>
        <w:jc w:val="left"/>
        <w:tblInd w:w="0" w:type="dxa"/>
        <w:tblCellMar>
          <w:top w:w="0" w:type="dxa"/>
          <w:left w:w="0" w:type="dxa"/>
          <w:bottom w:w="0" w:type="dxa"/>
          <w:right w:w="0" w:type="dxa"/>
        </w:tblCellMar>
      </w:tblPr>
      <w:tblGrid>
        <w:gridCol w:w="125"/>
        <w:gridCol w:w="60"/>
        <w:gridCol w:w="804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45" w:type="dxa"/>
            <w:tcBorders/>
            <w:shd w:fill="auto" w:val="clear"/>
            <w:vAlign w:val="center"/>
          </w:tcPr>
          <w:p>
            <w:pPr>
              <w:pStyle w:val="TableContents"/>
              <w:spacing w:before="0" w:after="0"/>
              <w:jc w:val="left"/>
              <w:rPr>
                <w:rFonts w:ascii="ARIAL" w:hAnsi="ARIAL"/>
                <w:sz w:val="20"/>
              </w:rPr>
            </w:pPr>
            <w:r>
              <w:rPr>
                <w:rFonts w:ascii="ARIAL" w:hAnsi="ARIAL"/>
                <w:sz w:val="20"/>
              </w:rPr>
              <w:t xml:space="preserve">Adjusted operating cash flow was $1.56 billion and adjusted free cash flow was $1.49 billion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We successfully executed our divestiture strategy to reduce the cyclicality and asset intensity of our enterprise by divesting majority control of 16 industrial businesses and divesting our TransCore and Zetec businesses </w:t>
            </w:r>
          </w:p>
        </w:tc>
      </w:tr>
    </w:tbl>
    <w:p>
      <w:pPr>
        <w:pStyle w:val="TextBody"/>
        <w:spacing w:before="0" w:after="0"/>
        <w:jc w:val="left"/>
        <w:rPr/>
      </w:pPr>
      <w:r>
        <w:rPr/>
        <w:t> </w:t>
      </w:r>
    </w:p>
    <w:tbl>
      <w:tblPr>
        <w:tblW w:w="7225" w:type="dxa"/>
        <w:jc w:val="left"/>
        <w:tblInd w:w="0" w:type="dxa"/>
        <w:tblCellMar>
          <w:top w:w="0" w:type="dxa"/>
          <w:left w:w="0" w:type="dxa"/>
          <w:bottom w:w="0" w:type="dxa"/>
          <w:right w:w="0" w:type="dxa"/>
        </w:tblCellMar>
      </w:tblPr>
      <w:tblGrid>
        <w:gridCol w:w="125"/>
        <w:gridCol w:w="60"/>
        <w:gridCol w:w="704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40" w:type="dxa"/>
            <w:tcBorders/>
            <w:shd w:fill="auto" w:val="clear"/>
            <w:vAlign w:val="center"/>
          </w:tcPr>
          <w:p>
            <w:pPr>
              <w:pStyle w:val="TableContents"/>
              <w:spacing w:before="0" w:after="0"/>
              <w:jc w:val="left"/>
              <w:rPr>
                <w:rFonts w:ascii="ARIAL" w:hAnsi="ARIAL"/>
                <w:sz w:val="20"/>
              </w:rPr>
            </w:pPr>
            <w:r>
              <w:rPr>
                <w:rFonts w:ascii="ARIAL" w:hAnsi="ARIAL"/>
                <w:sz w:val="20"/>
              </w:rPr>
              <w:t xml:space="preserve">Our annual dividend increased by 10%, increasing for the 30th consecutive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283"/>
              <w:jc w:val="left"/>
              <w:rPr/>
            </w:pPr>
            <w:r>
              <w:rPr/>
              <w:t>(1) </w:t>
            </w:r>
          </w:p>
        </w:tc>
        <w:tc>
          <w:tcPr>
            <w:tcW w:w="9913" w:type="dxa"/>
            <w:tcBorders/>
            <w:shd w:fill="auto" w:val="clear"/>
            <w:vAlign w:val="center"/>
          </w:tcPr>
          <w:p>
            <w:pPr>
              <w:pStyle w:val="TableContents"/>
              <w:spacing w:before="0" w:after="0"/>
              <w:jc w:val="left"/>
              <w:rPr>
                <w:rFonts w:ascii="ARIAL" w:hAnsi="ARIAL"/>
                <w:sz w:val="16"/>
              </w:rPr>
            </w:pPr>
            <w:r>
              <w:rPr>
                <w:rFonts w:ascii="ARIAL" w:hAnsi="ARIAL"/>
                <w:sz w:val="16"/>
              </w:rPr>
              <w:t xml:space="preserve">This financial information is presented on a continuing operations basis and an adjusted (non-GAAP) basis. A reconciliation from non-GAAP financial measures to the most comparable GAAP measure and other related information is available in “Appendix A—Reconciliations”. </w:t>
            </w:r>
          </w:p>
        </w:tc>
      </w:tr>
    </w:tbl>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8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5" descr=""/>
                          <pic:cNvPicPr>
                            <a:picLocks noChangeAspect="1" noChangeArrowheads="1"/>
                          </pic:cNvPicPr>
                        </pic:nvPicPr>
                        <pic:blipFill>
                          <a:blip r:embed="rId66"/>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21</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color w:val="005CB9"/>
          <w:sz w:val="20"/>
        </w:rPr>
      </w:pPr>
      <w:r>
        <w:rPr>
          <w:rFonts w:ascii="ARIAL" w:hAnsi="ARIAL"/>
          <w:b/>
          <w:color w:val="005CB9"/>
          <w:sz w:val="20"/>
        </w:rPr>
        <w:t xml:space="preserve">Compensation Updates </w:t>
      </w:r>
    </w:p>
    <w:p>
      <w:pPr>
        <w:pStyle w:val="TextBody"/>
        <w:spacing w:before="120" w:after="0"/>
        <w:jc w:val="left"/>
        <w:rPr>
          <w:rFonts w:ascii="ARIAL" w:hAnsi="ARIAL"/>
          <w:sz w:val="19"/>
        </w:rPr>
      </w:pPr>
      <w:r>
        <w:rPr>
          <w:rFonts w:ascii="ARIAL" w:hAnsi="ARIAL"/>
          <w:sz w:val="19"/>
        </w:rPr>
        <w:t xml:space="preserve">Roper’s Compensation Committee regularly reviews our executive compensation program with a view toward continuous improvement and consideration of investor feedback. In response to discussions with our investors, commencing in 2022 the equity awards made to each of our named executive officers may only vest at the end of a three-year period. Previously, this three-year vesting requirement applied solely to equity awards made to our CEO and awards to other named executive officers vested 50% after the end of a two-year period with the balance of the awards vesting at the end of a three-year period. We also made changes to increase the rigor of the performance criteria under both the 2022 annual cash incentive and 2022 long-term performance-based restricted stock awards. See “Annual Cash Incentive” and “Long-Term Stock Incentives” below for more information. </w:t>
      </w:r>
    </w:p>
    <w:p>
      <w:pPr>
        <w:pStyle w:val="TextBody"/>
        <w:spacing w:before="200" w:after="0"/>
        <w:jc w:val="left"/>
        <w:rPr>
          <w:rFonts w:ascii="ARIAL" w:hAnsi="ARIAL"/>
          <w:b/>
          <w:sz w:val="24"/>
        </w:rPr>
      </w:pPr>
      <w:bookmarkStart w:id="14" w:name="toc356364_12"/>
      <w:bookmarkEnd w:id="14"/>
      <w:r>
        <w:rPr>
          <w:rFonts w:ascii="ARIAL" w:hAnsi="ARIAL"/>
          <w:b/>
          <w:sz w:val="24"/>
        </w:rPr>
        <w:t xml:space="preserve">CREATING SHAREHOLDER VALUE </w:t>
      </w:r>
    </w:p>
    <w:p>
      <w:pPr>
        <w:pStyle w:val="TextBody"/>
        <w:spacing w:before="120" w:after="0"/>
        <w:jc w:val="left"/>
        <w:rPr>
          <w:rFonts w:ascii="ARIAL" w:hAnsi="ARIAL"/>
          <w:sz w:val="19"/>
        </w:rPr>
      </w:pPr>
      <w:r>
        <w:rPr>
          <w:rFonts w:ascii="ARIAL" w:hAnsi="ARIAL"/>
          <w:sz w:val="19"/>
        </w:rPr>
        <w:t xml:space="preserve">The creation of shareholder value is the foundation and driver of our executive compensation program and corporate strategy. The compensation of our named executive officers is closely aligned with the long-term interests of our shareholders. </w:t>
      </w:r>
    </w:p>
    <w:p>
      <w:pPr>
        <w:pStyle w:val="TextBody"/>
        <w:spacing w:before="240" w:after="0"/>
        <w:jc w:val="left"/>
        <w:rPr>
          <w:rFonts w:ascii="ARIAL" w:hAnsi="ARIAL"/>
          <w:b/>
          <w:color w:val="005CB9"/>
          <w:sz w:val="20"/>
        </w:rPr>
      </w:pPr>
      <w:r>
        <w:rPr>
          <w:rFonts w:ascii="ARIAL" w:hAnsi="ARIAL"/>
          <w:b/>
          <w:color w:val="005CB9"/>
          <w:sz w:val="20"/>
        </w:rPr>
        <w:t xml:space="preserve">Superior Long-Term Returns for Roper Shareholders¹ </w:t>
      </w:r>
    </w:p>
    <w:p>
      <w:pPr>
        <w:pStyle w:val="TextBody"/>
        <w:spacing w:before="120" w:after="0"/>
        <w:jc w:val="left"/>
        <w:rPr>
          <w:rFonts w:ascii="ARIAL" w:hAnsi="ARIAL"/>
          <w:sz w:val="19"/>
        </w:rPr>
      </w:pPr>
      <w:r>
        <w:rPr>
          <w:rFonts w:ascii="ARIAL" w:hAnsi="ARIAL"/>
          <w:sz w:val="19"/>
        </w:rPr>
        <w:t xml:space="preserve">Roper is proud of its long track record of superior returns for its shareholders. Roper has significantly outperformed the S&amp;P 500 over the past 5, 10, and 15 years. </w:t>
      </w:r>
    </w:p>
    <w:p>
      <w:pPr>
        <w:pStyle w:val="TextBody"/>
        <w:spacing w:before="0" w:after="0"/>
        <w:jc w:val="left"/>
        <w:rPr/>
      </w:pPr>
      <w:r>
        <w:rPr/>
        <w:t> </w:t>
      </w:r>
    </w:p>
    <w:tbl>
      <w:tblPr>
        <w:tblW w:w="5629" w:type="dxa"/>
        <w:jc w:val="left"/>
        <w:tblInd w:w="0" w:type="dxa"/>
        <w:tblCellMar>
          <w:top w:w="0" w:type="dxa"/>
          <w:left w:w="0" w:type="dxa"/>
          <w:bottom w:w="0" w:type="dxa"/>
          <w:right w:w="0" w:type="dxa"/>
        </w:tblCellMar>
      </w:tblPr>
      <w:tblGrid>
        <w:gridCol w:w="875"/>
        <w:gridCol w:w="120"/>
        <w:gridCol w:w="60"/>
        <w:gridCol w:w="830"/>
        <w:gridCol w:w="60"/>
        <w:gridCol w:w="120"/>
        <w:gridCol w:w="63"/>
        <w:gridCol w:w="826"/>
        <w:gridCol w:w="60"/>
        <w:gridCol w:w="120"/>
        <w:gridCol w:w="102"/>
        <w:gridCol w:w="954"/>
        <w:gridCol w:w="102"/>
        <w:gridCol w:w="204"/>
        <w:gridCol w:w="102"/>
        <w:gridCol w:w="956"/>
        <w:gridCol w:w="75"/>
      </w:tblGrid>
      <w:tr>
        <w:trPr/>
        <w:tc>
          <w:tcPr>
            <w:tcW w:w="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75" w:type="dxa"/>
            <w:vMerge w:val="restart"/>
            <w:tcBorders>
              <w:top w:val="single" w:sz="4" w:space="0" w:color="000000"/>
              <w:left w:val="single" w:sz="8" w:space="0" w:color="005CB9"/>
              <w:bottom w:val="single" w:sz="4" w:space="0" w:color="000000"/>
              <w:right w:val="single" w:sz="4" w:space="0" w:color="000000"/>
            </w:tcBorders>
            <w:shd w:fill="005CB9" w:val="clear"/>
            <w:tcMar>
              <w:top w:w="80" w:type="dxa"/>
              <w:left w:w="28" w:type="dxa"/>
              <w:bottom w:w="28" w:type="dxa"/>
              <w:right w:w="28" w:type="dxa"/>
            </w:tcMar>
            <w:vAlign w:val="center"/>
          </w:tcPr>
          <w:p>
            <w:pPr>
              <w:pStyle w:val="TableContents"/>
              <w:spacing w:before="0" w:after="283"/>
              <w:rPr>
                <w:color w:val="FFFFFF"/>
              </w:rPr>
            </w:pPr>
            <w:r>
              <w:rPr>
                <w:color w:val="FFFFFF"/>
              </w:rPr>
              <w:t>  </w:t>
            </w:r>
            <w:r>
              <w:rPr>
                <w:color w:val="FFFFFF"/>
              </w:rPr>
              <w:t>Period</w:t>
            </w:r>
          </w:p>
        </w:tc>
        <w:tc>
          <w:tcPr>
            <w:tcW w:w="120" w:type="dxa"/>
            <w:tcBorders/>
            <w:shd w:fill="005CB9" w:val="clear"/>
            <w:vAlign w:val="center"/>
          </w:tcPr>
          <w:p>
            <w:pPr>
              <w:pStyle w:val="TableContents"/>
              <w:spacing w:before="0" w:after="283"/>
              <w:rPr/>
            </w:pPr>
            <w:r>
              <w:rPr/>
              <w:t>  </w:t>
            </w:r>
          </w:p>
        </w:tc>
        <w:tc>
          <w:tcPr>
            <w:tcW w:w="1959" w:type="dxa"/>
            <w:gridSpan w:val="6"/>
            <w:tcBorders/>
            <w:shd w:fill="005CB9" w:val="clear"/>
            <w:vAlign w:val="center"/>
          </w:tcPr>
          <w:p>
            <w:pPr>
              <w:pStyle w:val="TableContents"/>
              <w:spacing w:before="0" w:after="283"/>
              <w:jc w:val="center"/>
              <w:rPr>
                <w:color w:val="FFFFFF"/>
              </w:rPr>
            </w:pPr>
            <w:r>
              <w:rPr>
                <w:color w:val="FFFFFF"/>
              </w:rPr>
              <w:t>Compound Annual</w:t>
              <w:br/>
              <w:t>Shareholder Return</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2420" w:type="dxa"/>
            <w:gridSpan w:val="6"/>
            <w:tcBorders/>
            <w:shd w:fill="005CB9" w:val="clear"/>
            <w:vAlign w:val="center"/>
          </w:tcPr>
          <w:p>
            <w:pPr>
              <w:pStyle w:val="TableContents"/>
              <w:spacing w:before="0" w:after="283"/>
              <w:jc w:val="center"/>
              <w:rPr>
                <w:color w:val="FFFFFF"/>
              </w:rPr>
            </w:pPr>
            <w:r>
              <w:rPr>
                <w:color w:val="FFFFFF"/>
              </w:rPr>
              <w:t>Total Shareholder Return</w:t>
              <w:br/>
              <w:t>(TSR)</w:t>
            </w:r>
          </w:p>
        </w:tc>
        <w:tc>
          <w:tcPr>
            <w:tcW w:w="7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r>
      <w:tr>
        <w:trPr/>
        <w:tc>
          <w:tcPr>
            <w:tcW w:w="875" w:type="dxa"/>
            <w:vMerge w:val="continue"/>
            <w:tcBorders>
              <w:top w:val="single" w:sz="4" w:space="0" w:color="000000"/>
              <w:left w:val="single" w:sz="8" w:space="0" w:color="005CB9"/>
              <w:bottom w:val="single" w:sz="4" w:space="0" w:color="000000"/>
              <w:right w:val="single" w:sz="4" w:space="0" w:color="000000"/>
            </w:tcBorders>
            <w:shd w:fill="005CB9" w:val="clear"/>
            <w:tcMar>
              <w:top w:w="80" w:type="dxa"/>
              <w:left w:w="28" w:type="dxa"/>
              <w:bottom w:w="28" w:type="dxa"/>
              <w:right w:w="28" w:type="dxa"/>
            </w:tcMar>
            <w:vAlign w:val="center"/>
          </w:tcPr>
          <w:p>
            <w:pPr>
              <w:pStyle w:val="Normal"/>
              <w:rPr/>
            </w:pPr>
            <w:r>
              <w:rPr/>
            </w:r>
          </w:p>
        </w:tc>
        <w:tc>
          <w:tcPr>
            <w:tcW w:w="120" w:type="dxa"/>
            <w:tcBorders>
              <w:left w:val="single" w:sz="6" w:space="0" w:color="FFFFFF"/>
            </w:tcBorders>
            <w:shd w:fill="005CB9" w:val="clear"/>
            <w:tcMar>
              <w:left w:w="28" w:type="dxa"/>
            </w:tcMar>
            <w:vAlign w:val="center"/>
          </w:tcPr>
          <w:p>
            <w:pPr>
              <w:pStyle w:val="TableContents"/>
              <w:spacing w:before="0" w:after="283"/>
              <w:rPr/>
            </w:pPr>
            <w:r>
              <w:rPr/>
              <w:t>  </w:t>
            </w:r>
          </w:p>
        </w:tc>
        <w:tc>
          <w:tcPr>
            <w:tcW w:w="890" w:type="dxa"/>
            <w:gridSpan w:val="2"/>
            <w:tcBorders/>
            <w:shd w:fill="005CB9" w:val="clear"/>
            <w:vAlign w:val="center"/>
          </w:tcPr>
          <w:p>
            <w:pPr>
              <w:pStyle w:val="TableContents"/>
              <w:spacing w:before="0" w:after="283"/>
              <w:jc w:val="center"/>
              <w:rPr>
                <w:color w:val="FFFFFF"/>
              </w:rPr>
            </w:pPr>
            <w:r>
              <w:rPr>
                <w:color w:val="FFFFFF"/>
              </w:rPr>
              <w:t>Roper</w:t>
            </w:r>
          </w:p>
        </w:tc>
        <w:tc>
          <w:tcPr>
            <w:tcW w:w="60" w:type="dxa"/>
            <w:tcBorders/>
            <w:shd w:fill="005CB9" w:val="clear"/>
            <w:vAlign w:val="center"/>
          </w:tcPr>
          <w:p>
            <w:pPr>
              <w:pStyle w:val="TableContents"/>
              <w:spacing w:before="0" w:after="283"/>
              <w:rPr/>
            </w:pPr>
            <w:r>
              <w:rPr/>
              <w:t> </w:t>
            </w:r>
          </w:p>
        </w:tc>
        <w:tc>
          <w:tcPr>
            <w:tcW w:w="120" w:type="dxa"/>
            <w:tcBorders>
              <w:left w:val="single" w:sz="6" w:space="0" w:color="FFFFFF"/>
            </w:tcBorders>
            <w:shd w:fill="005CB9" w:val="clear"/>
            <w:tcMar>
              <w:left w:w="28" w:type="dxa"/>
            </w:tcMar>
            <w:vAlign w:val="center"/>
          </w:tcPr>
          <w:p>
            <w:pPr>
              <w:pStyle w:val="TableContents"/>
              <w:spacing w:before="0" w:after="283"/>
              <w:rPr/>
            </w:pPr>
            <w:r>
              <w:rPr/>
              <w:t>  </w:t>
            </w:r>
          </w:p>
        </w:tc>
        <w:tc>
          <w:tcPr>
            <w:tcW w:w="889" w:type="dxa"/>
            <w:gridSpan w:val="2"/>
            <w:tcBorders/>
            <w:shd w:fill="005CB9" w:val="clear"/>
            <w:vAlign w:val="center"/>
          </w:tcPr>
          <w:p>
            <w:pPr>
              <w:pStyle w:val="TableContents"/>
              <w:spacing w:before="0" w:after="283"/>
              <w:jc w:val="center"/>
              <w:rPr>
                <w:color w:val="FFFFFF"/>
              </w:rPr>
            </w:pPr>
            <w:r>
              <w:rPr>
                <w:color w:val="FFFFFF"/>
              </w:rPr>
              <w:t>S&amp;P 500</w:t>
            </w:r>
          </w:p>
        </w:tc>
        <w:tc>
          <w:tcPr>
            <w:tcW w:w="60" w:type="dxa"/>
            <w:tcBorders>
              <w:right w:val="single" w:sz="6" w:space="0" w:color="FFFFFF"/>
            </w:tcBorders>
            <w:shd w:fill="005CB9" w:val="clear"/>
            <w:tcMar>
              <w:right w:w="28" w:type="dxa"/>
            </w:tcM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1056" w:type="dxa"/>
            <w:gridSpan w:val="2"/>
            <w:tcBorders/>
            <w:shd w:fill="005CB9" w:val="clear"/>
            <w:vAlign w:val="center"/>
          </w:tcPr>
          <w:p>
            <w:pPr>
              <w:pStyle w:val="TableContents"/>
              <w:spacing w:before="0" w:after="283"/>
              <w:jc w:val="center"/>
              <w:rPr>
                <w:color w:val="FFFFFF"/>
              </w:rPr>
            </w:pPr>
            <w:r>
              <w:rPr>
                <w:color w:val="FFFFFF"/>
              </w:rPr>
              <w:t>Roper</w:t>
            </w:r>
          </w:p>
        </w:tc>
        <w:tc>
          <w:tcPr>
            <w:tcW w:w="102" w:type="dxa"/>
            <w:tcBorders>
              <w:right w:val="single" w:sz="6" w:space="0" w:color="FFFFFF"/>
            </w:tcBorders>
            <w:shd w:fill="005CB9" w:val="clear"/>
            <w:tcMar>
              <w:right w:w="28" w:type="dxa"/>
            </w:tcMar>
            <w:vAlign w:val="center"/>
          </w:tcPr>
          <w:p>
            <w:pPr>
              <w:pStyle w:val="TableContents"/>
              <w:spacing w:before="0" w:after="283"/>
              <w:rPr/>
            </w:pPr>
            <w:r>
              <w:rPr/>
              <w:t> </w:t>
            </w:r>
          </w:p>
        </w:tc>
        <w:tc>
          <w:tcPr>
            <w:tcW w:w="204" w:type="dxa"/>
            <w:tcBorders/>
            <w:shd w:fill="005CB9" w:val="clear"/>
            <w:vAlign w:val="center"/>
          </w:tcPr>
          <w:p>
            <w:pPr>
              <w:pStyle w:val="TableContents"/>
              <w:spacing w:before="0" w:after="283"/>
              <w:rPr/>
            </w:pPr>
            <w:r>
              <w:rPr/>
              <w:t>  </w:t>
            </w:r>
          </w:p>
        </w:tc>
        <w:tc>
          <w:tcPr>
            <w:tcW w:w="1058" w:type="dxa"/>
            <w:gridSpan w:val="2"/>
            <w:tcBorders/>
            <w:shd w:fill="005CB9" w:val="clear"/>
            <w:vAlign w:val="center"/>
          </w:tcPr>
          <w:p>
            <w:pPr>
              <w:pStyle w:val="TableContents"/>
              <w:spacing w:before="0" w:after="283"/>
              <w:jc w:val="center"/>
              <w:rPr>
                <w:color w:val="FFFFFF"/>
              </w:rPr>
            </w:pPr>
            <w:r>
              <w:rPr>
                <w:color w:val="FFFFFF"/>
              </w:rPr>
              <w:t>S&amp;P 500</w:t>
            </w:r>
          </w:p>
        </w:tc>
        <w:tc>
          <w:tcPr>
            <w:tcW w:w="75" w:type="dxa"/>
            <w:tcBorders/>
            <w:shd w:fill="005CB9" w:val="clear"/>
            <w:vAlign w:val="center"/>
          </w:tcPr>
          <w:p>
            <w:pPr>
              <w:pStyle w:val="TableContents"/>
              <w:spacing w:before="0" w:after="283"/>
              <w:rPr/>
            </w:pPr>
            <w:r>
              <w:rPr/>
              <w:t> </w:t>
            </w:r>
          </w:p>
        </w:tc>
      </w:tr>
      <w:tr>
        <w:trPr/>
        <w:tc>
          <w:tcPr>
            <w:tcW w:w="875" w:type="dxa"/>
            <w:tcBorders/>
            <w:shd w:fill="CCDEF1" w:val="clear"/>
            <w:vAlign w:val="center"/>
          </w:tcPr>
          <w:p>
            <w:pPr>
              <w:pStyle w:val="TableContents"/>
              <w:spacing w:before="0" w:after="283"/>
              <w:rPr>
                <w:sz w:val="4"/>
                <w:szCs w:val="4"/>
              </w:rPr>
            </w:pPr>
            <w:r>
              <w:rPr>
                <w:sz w:val="4"/>
                <w:szCs w:val="4"/>
              </w:rPr>
            </w:r>
          </w:p>
        </w:tc>
        <w:tc>
          <w:tcPr>
            <w:tcW w:w="1070" w:type="dxa"/>
            <w:gridSpan w:val="4"/>
            <w:tcBorders/>
            <w:shd w:fill="CCDEF1" w:val="clear"/>
            <w:vAlign w:val="center"/>
          </w:tcPr>
          <w:p>
            <w:pPr>
              <w:pStyle w:val="TableContents"/>
              <w:spacing w:before="0" w:after="283"/>
              <w:rPr>
                <w:sz w:val="4"/>
                <w:szCs w:val="4"/>
              </w:rPr>
            </w:pPr>
            <w:r>
              <w:rPr>
                <w:sz w:val="4"/>
                <w:szCs w:val="4"/>
              </w:rPr>
            </w:r>
          </w:p>
        </w:tc>
        <w:tc>
          <w:tcPr>
            <w:tcW w:w="1069" w:type="dxa"/>
            <w:gridSpan w:val="4"/>
            <w:tcBorders/>
            <w:shd w:fill="CCDEF1" w:val="clear"/>
            <w:vAlign w:val="center"/>
          </w:tcPr>
          <w:p>
            <w:pPr>
              <w:pStyle w:val="TableContents"/>
              <w:spacing w:before="0" w:after="283"/>
              <w:rPr>
                <w:sz w:val="4"/>
                <w:szCs w:val="4"/>
              </w:rPr>
            </w:pPr>
            <w:r>
              <w:rPr>
                <w:sz w:val="4"/>
                <w:szCs w:val="4"/>
              </w:rPr>
            </w:r>
          </w:p>
        </w:tc>
        <w:tc>
          <w:tcPr>
            <w:tcW w:w="1278" w:type="dxa"/>
            <w:gridSpan w:val="4"/>
            <w:tcBorders/>
            <w:shd w:fill="CCDEF1" w:val="clear"/>
            <w:vAlign w:val="center"/>
          </w:tcPr>
          <w:p>
            <w:pPr>
              <w:pStyle w:val="TableContents"/>
              <w:spacing w:before="0" w:after="283"/>
              <w:rPr>
                <w:sz w:val="4"/>
                <w:szCs w:val="4"/>
              </w:rPr>
            </w:pPr>
            <w:r>
              <w:rPr>
                <w:sz w:val="4"/>
                <w:szCs w:val="4"/>
              </w:rPr>
            </w:r>
          </w:p>
        </w:tc>
        <w:tc>
          <w:tcPr>
            <w:tcW w:w="1337" w:type="dxa"/>
            <w:gridSpan w:val="4"/>
            <w:tcBorders/>
            <w:shd w:fill="CCDEF1" w:val="clear"/>
            <w:vAlign w:val="center"/>
          </w:tcPr>
          <w:p>
            <w:pPr>
              <w:pStyle w:val="TableContents"/>
              <w:spacing w:before="0" w:after="283"/>
              <w:rPr>
                <w:sz w:val="4"/>
                <w:szCs w:val="4"/>
              </w:rPr>
            </w:pPr>
            <w:r>
              <w:rPr>
                <w:sz w:val="4"/>
                <w:szCs w:val="4"/>
              </w:rPr>
            </w:r>
          </w:p>
        </w:tc>
      </w:tr>
      <w:tr>
        <w:trPr/>
        <w:tc>
          <w:tcPr>
            <w:tcW w:w="875" w:type="dxa"/>
            <w:tcBorders/>
            <w:shd w:fill="CCDEF1" w:val="clear"/>
            <w:vAlign w:val="center"/>
          </w:tcPr>
          <w:p>
            <w:pPr>
              <w:pStyle w:val="TableContents"/>
              <w:spacing w:before="0" w:after="0"/>
              <w:rPr/>
            </w:pPr>
            <w:r>
              <w:rPr/>
              <w:t> </w:t>
            </w:r>
            <w:r>
              <w:rPr>
                <w:rFonts w:ascii="ARIAL" w:hAnsi="ARIAL"/>
                <w:sz w:val="19"/>
              </w:rPr>
              <w:t>1-Year</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830" w:type="dxa"/>
            <w:tcBorders/>
            <w:shd w:fill="CCDEF1" w:val="clear"/>
            <w:vAlign w:val="center"/>
          </w:tcPr>
          <w:p>
            <w:pPr>
              <w:pStyle w:val="TableContents"/>
              <w:spacing w:before="0" w:after="283"/>
              <w:jc w:val="right"/>
              <w:rPr>
                <w:b/>
              </w:rPr>
            </w:pPr>
            <w:r>
              <w:rPr>
                <w:b/>
              </w:rPr>
              <w:t>(11.6%)</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3" w:type="dxa"/>
            <w:tcBorders/>
            <w:shd w:fill="CCDEF1" w:val="clear"/>
            <w:vAlign w:val="center"/>
          </w:tcPr>
          <w:p>
            <w:pPr>
              <w:pStyle w:val="TableContents"/>
              <w:spacing w:before="0" w:after="283"/>
              <w:rPr/>
            </w:pPr>
            <w:r>
              <w:rPr/>
              <w:t> </w:t>
            </w:r>
          </w:p>
        </w:tc>
        <w:tc>
          <w:tcPr>
            <w:tcW w:w="826" w:type="dxa"/>
            <w:tcBorders/>
            <w:shd w:fill="CCDEF1" w:val="clear"/>
            <w:vAlign w:val="center"/>
          </w:tcPr>
          <w:p>
            <w:pPr>
              <w:pStyle w:val="TableContents"/>
              <w:spacing w:before="0" w:after="283"/>
              <w:jc w:val="right"/>
              <w:rPr/>
            </w:pPr>
            <w:r>
              <w:rPr/>
              <w:t>(18.1%)</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102" w:type="dxa"/>
            <w:tcBorders/>
            <w:shd w:fill="CCDEF1" w:val="clear"/>
            <w:vAlign w:val="center"/>
          </w:tcPr>
          <w:p>
            <w:pPr>
              <w:pStyle w:val="TableContents"/>
              <w:spacing w:before="0" w:after="283"/>
              <w:rPr/>
            </w:pPr>
            <w:r>
              <w:rPr/>
              <w:t> </w:t>
            </w:r>
          </w:p>
        </w:tc>
        <w:tc>
          <w:tcPr>
            <w:tcW w:w="954" w:type="dxa"/>
            <w:tcBorders/>
            <w:shd w:fill="CCDEF1" w:val="clear"/>
            <w:vAlign w:val="center"/>
          </w:tcPr>
          <w:p>
            <w:pPr>
              <w:pStyle w:val="TableContents"/>
              <w:spacing w:before="0" w:after="283"/>
              <w:jc w:val="right"/>
              <w:rPr>
                <w:b/>
              </w:rPr>
            </w:pPr>
            <w:r>
              <w:rPr>
                <w:b/>
              </w:rPr>
              <w:t>(11.6%)</w:t>
            </w:r>
          </w:p>
        </w:tc>
        <w:tc>
          <w:tcPr>
            <w:tcW w:w="102" w:type="dxa"/>
            <w:tcBorders/>
            <w:shd w:fill="CCDEF1" w:val="clear"/>
            <w:vAlign w:val="center"/>
          </w:tcPr>
          <w:p>
            <w:pPr>
              <w:pStyle w:val="TableContents"/>
              <w:spacing w:before="0" w:after="283"/>
              <w:rPr/>
            </w:pPr>
            <w:r>
              <w:rPr/>
              <w:t> </w:t>
            </w:r>
          </w:p>
        </w:tc>
        <w:tc>
          <w:tcPr>
            <w:tcW w:w="204" w:type="dxa"/>
            <w:tcBorders/>
            <w:shd w:fill="CCDEF1" w:val="clear"/>
            <w:vAlign w:val="center"/>
          </w:tcPr>
          <w:p>
            <w:pPr>
              <w:pStyle w:val="TableContents"/>
              <w:spacing w:before="0" w:after="283"/>
              <w:rPr/>
            </w:pPr>
            <w:r>
              <w:rPr/>
              <w:t>  </w:t>
            </w:r>
          </w:p>
        </w:tc>
        <w:tc>
          <w:tcPr>
            <w:tcW w:w="102" w:type="dxa"/>
            <w:tcBorders/>
            <w:shd w:fill="CCDEF1" w:val="clear"/>
            <w:vAlign w:val="center"/>
          </w:tcPr>
          <w:p>
            <w:pPr>
              <w:pStyle w:val="TableContents"/>
              <w:spacing w:before="0" w:after="283"/>
              <w:rPr/>
            </w:pPr>
            <w:r>
              <w:rPr/>
              <w:t> </w:t>
            </w:r>
          </w:p>
        </w:tc>
        <w:tc>
          <w:tcPr>
            <w:tcW w:w="956" w:type="dxa"/>
            <w:tcBorders/>
            <w:shd w:fill="CCDEF1" w:val="clear"/>
            <w:vAlign w:val="center"/>
          </w:tcPr>
          <w:p>
            <w:pPr>
              <w:pStyle w:val="TableContents"/>
              <w:spacing w:before="0" w:after="283"/>
              <w:jc w:val="right"/>
              <w:rPr/>
            </w:pPr>
            <w:r>
              <w:rPr/>
              <w:t>(18.1%)</w:t>
            </w:r>
          </w:p>
        </w:tc>
        <w:tc>
          <w:tcPr>
            <w:tcW w:w="75" w:type="dxa"/>
            <w:tcBorders/>
            <w:shd w:fill="CCDEF1" w:val="clear"/>
            <w:vAlign w:val="center"/>
          </w:tcPr>
          <w:p>
            <w:pPr>
              <w:pStyle w:val="TableContents"/>
              <w:spacing w:before="0" w:after="283"/>
              <w:rPr/>
            </w:pPr>
            <w:r>
              <w:rPr/>
              <w:t> </w:t>
            </w:r>
          </w:p>
        </w:tc>
      </w:tr>
      <w:tr>
        <w:trPr/>
        <w:tc>
          <w:tcPr>
            <w:tcW w:w="875" w:type="dxa"/>
            <w:tcBorders/>
            <w:shd w:fill="auto" w:val="clear"/>
            <w:vAlign w:val="center"/>
          </w:tcPr>
          <w:p>
            <w:pPr>
              <w:pStyle w:val="TableContents"/>
              <w:spacing w:before="0" w:after="283"/>
              <w:rPr>
                <w:sz w:val="4"/>
                <w:szCs w:val="4"/>
              </w:rPr>
            </w:pPr>
            <w:r>
              <w:rPr>
                <w:sz w:val="4"/>
                <w:szCs w:val="4"/>
              </w:rPr>
            </w:r>
          </w:p>
        </w:tc>
        <w:tc>
          <w:tcPr>
            <w:tcW w:w="1070" w:type="dxa"/>
            <w:gridSpan w:val="4"/>
            <w:tcBorders/>
            <w:shd w:fill="auto" w:val="clear"/>
            <w:vAlign w:val="center"/>
          </w:tcPr>
          <w:p>
            <w:pPr>
              <w:pStyle w:val="TableContents"/>
              <w:spacing w:before="0" w:after="283"/>
              <w:rPr>
                <w:sz w:val="4"/>
                <w:szCs w:val="4"/>
              </w:rPr>
            </w:pPr>
            <w:r>
              <w:rPr>
                <w:sz w:val="4"/>
                <w:szCs w:val="4"/>
              </w:rPr>
            </w:r>
          </w:p>
        </w:tc>
        <w:tc>
          <w:tcPr>
            <w:tcW w:w="1069" w:type="dxa"/>
            <w:gridSpan w:val="4"/>
            <w:tcBorders/>
            <w:shd w:fill="auto" w:val="clear"/>
            <w:vAlign w:val="center"/>
          </w:tcPr>
          <w:p>
            <w:pPr>
              <w:pStyle w:val="TableContents"/>
              <w:spacing w:before="0" w:after="283"/>
              <w:rPr>
                <w:sz w:val="4"/>
                <w:szCs w:val="4"/>
              </w:rPr>
            </w:pPr>
            <w:r>
              <w:rPr>
                <w:sz w:val="4"/>
                <w:szCs w:val="4"/>
              </w:rPr>
            </w:r>
          </w:p>
        </w:tc>
        <w:tc>
          <w:tcPr>
            <w:tcW w:w="1278" w:type="dxa"/>
            <w:gridSpan w:val="4"/>
            <w:tcBorders/>
            <w:shd w:fill="auto" w:val="clear"/>
            <w:vAlign w:val="center"/>
          </w:tcPr>
          <w:p>
            <w:pPr>
              <w:pStyle w:val="TableContents"/>
              <w:spacing w:before="0" w:after="283"/>
              <w:rPr>
                <w:sz w:val="4"/>
                <w:szCs w:val="4"/>
              </w:rPr>
            </w:pPr>
            <w:r>
              <w:rPr>
                <w:sz w:val="4"/>
                <w:szCs w:val="4"/>
              </w:rPr>
            </w:r>
          </w:p>
        </w:tc>
        <w:tc>
          <w:tcPr>
            <w:tcW w:w="1337" w:type="dxa"/>
            <w:gridSpan w:val="4"/>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before="0" w:after="0"/>
              <w:rPr/>
            </w:pPr>
            <w:r>
              <w:rPr/>
              <w:t> </w:t>
            </w:r>
            <w:r>
              <w:rPr>
                <w:rFonts w:ascii="ARIAL" w:hAnsi="ARIAL"/>
                <w:sz w:val="19"/>
              </w:rPr>
              <w:t>3-Years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right"/>
              <w:rPr>
                <w:b/>
              </w:rPr>
            </w:pPr>
            <w:r>
              <w:rPr>
                <w:b/>
              </w:rPr>
              <w:t>7.4%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7.7%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4" w:type="dxa"/>
            <w:tcBorders/>
            <w:shd w:fill="auto" w:val="clear"/>
            <w:vAlign w:val="center"/>
          </w:tcPr>
          <w:p>
            <w:pPr>
              <w:pStyle w:val="TableContents"/>
              <w:spacing w:before="0" w:after="283"/>
              <w:jc w:val="right"/>
              <w:rPr>
                <w:b/>
              </w:rPr>
            </w:pPr>
            <w:r>
              <w:rPr>
                <w:b/>
              </w:rPr>
              <w:t>24.0% </w:t>
            </w:r>
          </w:p>
        </w:tc>
        <w:tc>
          <w:tcPr>
            <w:tcW w:w="102"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24.8% </w:t>
            </w:r>
          </w:p>
        </w:tc>
        <w:tc>
          <w:tcPr>
            <w:tcW w:w="75" w:type="dxa"/>
            <w:tcBorders/>
            <w:shd w:fill="auto" w:val="clear"/>
            <w:vAlign w:val="center"/>
          </w:tcPr>
          <w:p>
            <w:pPr>
              <w:pStyle w:val="TableContents"/>
              <w:spacing w:before="0" w:after="283"/>
              <w:rPr/>
            </w:pPr>
            <w:r>
              <w:rPr/>
              <w:t> </w:t>
            </w:r>
          </w:p>
        </w:tc>
      </w:tr>
      <w:tr>
        <w:trPr/>
        <w:tc>
          <w:tcPr>
            <w:tcW w:w="875" w:type="dxa"/>
            <w:tcBorders/>
            <w:shd w:fill="CCDEF1" w:val="clear"/>
            <w:vAlign w:val="center"/>
          </w:tcPr>
          <w:p>
            <w:pPr>
              <w:pStyle w:val="TableContents"/>
              <w:spacing w:before="0" w:after="283"/>
              <w:rPr>
                <w:sz w:val="4"/>
                <w:szCs w:val="4"/>
              </w:rPr>
            </w:pPr>
            <w:r>
              <w:rPr>
                <w:sz w:val="4"/>
                <w:szCs w:val="4"/>
              </w:rPr>
            </w:r>
          </w:p>
        </w:tc>
        <w:tc>
          <w:tcPr>
            <w:tcW w:w="1070" w:type="dxa"/>
            <w:gridSpan w:val="4"/>
            <w:tcBorders/>
            <w:shd w:fill="CCDEF1" w:val="clear"/>
            <w:vAlign w:val="center"/>
          </w:tcPr>
          <w:p>
            <w:pPr>
              <w:pStyle w:val="TableContents"/>
              <w:spacing w:before="0" w:after="283"/>
              <w:rPr>
                <w:sz w:val="4"/>
                <w:szCs w:val="4"/>
              </w:rPr>
            </w:pPr>
            <w:r>
              <w:rPr>
                <w:sz w:val="4"/>
                <w:szCs w:val="4"/>
              </w:rPr>
            </w:r>
          </w:p>
        </w:tc>
        <w:tc>
          <w:tcPr>
            <w:tcW w:w="1069" w:type="dxa"/>
            <w:gridSpan w:val="4"/>
            <w:tcBorders/>
            <w:shd w:fill="CCDEF1" w:val="clear"/>
            <w:vAlign w:val="center"/>
          </w:tcPr>
          <w:p>
            <w:pPr>
              <w:pStyle w:val="TableContents"/>
              <w:spacing w:before="0" w:after="283"/>
              <w:rPr>
                <w:sz w:val="4"/>
                <w:szCs w:val="4"/>
              </w:rPr>
            </w:pPr>
            <w:r>
              <w:rPr>
                <w:sz w:val="4"/>
                <w:szCs w:val="4"/>
              </w:rPr>
            </w:r>
          </w:p>
        </w:tc>
        <w:tc>
          <w:tcPr>
            <w:tcW w:w="1278" w:type="dxa"/>
            <w:gridSpan w:val="4"/>
            <w:tcBorders/>
            <w:shd w:fill="CCDEF1" w:val="clear"/>
            <w:vAlign w:val="center"/>
          </w:tcPr>
          <w:p>
            <w:pPr>
              <w:pStyle w:val="TableContents"/>
              <w:spacing w:before="0" w:after="283"/>
              <w:rPr>
                <w:sz w:val="4"/>
                <w:szCs w:val="4"/>
              </w:rPr>
            </w:pPr>
            <w:r>
              <w:rPr>
                <w:sz w:val="4"/>
                <w:szCs w:val="4"/>
              </w:rPr>
            </w:r>
          </w:p>
        </w:tc>
        <w:tc>
          <w:tcPr>
            <w:tcW w:w="1337" w:type="dxa"/>
            <w:gridSpan w:val="4"/>
            <w:tcBorders/>
            <w:shd w:fill="CCDEF1" w:val="clear"/>
            <w:vAlign w:val="center"/>
          </w:tcPr>
          <w:p>
            <w:pPr>
              <w:pStyle w:val="TableContents"/>
              <w:spacing w:before="0" w:after="283"/>
              <w:rPr>
                <w:sz w:val="4"/>
                <w:szCs w:val="4"/>
              </w:rPr>
            </w:pPr>
            <w:r>
              <w:rPr>
                <w:sz w:val="4"/>
                <w:szCs w:val="4"/>
              </w:rPr>
            </w:r>
          </w:p>
        </w:tc>
      </w:tr>
      <w:tr>
        <w:trPr/>
        <w:tc>
          <w:tcPr>
            <w:tcW w:w="875" w:type="dxa"/>
            <w:tcBorders/>
            <w:shd w:fill="CCDEF1" w:val="clear"/>
            <w:vAlign w:val="center"/>
          </w:tcPr>
          <w:p>
            <w:pPr>
              <w:pStyle w:val="TableContents"/>
              <w:spacing w:before="0" w:after="0"/>
              <w:rPr/>
            </w:pPr>
            <w:r>
              <w:rPr/>
              <w:t> </w:t>
            </w:r>
            <w:r>
              <w:rPr>
                <w:rFonts w:ascii="ARIAL" w:hAnsi="ARIAL"/>
                <w:sz w:val="19"/>
              </w:rPr>
              <w:t>5-Years</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830" w:type="dxa"/>
            <w:tcBorders/>
            <w:shd w:fill="CCDEF1" w:val="clear"/>
            <w:vAlign w:val="center"/>
          </w:tcPr>
          <w:p>
            <w:pPr>
              <w:pStyle w:val="TableContents"/>
              <w:spacing w:before="0" w:after="283"/>
              <w:jc w:val="right"/>
              <w:rPr>
                <w:b/>
              </w:rPr>
            </w:pPr>
            <w:r>
              <w:rPr>
                <w:b/>
              </w:rPr>
              <w:t>11.4% </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3" w:type="dxa"/>
            <w:tcBorders/>
            <w:shd w:fill="CCDEF1" w:val="clear"/>
            <w:vAlign w:val="center"/>
          </w:tcPr>
          <w:p>
            <w:pPr>
              <w:pStyle w:val="TableContents"/>
              <w:spacing w:before="0" w:after="283"/>
              <w:rPr/>
            </w:pPr>
            <w:r>
              <w:rPr/>
              <w:t> </w:t>
            </w:r>
          </w:p>
        </w:tc>
        <w:tc>
          <w:tcPr>
            <w:tcW w:w="826" w:type="dxa"/>
            <w:tcBorders/>
            <w:shd w:fill="CCDEF1" w:val="clear"/>
            <w:vAlign w:val="center"/>
          </w:tcPr>
          <w:p>
            <w:pPr>
              <w:pStyle w:val="TableContents"/>
              <w:spacing w:before="0" w:after="283"/>
              <w:jc w:val="right"/>
              <w:rPr/>
            </w:pPr>
            <w:r>
              <w:rPr/>
              <w:t>9.4% </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102" w:type="dxa"/>
            <w:tcBorders/>
            <w:shd w:fill="CCDEF1" w:val="clear"/>
            <w:vAlign w:val="center"/>
          </w:tcPr>
          <w:p>
            <w:pPr>
              <w:pStyle w:val="TableContents"/>
              <w:spacing w:before="0" w:after="283"/>
              <w:rPr/>
            </w:pPr>
            <w:r>
              <w:rPr/>
              <w:t> </w:t>
            </w:r>
          </w:p>
        </w:tc>
        <w:tc>
          <w:tcPr>
            <w:tcW w:w="954" w:type="dxa"/>
            <w:tcBorders/>
            <w:shd w:fill="CCDEF1" w:val="clear"/>
            <w:vAlign w:val="center"/>
          </w:tcPr>
          <w:p>
            <w:pPr>
              <w:pStyle w:val="TableContents"/>
              <w:spacing w:before="0" w:after="283"/>
              <w:jc w:val="right"/>
              <w:rPr>
                <w:b/>
              </w:rPr>
            </w:pPr>
            <w:r>
              <w:rPr>
                <w:b/>
              </w:rPr>
              <w:t>71.6% </w:t>
            </w:r>
          </w:p>
        </w:tc>
        <w:tc>
          <w:tcPr>
            <w:tcW w:w="102" w:type="dxa"/>
            <w:tcBorders/>
            <w:shd w:fill="CCDEF1" w:val="clear"/>
            <w:vAlign w:val="center"/>
          </w:tcPr>
          <w:p>
            <w:pPr>
              <w:pStyle w:val="TableContents"/>
              <w:spacing w:before="0" w:after="283"/>
              <w:rPr/>
            </w:pPr>
            <w:r>
              <w:rPr/>
              <w:t> </w:t>
            </w:r>
          </w:p>
        </w:tc>
        <w:tc>
          <w:tcPr>
            <w:tcW w:w="204" w:type="dxa"/>
            <w:tcBorders/>
            <w:shd w:fill="CCDEF1" w:val="clear"/>
            <w:vAlign w:val="center"/>
          </w:tcPr>
          <w:p>
            <w:pPr>
              <w:pStyle w:val="TableContents"/>
              <w:spacing w:before="0" w:after="283"/>
              <w:rPr/>
            </w:pPr>
            <w:r>
              <w:rPr/>
              <w:t>  </w:t>
            </w:r>
          </w:p>
        </w:tc>
        <w:tc>
          <w:tcPr>
            <w:tcW w:w="102" w:type="dxa"/>
            <w:tcBorders/>
            <w:shd w:fill="CCDEF1" w:val="clear"/>
            <w:vAlign w:val="center"/>
          </w:tcPr>
          <w:p>
            <w:pPr>
              <w:pStyle w:val="TableContents"/>
              <w:spacing w:before="0" w:after="283"/>
              <w:rPr/>
            </w:pPr>
            <w:r>
              <w:rPr/>
              <w:t> </w:t>
            </w:r>
          </w:p>
        </w:tc>
        <w:tc>
          <w:tcPr>
            <w:tcW w:w="956" w:type="dxa"/>
            <w:tcBorders/>
            <w:shd w:fill="CCDEF1" w:val="clear"/>
            <w:vAlign w:val="center"/>
          </w:tcPr>
          <w:p>
            <w:pPr>
              <w:pStyle w:val="TableContents"/>
              <w:spacing w:before="0" w:after="283"/>
              <w:jc w:val="right"/>
              <w:rPr/>
            </w:pPr>
            <w:r>
              <w:rPr/>
              <w:t>56.9% </w:t>
            </w:r>
          </w:p>
        </w:tc>
        <w:tc>
          <w:tcPr>
            <w:tcW w:w="75" w:type="dxa"/>
            <w:tcBorders/>
            <w:shd w:fill="CCDEF1" w:val="clear"/>
            <w:vAlign w:val="center"/>
          </w:tcPr>
          <w:p>
            <w:pPr>
              <w:pStyle w:val="TableContents"/>
              <w:spacing w:before="0" w:after="283"/>
              <w:rPr/>
            </w:pPr>
            <w:r>
              <w:rPr/>
              <w:t> </w:t>
            </w:r>
          </w:p>
        </w:tc>
      </w:tr>
      <w:tr>
        <w:trPr/>
        <w:tc>
          <w:tcPr>
            <w:tcW w:w="875" w:type="dxa"/>
            <w:tcBorders/>
            <w:shd w:fill="auto" w:val="clear"/>
            <w:vAlign w:val="center"/>
          </w:tcPr>
          <w:p>
            <w:pPr>
              <w:pStyle w:val="TableContents"/>
              <w:spacing w:before="0" w:after="283"/>
              <w:rPr>
                <w:sz w:val="4"/>
                <w:szCs w:val="4"/>
              </w:rPr>
            </w:pPr>
            <w:r>
              <w:rPr>
                <w:sz w:val="4"/>
                <w:szCs w:val="4"/>
              </w:rPr>
            </w:r>
          </w:p>
        </w:tc>
        <w:tc>
          <w:tcPr>
            <w:tcW w:w="1070" w:type="dxa"/>
            <w:gridSpan w:val="4"/>
            <w:tcBorders/>
            <w:shd w:fill="auto" w:val="clear"/>
            <w:vAlign w:val="center"/>
          </w:tcPr>
          <w:p>
            <w:pPr>
              <w:pStyle w:val="TableContents"/>
              <w:spacing w:before="0" w:after="283"/>
              <w:rPr>
                <w:sz w:val="4"/>
                <w:szCs w:val="4"/>
              </w:rPr>
            </w:pPr>
            <w:r>
              <w:rPr>
                <w:sz w:val="4"/>
                <w:szCs w:val="4"/>
              </w:rPr>
            </w:r>
          </w:p>
        </w:tc>
        <w:tc>
          <w:tcPr>
            <w:tcW w:w="1069" w:type="dxa"/>
            <w:gridSpan w:val="4"/>
            <w:tcBorders/>
            <w:shd w:fill="auto" w:val="clear"/>
            <w:vAlign w:val="center"/>
          </w:tcPr>
          <w:p>
            <w:pPr>
              <w:pStyle w:val="TableContents"/>
              <w:spacing w:before="0" w:after="283"/>
              <w:rPr>
                <w:sz w:val="4"/>
                <w:szCs w:val="4"/>
              </w:rPr>
            </w:pPr>
            <w:r>
              <w:rPr>
                <w:sz w:val="4"/>
                <w:szCs w:val="4"/>
              </w:rPr>
            </w:r>
          </w:p>
        </w:tc>
        <w:tc>
          <w:tcPr>
            <w:tcW w:w="1278" w:type="dxa"/>
            <w:gridSpan w:val="4"/>
            <w:tcBorders/>
            <w:shd w:fill="auto" w:val="clear"/>
            <w:vAlign w:val="center"/>
          </w:tcPr>
          <w:p>
            <w:pPr>
              <w:pStyle w:val="TableContents"/>
              <w:spacing w:before="0" w:after="283"/>
              <w:rPr>
                <w:sz w:val="4"/>
                <w:szCs w:val="4"/>
              </w:rPr>
            </w:pPr>
            <w:r>
              <w:rPr>
                <w:sz w:val="4"/>
                <w:szCs w:val="4"/>
              </w:rPr>
            </w:r>
          </w:p>
        </w:tc>
        <w:tc>
          <w:tcPr>
            <w:tcW w:w="1337" w:type="dxa"/>
            <w:gridSpan w:val="4"/>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before="0" w:after="0"/>
              <w:rPr/>
            </w:pPr>
            <w:r>
              <w:rPr/>
              <w:t> </w:t>
            </w:r>
            <w:r>
              <w:rPr>
                <w:rFonts w:ascii="ARIAL" w:hAnsi="ARIAL"/>
                <w:sz w:val="19"/>
              </w:rPr>
              <w:t>10-Years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right"/>
              <w:rPr>
                <w:b/>
              </w:rPr>
            </w:pPr>
            <w:r>
              <w:rPr>
                <w:b/>
              </w:rPr>
              <w:t>15.2%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12.6%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4" w:type="dxa"/>
            <w:tcBorders/>
            <w:shd w:fill="auto" w:val="clear"/>
            <w:vAlign w:val="center"/>
          </w:tcPr>
          <w:p>
            <w:pPr>
              <w:pStyle w:val="TableContents"/>
              <w:spacing w:before="0" w:after="283"/>
              <w:jc w:val="right"/>
              <w:rPr>
                <w:b/>
              </w:rPr>
            </w:pPr>
            <w:r>
              <w:rPr>
                <w:b/>
              </w:rPr>
              <w:t>310.3% </w:t>
            </w:r>
          </w:p>
        </w:tc>
        <w:tc>
          <w:tcPr>
            <w:tcW w:w="102"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226.5% </w:t>
            </w:r>
          </w:p>
        </w:tc>
        <w:tc>
          <w:tcPr>
            <w:tcW w:w="75" w:type="dxa"/>
            <w:tcBorders/>
            <w:shd w:fill="auto" w:val="clear"/>
            <w:vAlign w:val="center"/>
          </w:tcPr>
          <w:p>
            <w:pPr>
              <w:pStyle w:val="TableContents"/>
              <w:spacing w:before="0" w:after="283"/>
              <w:rPr/>
            </w:pPr>
            <w:r>
              <w:rPr/>
              <w:t> </w:t>
            </w:r>
          </w:p>
        </w:tc>
      </w:tr>
      <w:tr>
        <w:trPr/>
        <w:tc>
          <w:tcPr>
            <w:tcW w:w="875" w:type="dxa"/>
            <w:tcBorders/>
            <w:shd w:fill="CCDEF1" w:val="clear"/>
            <w:vAlign w:val="center"/>
          </w:tcPr>
          <w:p>
            <w:pPr>
              <w:pStyle w:val="TableContents"/>
              <w:spacing w:before="0" w:after="283"/>
              <w:rPr>
                <w:sz w:val="4"/>
                <w:szCs w:val="4"/>
              </w:rPr>
            </w:pPr>
            <w:r>
              <w:rPr>
                <w:sz w:val="4"/>
                <w:szCs w:val="4"/>
              </w:rPr>
            </w:r>
          </w:p>
        </w:tc>
        <w:tc>
          <w:tcPr>
            <w:tcW w:w="1070" w:type="dxa"/>
            <w:gridSpan w:val="4"/>
            <w:tcBorders/>
            <w:shd w:fill="CCDEF1" w:val="clear"/>
            <w:vAlign w:val="center"/>
          </w:tcPr>
          <w:p>
            <w:pPr>
              <w:pStyle w:val="TableContents"/>
              <w:spacing w:before="0" w:after="283"/>
              <w:rPr>
                <w:sz w:val="4"/>
                <w:szCs w:val="4"/>
              </w:rPr>
            </w:pPr>
            <w:r>
              <w:rPr>
                <w:sz w:val="4"/>
                <w:szCs w:val="4"/>
              </w:rPr>
            </w:r>
          </w:p>
        </w:tc>
        <w:tc>
          <w:tcPr>
            <w:tcW w:w="1069" w:type="dxa"/>
            <w:gridSpan w:val="4"/>
            <w:tcBorders/>
            <w:shd w:fill="CCDEF1" w:val="clear"/>
            <w:vAlign w:val="center"/>
          </w:tcPr>
          <w:p>
            <w:pPr>
              <w:pStyle w:val="TableContents"/>
              <w:spacing w:before="0" w:after="283"/>
              <w:rPr>
                <w:sz w:val="4"/>
                <w:szCs w:val="4"/>
              </w:rPr>
            </w:pPr>
            <w:r>
              <w:rPr>
                <w:sz w:val="4"/>
                <w:szCs w:val="4"/>
              </w:rPr>
            </w:r>
          </w:p>
        </w:tc>
        <w:tc>
          <w:tcPr>
            <w:tcW w:w="1278" w:type="dxa"/>
            <w:gridSpan w:val="4"/>
            <w:tcBorders/>
            <w:shd w:fill="CCDEF1" w:val="clear"/>
            <w:vAlign w:val="center"/>
          </w:tcPr>
          <w:p>
            <w:pPr>
              <w:pStyle w:val="TableContents"/>
              <w:spacing w:before="0" w:after="283"/>
              <w:rPr>
                <w:sz w:val="4"/>
                <w:szCs w:val="4"/>
              </w:rPr>
            </w:pPr>
            <w:r>
              <w:rPr>
                <w:sz w:val="4"/>
                <w:szCs w:val="4"/>
              </w:rPr>
            </w:r>
          </w:p>
        </w:tc>
        <w:tc>
          <w:tcPr>
            <w:tcW w:w="1337" w:type="dxa"/>
            <w:gridSpan w:val="4"/>
            <w:tcBorders/>
            <w:shd w:fill="CCDEF1" w:val="clear"/>
            <w:vAlign w:val="center"/>
          </w:tcPr>
          <w:p>
            <w:pPr>
              <w:pStyle w:val="TableContents"/>
              <w:spacing w:before="0" w:after="283"/>
              <w:rPr>
                <w:sz w:val="4"/>
                <w:szCs w:val="4"/>
              </w:rPr>
            </w:pPr>
            <w:r>
              <w:rPr>
                <w:sz w:val="4"/>
                <w:szCs w:val="4"/>
              </w:rPr>
            </w:r>
          </w:p>
        </w:tc>
      </w:tr>
      <w:tr>
        <w:trPr/>
        <w:tc>
          <w:tcPr>
            <w:tcW w:w="875" w:type="dxa"/>
            <w:tcBorders/>
            <w:shd w:fill="CCDEF1" w:val="clear"/>
            <w:vAlign w:val="center"/>
          </w:tcPr>
          <w:p>
            <w:pPr>
              <w:pStyle w:val="TableContents"/>
              <w:spacing w:before="0" w:after="0"/>
              <w:rPr/>
            </w:pPr>
            <w:r>
              <w:rPr/>
              <w:t> </w:t>
            </w:r>
            <w:r>
              <w:rPr>
                <w:rFonts w:ascii="ARIAL" w:hAnsi="ARIAL"/>
                <w:sz w:val="19"/>
              </w:rPr>
              <w:t>15-Years</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830" w:type="dxa"/>
            <w:tcBorders/>
            <w:shd w:fill="CCDEF1" w:val="clear"/>
            <w:vAlign w:val="center"/>
          </w:tcPr>
          <w:p>
            <w:pPr>
              <w:pStyle w:val="TableContents"/>
              <w:spacing w:before="0" w:after="283"/>
              <w:jc w:val="right"/>
              <w:rPr>
                <w:b/>
              </w:rPr>
            </w:pPr>
            <w:r>
              <w:rPr>
                <w:b/>
              </w:rPr>
              <w:t>14.4% </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3" w:type="dxa"/>
            <w:tcBorders/>
            <w:shd w:fill="CCDEF1" w:val="clear"/>
            <w:vAlign w:val="center"/>
          </w:tcPr>
          <w:p>
            <w:pPr>
              <w:pStyle w:val="TableContents"/>
              <w:spacing w:before="0" w:after="283"/>
              <w:rPr/>
            </w:pPr>
            <w:r>
              <w:rPr/>
              <w:t> </w:t>
            </w:r>
          </w:p>
        </w:tc>
        <w:tc>
          <w:tcPr>
            <w:tcW w:w="826" w:type="dxa"/>
            <w:tcBorders/>
            <w:shd w:fill="CCDEF1" w:val="clear"/>
            <w:vAlign w:val="center"/>
          </w:tcPr>
          <w:p>
            <w:pPr>
              <w:pStyle w:val="TableContents"/>
              <w:spacing w:before="0" w:after="283"/>
              <w:jc w:val="right"/>
              <w:rPr/>
            </w:pPr>
            <w:r>
              <w:rPr/>
              <w:t>8.8% </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102" w:type="dxa"/>
            <w:tcBorders/>
            <w:shd w:fill="CCDEF1" w:val="clear"/>
            <w:vAlign w:val="center"/>
          </w:tcPr>
          <w:p>
            <w:pPr>
              <w:pStyle w:val="TableContents"/>
              <w:spacing w:before="0" w:after="283"/>
              <w:rPr/>
            </w:pPr>
            <w:r>
              <w:rPr/>
              <w:t> </w:t>
            </w:r>
          </w:p>
        </w:tc>
        <w:tc>
          <w:tcPr>
            <w:tcW w:w="954" w:type="dxa"/>
            <w:tcBorders/>
            <w:shd w:fill="CCDEF1" w:val="clear"/>
            <w:vAlign w:val="center"/>
          </w:tcPr>
          <w:p>
            <w:pPr>
              <w:pStyle w:val="TableContents"/>
              <w:spacing w:before="0" w:after="283"/>
              <w:jc w:val="right"/>
              <w:rPr>
                <w:b/>
              </w:rPr>
            </w:pPr>
            <w:r>
              <w:rPr>
                <w:b/>
              </w:rPr>
              <w:t>655.3% </w:t>
            </w:r>
          </w:p>
        </w:tc>
        <w:tc>
          <w:tcPr>
            <w:tcW w:w="102" w:type="dxa"/>
            <w:tcBorders/>
            <w:shd w:fill="CCDEF1" w:val="clear"/>
            <w:vAlign w:val="center"/>
          </w:tcPr>
          <w:p>
            <w:pPr>
              <w:pStyle w:val="TableContents"/>
              <w:spacing w:before="0" w:after="283"/>
              <w:rPr/>
            </w:pPr>
            <w:r>
              <w:rPr/>
              <w:t> </w:t>
            </w:r>
          </w:p>
        </w:tc>
        <w:tc>
          <w:tcPr>
            <w:tcW w:w="204" w:type="dxa"/>
            <w:tcBorders/>
            <w:shd w:fill="CCDEF1" w:val="clear"/>
            <w:vAlign w:val="center"/>
          </w:tcPr>
          <w:p>
            <w:pPr>
              <w:pStyle w:val="TableContents"/>
              <w:spacing w:before="0" w:after="283"/>
              <w:rPr/>
            </w:pPr>
            <w:r>
              <w:rPr/>
              <w:t>  </w:t>
            </w:r>
          </w:p>
        </w:tc>
        <w:tc>
          <w:tcPr>
            <w:tcW w:w="102" w:type="dxa"/>
            <w:tcBorders/>
            <w:shd w:fill="CCDEF1" w:val="clear"/>
            <w:vAlign w:val="center"/>
          </w:tcPr>
          <w:p>
            <w:pPr>
              <w:pStyle w:val="TableContents"/>
              <w:spacing w:before="0" w:after="283"/>
              <w:rPr/>
            </w:pPr>
            <w:r>
              <w:rPr/>
              <w:t> </w:t>
            </w:r>
          </w:p>
        </w:tc>
        <w:tc>
          <w:tcPr>
            <w:tcW w:w="956" w:type="dxa"/>
            <w:tcBorders/>
            <w:shd w:fill="CCDEF1" w:val="clear"/>
            <w:vAlign w:val="center"/>
          </w:tcPr>
          <w:p>
            <w:pPr>
              <w:pStyle w:val="TableContents"/>
              <w:spacing w:before="0" w:after="283"/>
              <w:jc w:val="right"/>
              <w:rPr/>
            </w:pPr>
            <w:r>
              <w:rPr/>
              <w:t>254.6% </w:t>
            </w:r>
          </w:p>
        </w:tc>
        <w:tc>
          <w:tcPr>
            <w:tcW w:w="75" w:type="dxa"/>
            <w:tcBorders/>
            <w:shd w:fill="CCDEF1" w:val="clear"/>
            <w:vAlign w:val="center"/>
          </w:tcPr>
          <w:p>
            <w:pPr>
              <w:pStyle w:val="TableContents"/>
              <w:spacing w:before="0" w:after="283"/>
              <w:rPr/>
            </w:pPr>
            <w:r>
              <w:rPr/>
              <w:t> </w:t>
            </w:r>
          </w:p>
        </w:tc>
      </w:tr>
    </w:tbl>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22</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8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6" descr=""/>
                          <pic:cNvPicPr>
                            <a:picLocks noChangeAspect="1" noChangeArrowheads="1"/>
                          </pic:cNvPicPr>
                        </pic:nvPicPr>
                        <pic:blipFill>
                          <a:blip r:embed="rId67"/>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sz w:val="19"/>
        </w:rPr>
      </w:pPr>
      <w:r>
        <w:rPr>
          <w:rFonts w:ascii="ARIAL" w:hAnsi="ARIAL"/>
          <w:sz w:val="19"/>
        </w:rPr>
        <w:t xml:space="preserve">As outlined in the graph below, $100 invested in Roper at the end of 2001 would have yielded an investor $1,988 as of December 31, 2022, compared to only $505 for the same investment in the S&amp;P 500. </w:t>
      </w:r>
    </w:p>
    <w:p>
      <w:pPr>
        <w:pStyle w:val="TextBody"/>
        <w:spacing w:before="0" w:after="0"/>
        <w:jc w:val="left"/>
        <w:rPr/>
      </w:pPr>
      <w:r>
        <w:rPr/>
        <w:t> </w:t>
      </w:r>
    </w:p>
    <w:p>
      <w:pPr>
        <w:pStyle w:val="TextBody"/>
        <w:spacing w:before="0" w:after="0"/>
        <w:jc w:val="center"/>
        <w:rPr/>
      </w:pPr>
      <w:r>
        <w:rPr/>
        <w:drawing>
          <wp:inline distT="0" distB="0" distL="0" distR="0">
            <wp:extent cx="546100" cy="386080"/>
            <wp:effectExtent l="0" t="0" r="0" b="0"/>
            <wp:docPr id="8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7" descr=""/>
                    <pic:cNvPicPr>
                      <a:picLocks noChangeAspect="1" noChangeArrowheads="1"/>
                    </pic:cNvPicPr>
                  </pic:nvPicPr>
                  <pic:blipFill>
                    <a:blip r:embed="rId68"/>
                    <a:stretch>
                      <a:fillRect/>
                    </a:stretch>
                  </pic:blipFill>
                  <pic:spPr bwMode="auto">
                    <a:xfrm>
                      <a:off x="0" y="0"/>
                      <a:ext cx="546100" cy="386080"/>
                    </a:xfrm>
                    <a:prstGeom prst="rect">
                      <a:avLst/>
                    </a:prstGeom>
                  </pic:spPr>
                </pic:pic>
              </a:graphicData>
            </a:graphic>
          </wp:inline>
        </w:drawing>
      </w:r>
      <w:r>
        <w:rPr/>
        <w:t xml:space="preserve"> </w:t>
      </w:r>
    </w:p>
    <w:p>
      <w:pPr>
        <w:pStyle w:val="TextBody"/>
        <w:spacing w:before="0" w:after="0"/>
        <w:jc w:val="left"/>
        <w:rPr/>
      </w:pPr>
      <w:r>
        <w:rPr/>
        <w:t> </w:t>
      </w:r>
    </w:p>
    <w:tbl>
      <w:tblPr>
        <w:tblW w:w="4210" w:type="dxa"/>
        <w:jc w:val="left"/>
        <w:tblInd w:w="0" w:type="dxa"/>
        <w:tblCellMar>
          <w:top w:w="0" w:type="dxa"/>
          <w:left w:w="0" w:type="dxa"/>
          <w:bottom w:w="0" w:type="dxa"/>
          <w:right w:w="0" w:type="dxa"/>
        </w:tblCellMar>
      </w:tblPr>
      <w:tblGrid>
        <w:gridCol w:w="110"/>
        <w:gridCol w:w="4100"/>
      </w:tblGrid>
      <w:tr>
        <w:trPr/>
        <w:tc>
          <w:tcPr>
            <w:tcW w:w="110" w:type="dxa"/>
            <w:tcBorders/>
            <w:shd w:fill="auto" w:val="clear"/>
            <w:vAlign w:val="center"/>
          </w:tcPr>
          <w:p>
            <w:pPr>
              <w:pStyle w:val="TableContents"/>
              <w:spacing w:before="0" w:after="283"/>
              <w:jc w:val="left"/>
              <w:rPr/>
            </w:pPr>
            <w:r>
              <w:rPr/>
              <w:t>¹</w:t>
            </w:r>
          </w:p>
        </w:tc>
        <w:tc>
          <w:tcPr>
            <w:tcW w:w="4100" w:type="dxa"/>
            <w:tcBorders/>
            <w:shd w:fill="auto" w:val="clear"/>
            <w:vAlign w:val="center"/>
          </w:tcPr>
          <w:p>
            <w:pPr>
              <w:pStyle w:val="TableContents"/>
              <w:spacing w:before="0" w:after="0"/>
              <w:jc w:val="left"/>
              <w:rPr>
                <w:rFonts w:ascii="ARIAL" w:hAnsi="ARIAL"/>
                <w:sz w:val="16"/>
              </w:rPr>
            </w:pPr>
            <w:r>
              <w:rPr>
                <w:rFonts w:ascii="ARIAL" w:hAnsi="ARIAL"/>
                <w:sz w:val="16"/>
              </w:rPr>
              <w:t xml:space="preserve">All periods ending December 31 of the referenced year. </w:t>
            </w:r>
          </w:p>
        </w:tc>
      </w:tr>
    </w:tbl>
    <w:p>
      <w:pPr>
        <w:pStyle w:val="TextBody"/>
        <w:spacing w:before="240" w:after="0"/>
        <w:jc w:val="left"/>
        <w:rPr>
          <w:rFonts w:ascii="ARIAL" w:hAnsi="ARIAL"/>
          <w:b/>
          <w:color w:val="005CB9"/>
          <w:sz w:val="20"/>
        </w:rPr>
      </w:pPr>
      <w:r>
        <w:rPr>
          <w:rFonts w:ascii="ARIAL" w:hAnsi="ARIAL"/>
          <w:b/>
          <w:color w:val="005CB9"/>
          <w:sz w:val="20"/>
        </w:rPr>
        <w:t xml:space="preserve">Focus on Cash Generation </w:t>
      </w:r>
    </w:p>
    <w:p>
      <w:pPr>
        <w:pStyle w:val="TextBody"/>
        <w:spacing w:before="120" w:after="0"/>
        <w:jc w:val="left"/>
        <w:rPr>
          <w:rFonts w:ascii="ARIAL" w:hAnsi="ARIAL"/>
          <w:sz w:val="19"/>
        </w:rPr>
      </w:pPr>
      <w:r>
        <w:rPr>
          <w:rFonts w:ascii="ARIAL" w:hAnsi="ARIAL"/>
          <w:sz w:val="19"/>
        </w:rPr>
        <w:t xml:space="preserve">We believe that cash generation is the best measure of our performance and far superior to other traditional financial metrics. Through a combination of strategic and operational excellence and disciplined capital deployment, Roper has historically delivered meaningful year-over-year increases in free cash flow. After servicing debt obligations and returning capital to our shareholders through dividends, excess cash flow is deployed to acquire high-quality companies with significant cash generation potential. We then provide these companies with oversight, guidance, and incentive systems to help drive profitable growth in our unique operating structure. This strategy has proven to be successful over the long-term, generating a compound annual shareholder return of 14.4% over the past 15 years. </w: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8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8" descr=""/>
                          <pic:cNvPicPr>
                            <a:picLocks noChangeAspect="1" noChangeArrowheads="1"/>
                          </pic:cNvPicPr>
                        </pic:nvPicPr>
                        <pic:blipFill>
                          <a:blip r:embed="rId69"/>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23</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color w:val="005CB9"/>
          <w:sz w:val="20"/>
        </w:rPr>
      </w:pPr>
      <w:r>
        <w:rPr>
          <w:rFonts w:ascii="ARIAL" w:hAnsi="ARIAL"/>
          <w:b/>
          <w:color w:val="005CB9"/>
          <w:sz w:val="20"/>
        </w:rPr>
        <w:t xml:space="preserve">Strong 2022 Performance for Roper </w:t>
      </w:r>
    </w:p>
    <w:p>
      <w:pPr>
        <w:pStyle w:val="TextBody"/>
        <w:spacing w:before="120" w:after="0"/>
        <w:jc w:val="left"/>
        <w:rPr>
          <w:rFonts w:ascii="ARIAL" w:hAnsi="ARIAL"/>
          <w:sz w:val="19"/>
        </w:rPr>
      </w:pPr>
      <w:r>
        <w:rPr>
          <w:rFonts w:ascii="ARIAL" w:hAnsi="ARIAL"/>
          <w:sz w:val="19"/>
        </w:rPr>
        <w:t xml:space="preserve">Despite a challenging macro-economic environment, Roper experienced another excellent year highlighted by strong operational and strategic execution. Our strategic focus on asset-light, diversified technology businesses and our ability to generate and compound cash flow delivered another strong year of performance.(1)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3110230" cy="2646680"/>
                <wp:effectExtent l="0" t="0" r="0" b="0"/>
                <wp:wrapSquare wrapText="largest"/>
                <wp:docPr id="88" name="Frame19"/>
                <a:graphic xmlns:a="http://schemas.openxmlformats.org/drawingml/2006/main">
                  <a:graphicData uri="http://schemas.microsoft.com/office/word/2010/wordprocessingShape">
                    <wps:wsp>
                      <wps:cNvSpPr txBox="1"/>
                      <wps:spPr>
                        <a:xfrm>
                          <a:off x="0" y="0"/>
                          <a:ext cx="3110230" cy="2646680"/>
                        </a:xfrm>
                        <a:prstGeom prst="rect"/>
                      </wps:spPr>
                      <wps:txbx>
                        <w:txbxContent>
                          <w:tbl>
                            <w:tblPr>
                              <w:tblW w:w="8905" w:type="dxa"/>
                              <w:jc w:val="left"/>
                              <w:tblInd w:w="0" w:type="dxa"/>
                              <w:tblCellMar>
                                <w:top w:w="0" w:type="dxa"/>
                                <w:left w:w="0" w:type="dxa"/>
                                <w:bottom w:w="0" w:type="dxa"/>
                                <w:right w:w="0" w:type="dxa"/>
                              </w:tblCellMar>
                            </w:tblPr>
                            <w:tblGrid>
                              <w:gridCol w:w="125"/>
                              <w:gridCol w:w="60"/>
                              <w:gridCol w:w="87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20" w:type="dxa"/>
                                  <w:tcBorders/>
                                  <w:shd w:fill="auto" w:val="clear"/>
                                  <w:vAlign w:val="center"/>
                                </w:tcPr>
                                <w:p>
                                  <w:pPr>
                                    <w:pStyle w:val="TableContents"/>
                                    <w:spacing w:before="0" w:after="283"/>
                                    <w:jc w:val="left"/>
                                    <w:rPr/>
                                  </w:pPr>
                                  <w:r>
                                    <w:rPr/>
                                    <w:t xml:space="preserve">Annual shareholder return of negative 11.6% compared to negative 18.1% for the S&amp;P 500 </w:t>
                                  </w:r>
                                </w:p>
                              </w:tc>
                            </w:tr>
                          </w:tbl>
                          <w:p>
                            <w:pPr>
                              <w:pStyle w:val="TextBody"/>
                              <w:spacing w:before="0" w:after="0"/>
                              <w:rPr/>
                            </w:pPr>
                            <w:r>
                              <w:rPr/>
                              <w:t> </w:t>
                            </w:r>
                          </w:p>
                          <w:tbl>
                            <w:tblPr>
                              <w:tblW w:w="7435" w:type="dxa"/>
                              <w:jc w:val="left"/>
                              <w:tblInd w:w="0" w:type="dxa"/>
                              <w:tblCellMar>
                                <w:top w:w="0" w:type="dxa"/>
                                <w:left w:w="0" w:type="dxa"/>
                                <w:bottom w:w="0" w:type="dxa"/>
                                <w:right w:w="0" w:type="dxa"/>
                              </w:tblCellMar>
                            </w:tblPr>
                            <w:tblGrid>
                              <w:gridCol w:w="125"/>
                              <w:gridCol w:w="60"/>
                              <w:gridCol w:w="725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50" w:type="dxa"/>
                                  <w:tcBorders/>
                                  <w:shd w:fill="auto" w:val="clear"/>
                                  <w:vAlign w:val="center"/>
                                </w:tcPr>
                                <w:p>
                                  <w:pPr>
                                    <w:pStyle w:val="TableContents"/>
                                    <w:spacing w:before="0" w:after="283"/>
                                    <w:jc w:val="left"/>
                                    <w:rPr/>
                                  </w:pPr>
                                  <w:r>
                                    <w:rPr/>
                                    <w:t xml:space="preserve">GAAP revenue increased 11% to $5.37 billion with organic revenue up 9%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Adjusted EBITDA increased 12% to $2.17 billion while adjusted EBITDA margin improved 20 basis points to 40.4% </w:t>
                                  </w:r>
                                </w:p>
                              </w:tc>
                            </w:tr>
                          </w:tbl>
                          <w:p>
                            <w:pPr>
                              <w:pStyle w:val="TextBody"/>
                              <w:spacing w:before="0" w:after="0"/>
                              <w:rPr/>
                            </w:pPr>
                            <w:r>
                              <w:rPr/>
                              <w:t> </w:t>
                            </w:r>
                          </w:p>
                          <w:tbl>
                            <w:tblPr>
                              <w:tblW w:w="9085" w:type="dxa"/>
                              <w:jc w:val="left"/>
                              <w:tblInd w:w="0" w:type="dxa"/>
                              <w:tblCellMar>
                                <w:top w:w="0" w:type="dxa"/>
                                <w:left w:w="0" w:type="dxa"/>
                                <w:bottom w:w="0" w:type="dxa"/>
                                <w:right w:w="0" w:type="dxa"/>
                              </w:tblCellMar>
                            </w:tblPr>
                            <w:tblGrid>
                              <w:gridCol w:w="125"/>
                              <w:gridCol w:w="60"/>
                              <w:gridCol w:w="890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00" w:type="dxa"/>
                                  <w:tcBorders/>
                                  <w:shd w:fill="auto" w:val="clear"/>
                                  <w:vAlign w:val="center"/>
                                </w:tcPr>
                                <w:p>
                                  <w:pPr>
                                    <w:pStyle w:val="TableContents"/>
                                    <w:spacing w:before="0" w:after="283"/>
                                    <w:jc w:val="left"/>
                                    <w:rPr/>
                                  </w:pPr>
                                  <w:r>
                                    <w:rPr/>
                                    <w:t xml:space="preserve">Adjusted operating cash flow was $1.56 billion and adjusted free cash flow was $1.49 billion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8.4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8905" w:type="dxa"/>
                        <w:jc w:val="left"/>
                        <w:tblInd w:w="0" w:type="dxa"/>
                        <w:tblCellMar>
                          <w:top w:w="0" w:type="dxa"/>
                          <w:left w:w="0" w:type="dxa"/>
                          <w:bottom w:w="0" w:type="dxa"/>
                          <w:right w:w="0" w:type="dxa"/>
                        </w:tblCellMar>
                      </w:tblPr>
                      <w:tblGrid>
                        <w:gridCol w:w="125"/>
                        <w:gridCol w:w="60"/>
                        <w:gridCol w:w="87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20" w:type="dxa"/>
                            <w:tcBorders/>
                            <w:shd w:fill="auto" w:val="clear"/>
                            <w:vAlign w:val="center"/>
                          </w:tcPr>
                          <w:p>
                            <w:pPr>
                              <w:pStyle w:val="TableContents"/>
                              <w:spacing w:before="0" w:after="283"/>
                              <w:jc w:val="left"/>
                              <w:rPr/>
                            </w:pPr>
                            <w:r>
                              <w:rPr/>
                              <w:t xml:space="preserve">Annual shareholder return of negative 11.6% compared to negative 18.1% for the S&amp;P 500 </w:t>
                            </w:r>
                          </w:p>
                        </w:tc>
                      </w:tr>
                    </w:tbl>
                    <w:p>
                      <w:pPr>
                        <w:pStyle w:val="TextBody"/>
                        <w:spacing w:before="0" w:after="0"/>
                        <w:rPr/>
                      </w:pPr>
                      <w:r>
                        <w:rPr/>
                        <w:t> </w:t>
                      </w:r>
                    </w:p>
                    <w:tbl>
                      <w:tblPr>
                        <w:tblW w:w="7435" w:type="dxa"/>
                        <w:jc w:val="left"/>
                        <w:tblInd w:w="0" w:type="dxa"/>
                        <w:tblCellMar>
                          <w:top w:w="0" w:type="dxa"/>
                          <w:left w:w="0" w:type="dxa"/>
                          <w:bottom w:w="0" w:type="dxa"/>
                          <w:right w:w="0" w:type="dxa"/>
                        </w:tblCellMar>
                      </w:tblPr>
                      <w:tblGrid>
                        <w:gridCol w:w="125"/>
                        <w:gridCol w:w="60"/>
                        <w:gridCol w:w="725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50" w:type="dxa"/>
                            <w:tcBorders/>
                            <w:shd w:fill="auto" w:val="clear"/>
                            <w:vAlign w:val="center"/>
                          </w:tcPr>
                          <w:p>
                            <w:pPr>
                              <w:pStyle w:val="TableContents"/>
                              <w:spacing w:before="0" w:after="283"/>
                              <w:jc w:val="left"/>
                              <w:rPr/>
                            </w:pPr>
                            <w:r>
                              <w:rPr/>
                              <w:t xml:space="preserve">GAAP revenue increased 11% to $5.37 billion with organic revenue up 9%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Adjusted EBITDA increased 12% to $2.17 billion while adjusted EBITDA margin improved 20 basis points to 40.4% </w:t>
                            </w:r>
                          </w:p>
                        </w:tc>
                      </w:tr>
                    </w:tbl>
                    <w:p>
                      <w:pPr>
                        <w:pStyle w:val="TextBody"/>
                        <w:spacing w:before="0" w:after="0"/>
                        <w:rPr/>
                      </w:pPr>
                      <w:r>
                        <w:rPr/>
                        <w:t> </w:t>
                      </w:r>
                    </w:p>
                    <w:tbl>
                      <w:tblPr>
                        <w:tblW w:w="9085" w:type="dxa"/>
                        <w:jc w:val="left"/>
                        <w:tblInd w:w="0" w:type="dxa"/>
                        <w:tblCellMar>
                          <w:top w:w="0" w:type="dxa"/>
                          <w:left w:w="0" w:type="dxa"/>
                          <w:bottom w:w="0" w:type="dxa"/>
                          <w:right w:w="0" w:type="dxa"/>
                        </w:tblCellMar>
                      </w:tblPr>
                      <w:tblGrid>
                        <w:gridCol w:w="125"/>
                        <w:gridCol w:w="60"/>
                        <w:gridCol w:w="890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00" w:type="dxa"/>
                            <w:tcBorders/>
                            <w:shd w:fill="auto" w:val="clear"/>
                            <w:vAlign w:val="center"/>
                          </w:tcPr>
                          <w:p>
                            <w:pPr>
                              <w:pStyle w:val="TableContents"/>
                              <w:spacing w:before="0" w:after="283"/>
                              <w:jc w:val="left"/>
                              <w:rPr/>
                            </w:pPr>
                            <w:r>
                              <w:rPr/>
                              <w:t xml:space="preserve">Adjusted operating cash flow was $1.56 billion and adjusted free cash flow was $1.49 billion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3175000" cy="1586230"/>
                <wp:effectExtent l="0" t="0" r="0" b="0"/>
                <wp:wrapSquare wrapText="largest"/>
                <wp:docPr id="89" name="Frame20"/>
                <a:graphic xmlns:a="http://schemas.openxmlformats.org/drawingml/2006/main">
                  <a:graphicData uri="http://schemas.microsoft.com/office/word/2010/wordprocessingShape">
                    <wps:wsp>
                      <wps:cNvSpPr txBox="1"/>
                      <wps:spPr>
                        <a:xfrm>
                          <a:off x="0" y="0"/>
                          <a:ext cx="3175000" cy="1586230"/>
                        </a:xfrm>
                        <a:prstGeom prst="rect"/>
                      </wps:spPr>
                      <wps:txbx>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Successfully executed our divestiture strategy to reduce the cyclicality and asset intensity of our enterprise by divesting majority control of 16 industrial businesses and divesting our TransCore and Zetec businesses </w:t>
                                  </w:r>
                                </w:p>
                              </w:tc>
                            </w:tr>
                          </w:tbl>
                          <w:p>
                            <w:pPr>
                              <w:pStyle w:val="TextBody"/>
                              <w:spacing w:before="0" w:after="0"/>
                              <w:rPr/>
                            </w:pPr>
                            <w:r>
                              <w:rPr/>
                              <w:t> </w:t>
                            </w:r>
                          </w:p>
                          <w:tbl>
                            <w:tblPr>
                              <w:tblW w:w="7480" w:type="dxa"/>
                              <w:jc w:val="left"/>
                              <w:tblInd w:w="0" w:type="dxa"/>
                              <w:tblCellMar>
                                <w:top w:w="0" w:type="dxa"/>
                                <w:left w:w="0" w:type="dxa"/>
                                <w:bottom w:w="0" w:type="dxa"/>
                                <w:right w:w="0" w:type="dxa"/>
                              </w:tblCellMar>
                            </w:tblPr>
                            <w:tblGrid>
                              <w:gridCol w:w="125"/>
                              <w:gridCol w:w="60"/>
                              <w:gridCol w:w="729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95" w:type="dxa"/>
                                  <w:tcBorders/>
                                  <w:shd w:fill="auto" w:val="clear"/>
                                  <w:vAlign w:val="center"/>
                                </w:tcPr>
                                <w:p>
                                  <w:pPr>
                                    <w:pStyle w:val="TableContents"/>
                                    <w:spacing w:before="0" w:after="283"/>
                                    <w:jc w:val="left"/>
                                    <w:rPr/>
                                  </w:pPr>
                                  <w:r>
                                    <w:rPr/>
                                    <w:t xml:space="preserve">Annual dividend increased by 10%, increasing for the 30th consecutive year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24.9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Successfully executed our divestiture strategy to reduce the cyclicality and asset intensity of our enterprise by divesting majority control of 16 industrial businesses and divesting our TransCore and Zetec businesses </w:t>
                            </w:r>
                          </w:p>
                        </w:tc>
                      </w:tr>
                    </w:tbl>
                    <w:p>
                      <w:pPr>
                        <w:pStyle w:val="TextBody"/>
                        <w:spacing w:before="0" w:after="0"/>
                        <w:rPr/>
                      </w:pPr>
                      <w:r>
                        <w:rPr/>
                        <w:t> </w:t>
                      </w:r>
                    </w:p>
                    <w:tbl>
                      <w:tblPr>
                        <w:tblW w:w="7480" w:type="dxa"/>
                        <w:jc w:val="left"/>
                        <w:tblInd w:w="0" w:type="dxa"/>
                        <w:tblCellMar>
                          <w:top w:w="0" w:type="dxa"/>
                          <w:left w:w="0" w:type="dxa"/>
                          <w:bottom w:w="0" w:type="dxa"/>
                          <w:right w:w="0" w:type="dxa"/>
                        </w:tblCellMar>
                      </w:tblPr>
                      <w:tblGrid>
                        <w:gridCol w:w="125"/>
                        <w:gridCol w:w="60"/>
                        <w:gridCol w:w="729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95" w:type="dxa"/>
                            <w:tcBorders/>
                            <w:shd w:fill="auto" w:val="clear"/>
                            <w:vAlign w:val="center"/>
                          </w:tcPr>
                          <w:p>
                            <w:pPr>
                              <w:pStyle w:val="TableContents"/>
                              <w:spacing w:before="0" w:after="283"/>
                              <w:jc w:val="left"/>
                              <w:rPr/>
                            </w:pPr>
                            <w:r>
                              <w:rPr/>
                              <w:t xml:space="preserve">Annual dividend increased by 10%, increasing for the 30th consecutive year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283"/>
              <w:jc w:val="left"/>
              <w:rPr/>
            </w:pPr>
            <w:r>
              <w:rPr/>
              <w:t>(1) </w:t>
            </w:r>
          </w:p>
        </w:tc>
        <w:tc>
          <w:tcPr>
            <w:tcW w:w="9913" w:type="dxa"/>
            <w:tcBorders/>
            <w:shd w:fill="auto" w:val="clear"/>
            <w:vAlign w:val="center"/>
          </w:tcPr>
          <w:p>
            <w:pPr>
              <w:pStyle w:val="TableContents"/>
              <w:spacing w:before="0" w:after="0"/>
              <w:jc w:val="left"/>
              <w:rPr>
                <w:rFonts w:ascii="ARIAL" w:hAnsi="ARIAL"/>
                <w:sz w:val="16"/>
              </w:rPr>
            </w:pPr>
            <w:r>
              <w:rPr>
                <w:rFonts w:ascii="ARIAL" w:hAnsi="ARIAL"/>
                <w:sz w:val="16"/>
              </w:rPr>
              <w:t xml:space="preserve">This financial information is presented on a continuing operations basis and an adjusted (non-GAAP) basis. A reconciliation from non-GAAP financial measures to the most comparable GAAP measure and other related information is available in “Appendix A—Reconciliations”. </w:t>
            </w:r>
          </w:p>
        </w:tc>
      </w:tr>
    </w:tbl>
    <w:p>
      <w:pPr>
        <w:pStyle w:val="TextBody"/>
        <w:spacing w:before="320" w:after="0"/>
        <w:jc w:val="left"/>
        <w:rPr>
          <w:rFonts w:ascii="ARIAL" w:hAnsi="ARIAL"/>
          <w:b/>
          <w:color w:val="005CB9"/>
          <w:sz w:val="20"/>
        </w:rPr>
      </w:pPr>
      <w:r>
        <w:rPr>
          <w:rFonts w:ascii="ARIAL" w:hAnsi="ARIAL"/>
          <w:b/>
          <w:color w:val="005CB9"/>
          <w:sz w:val="20"/>
        </w:rPr>
        <w:t xml:space="preserve">Simple Strategy Rigorously Applied Drives Powerful Value Creation </w:t>
      </w:r>
    </w:p>
    <w:p>
      <w:pPr>
        <w:pStyle w:val="TextBody"/>
        <w:spacing w:before="120" w:after="0"/>
        <w:jc w:val="left"/>
        <w:rPr>
          <w:rFonts w:ascii="ARIAL" w:hAnsi="ARIAL"/>
          <w:sz w:val="19"/>
        </w:rPr>
      </w:pPr>
      <w:r>
        <w:rPr>
          <w:rFonts w:ascii="ARIAL" w:hAnsi="ARIAL"/>
          <w:sz w:val="19"/>
        </w:rPr>
        <w:t xml:space="preserve">Roper has a simple and successful business model that is unique among vertical software and multi-industry diversified companies. We operate high-margin, high cash-generating, asset-light businesses across a wide range of diverse end-markets. Our high-performing businesses generate excess free cash flow that our executive team deploys to acquire additional high-performing businesses. This creates a “compounding effect” for cash flow that drives long-term value creation. Our adjusted free cash flow increased from $639 million in 2012 to $1.613 billion in 2022 ($1.490 billion on a continuing operations basis), a compound annual growth rate of 10% driven by our combination of outstanding business performance and value-creating capital deployment. </w:t>
      </w:r>
    </w:p>
    <w:p>
      <w:pPr>
        <w:pStyle w:val="TextBody"/>
        <w:spacing w:before="0" w:after="0"/>
        <w:jc w:val="left"/>
        <w:rPr/>
      </w:pPr>
      <w:r>
        <w:rPr/>
        <w:t> </w:t>
      </w:r>
    </w:p>
    <w:p>
      <w:pPr>
        <w:pStyle w:val="TextBody"/>
        <w:spacing w:before="0" w:after="0"/>
        <w:jc w:val="center"/>
        <w:rPr/>
      </w:pPr>
      <w:r>
        <w:rPr/>
        <w:drawing>
          <wp:inline distT="0" distB="0" distL="0" distR="0">
            <wp:extent cx="458470" cy="267335"/>
            <wp:effectExtent l="0" t="0" r="0" b="0"/>
            <wp:docPr id="9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9" descr=""/>
                    <pic:cNvPicPr>
                      <a:picLocks noChangeAspect="1" noChangeArrowheads="1"/>
                    </pic:cNvPicPr>
                  </pic:nvPicPr>
                  <pic:blipFill>
                    <a:blip r:embed="rId70"/>
                    <a:stretch>
                      <a:fillRect/>
                    </a:stretch>
                  </pic:blipFill>
                  <pic:spPr bwMode="auto">
                    <a:xfrm>
                      <a:off x="0" y="0"/>
                      <a:ext cx="458470" cy="267335"/>
                    </a:xfrm>
                    <a:prstGeom prst="rect">
                      <a:avLst/>
                    </a:prstGeom>
                  </pic:spPr>
                </pic:pic>
              </a:graphicData>
            </a:graphic>
          </wp:inline>
        </w:drawing>
      </w:r>
      <w:r>
        <w:rPr/>
        <w:t xml:space="preserve"> </w:t>
      </w:r>
    </w:p>
    <w:p>
      <w:pPr>
        <w:pStyle w:val="TextBody"/>
        <w:spacing w:before="80" w:after="0"/>
        <w:jc w:val="left"/>
        <w:rPr>
          <w:rFonts w:ascii="ARIAL" w:hAnsi="ARIAL"/>
          <w:sz w:val="16"/>
        </w:rPr>
      </w:pPr>
      <w:r>
        <w:rPr>
          <w:rFonts w:ascii="ARIAL" w:hAnsi="ARIAL"/>
          <w:sz w:val="16"/>
        </w:rPr>
        <w:t xml:space="preserve">Note: Free Cash Flow = Cash from Operations less Capital Expenditures less Capitalized Software Expenditures. </w:t>
      </w:r>
    </w:p>
    <w:p>
      <w:pPr>
        <w:pStyle w:val="TextBody"/>
        <w:spacing w:before="120" w:after="0"/>
        <w:jc w:val="left"/>
        <w:rPr>
          <w:rFonts w:ascii="ARIAL" w:hAnsi="ARIAL"/>
          <w:sz w:val="16"/>
        </w:rPr>
      </w:pPr>
      <w:r>
        <w:rPr>
          <w:rFonts w:ascii="ARIAL" w:hAnsi="ARIAL"/>
          <w:sz w:val="16"/>
        </w:rPr>
        <w:t xml:space="preserve">*Amounts provided for fiscal year 2022 exclude cash taxes paid on sale of discontinued operations.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6"/>
        <w:gridCol w:w="9909"/>
      </w:tblGrid>
      <w:tr>
        <w:trPr/>
        <w:tc>
          <w:tcPr>
            <w:tcW w:w="296" w:type="dxa"/>
            <w:tcBorders/>
            <w:shd w:fill="auto" w:val="clear"/>
            <w:vAlign w:val="center"/>
          </w:tcPr>
          <w:p>
            <w:pPr>
              <w:pStyle w:val="TableContents"/>
              <w:spacing w:before="0" w:after="283"/>
              <w:jc w:val="left"/>
              <w:rPr/>
            </w:pPr>
            <w:r>
              <w:rPr/>
              <w:t>(1) </w:t>
            </w:r>
          </w:p>
        </w:tc>
        <w:tc>
          <w:tcPr>
            <w:tcW w:w="9909" w:type="dxa"/>
            <w:tcBorders/>
            <w:shd w:fill="auto" w:val="clear"/>
            <w:vAlign w:val="center"/>
          </w:tcPr>
          <w:p>
            <w:pPr>
              <w:pStyle w:val="TableContents"/>
              <w:spacing w:before="0" w:after="0"/>
              <w:jc w:val="left"/>
              <w:rPr>
                <w:rFonts w:ascii="ARIAL" w:hAnsi="ARIAL"/>
                <w:sz w:val="16"/>
              </w:rPr>
            </w:pPr>
            <w:r>
              <w:rPr>
                <w:rFonts w:ascii="ARIAL" w:hAnsi="ARIAL"/>
                <w:sz w:val="16"/>
              </w:rPr>
              <w:t xml:space="preserve">This financial information is presented on an adjusted (non-GAAP) and consolidated basis. A reconciliation from non-GAAP financial measures to the most comparable GAAP measure and other related information is available in “Appendix A—Reconciliations”. </w:t>
            </w:r>
          </w:p>
        </w:tc>
      </w:tr>
    </w:tbl>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24</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9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0" descr=""/>
                          <pic:cNvPicPr>
                            <a:picLocks noChangeAspect="1" noChangeArrowheads="1"/>
                          </pic:cNvPicPr>
                        </pic:nvPicPr>
                        <pic:blipFill>
                          <a:blip r:embed="rId71"/>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color w:val="005CB9"/>
          <w:sz w:val="20"/>
        </w:rPr>
      </w:pPr>
      <w:r>
        <w:rPr>
          <w:rFonts w:ascii="ARIAL" w:hAnsi="ARIAL"/>
          <w:b/>
          <w:color w:val="005CB9"/>
          <w:sz w:val="20"/>
        </w:rPr>
        <w:t xml:space="preserve">Market Capitalization Growth </w:t>
      </w:r>
    </w:p>
    <w:p>
      <w:pPr>
        <w:pStyle w:val="TextBody"/>
        <w:spacing w:before="120" w:after="0"/>
        <w:jc w:val="left"/>
        <w:rPr>
          <w:rFonts w:ascii="ARIAL" w:hAnsi="ARIAL"/>
          <w:sz w:val="19"/>
        </w:rPr>
      </w:pPr>
      <w:r>
        <w:rPr>
          <w:rFonts w:ascii="ARIAL" w:hAnsi="ARIAL"/>
          <w:sz w:val="19"/>
        </w:rPr>
        <w:t xml:space="preserve">Roper’s market capitalization has increased nearly $41 billion since January 2010.* </w:t>
      </w:r>
    </w:p>
    <w:p>
      <w:pPr>
        <w:pStyle w:val="TextBody"/>
        <w:spacing w:before="0" w:after="0"/>
        <w:jc w:val="left"/>
        <w:rPr/>
      </w:pPr>
      <w:r>
        <w:rPr/>
        <w:t> </w:t>
      </w:r>
    </w:p>
    <w:p>
      <w:pPr>
        <w:pStyle w:val="TextBody"/>
        <w:spacing w:before="0" w:after="0"/>
        <w:jc w:val="center"/>
        <w:rPr/>
      </w:pPr>
      <w:r>
        <w:rPr/>
        <w:drawing>
          <wp:inline distT="0" distB="0" distL="0" distR="0">
            <wp:extent cx="568325" cy="412750"/>
            <wp:effectExtent l="0" t="0" r="0" b="0"/>
            <wp:docPr id="9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1" descr=""/>
                    <pic:cNvPicPr>
                      <a:picLocks noChangeAspect="1" noChangeArrowheads="1"/>
                    </pic:cNvPicPr>
                  </pic:nvPicPr>
                  <pic:blipFill>
                    <a:blip r:embed="rId72"/>
                    <a:stretch>
                      <a:fillRect/>
                    </a:stretch>
                  </pic:blipFill>
                  <pic:spPr bwMode="auto">
                    <a:xfrm>
                      <a:off x="0" y="0"/>
                      <a:ext cx="568325" cy="412750"/>
                    </a:xfrm>
                    <a:prstGeom prst="rect">
                      <a:avLst/>
                    </a:prstGeom>
                  </pic:spPr>
                </pic:pic>
              </a:graphicData>
            </a:graphic>
          </wp:inline>
        </w:drawing>
      </w:r>
      <w:r>
        <w:rPr/>
        <w:t xml:space="preserve"> </w:t>
      </w:r>
    </w:p>
    <w:p>
      <w:pPr>
        <w:pStyle w:val="TextBody"/>
        <w:spacing w:before="0" w:after="0"/>
        <w:jc w:val="left"/>
        <w:rPr/>
      </w:pPr>
      <w:r>
        <w:rPr/>
        <w:t> </w:t>
      </w:r>
    </w:p>
    <w:tbl>
      <w:tblPr>
        <w:tblW w:w="4000" w:type="dxa"/>
        <w:jc w:val="left"/>
        <w:tblInd w:w="0" w:type="dxa"/>
        <w:tblCellMar>
          <w:top w:w="0" w:type="dxa"/>
          <w:left w:w="0" w:type="dxa"/>
          <w:bottom w:w="0" w:type="dxa"/>
          <w:right w:w="0" w:type="dxa"/>
        </w:tblCellMar>
      </w:tblPr>
      <w:tblGrid>
        <w:gridCol w:w="155"/>
        <w:gridCol w:w="3845"/>
      </w:tblGrid>
      <w:tr>
        <w:trPr/>
        <w:tc>
          <w:tcPr>
            <w:tcW w:w="155" w:type="dxa"/>
            <w:tcBorders/>
            <w:shd w:fill="auto" w:val="clear"/>
            <w:vAlign w:val="center"/>
          </w:tcPr>
          <w:p>
            <w:pPr>
              <w:pStyle w:val="TableContents"/>
              <w:spacing w:before="0" w:after="283"/>
              <w:jc w:val="left"/>
              <w:rPr/>
            </w:pPr>
            <w:r>
              <w:rPr/>
              <w:t>*</w:t>
            </w:r>
          </w:p>
        </w:tc>
        <w:tc>
          <w:tcPr>
            <w:tcW w:w="3845" w:type="dxa"/>
            <w:tcBorders/>
            <w:shd w:fill="auto" w:val="clear"/>
            <w:vAlign w:val="center"/>
          </w:tcPr>
          <w:p>
            <w:pPr>
              <w:pStyle w:val="TableContents"/>
              <w:spacing w:before="0" w:after="0"/>
              <w:jc w:val="left"/>
              <w:rPr>
                <w:rFonts w:ascii="ARIAL" w:hAnsi="ARIAL"/>
                <w:sz w:val="16"/>
              </w:rPr>
            </w:pPr>
            <w:r>
              <w:rPr>
                <w:rFonts w:ascii="ARIAL" w:hAnsi="ARIAL"/>
                <w:sz w:val="16"/>
              </w:rPr>
              <w:t xml:space="preserve">Chart reflects ending period as December 31, 2022. </w:t>
            </w:r>
          </w:p>
        </w:tc>
      </w:tr>
    </w:tbl>
    <w:p>
      <w:pPr>
        <w:pStyle w:val="TextBody"/>
        <w:spacing w:before="240" w:after="0"/>
        <w:jc w:val="left"/>
        <w:rPr>
          <w:rFonts w:ascii="ARIAL" w:hAnsi="ARIAL"/>
          <w:b/>
          <w:color w:val="005CB9"/>
          <w:sz w:val="20"/>
        </w:rPr>
      </w:pPr>
      <w:r>
        <w:rPr>
          <w:rFonts w:ascii="ARIAL" w:hAnsi="ARIAL"/>
          <w:b/>
          <w:color w:val="005CB9"/>
          <w:sz w:val="20"/>
        </w:rPr>
        <w:t xml:space="preserve">Key Metric: Cash Return on Investment </w:t>
      </w:r>
    </w:p>
    <w:p>
      <w:pPr>
        <w:pStyle w:val="TextBody"/>
        <w:spacing w:before="120" w:after="0"/>
        <w:jc w:val="left"/>
        <w:rPr>
          <w:rFonts w:ascii="ARIAL" w:hAnsi="ARIAL"/>
          <w:sz w:val="19"/>
        </w:rPr>
      </w:pPr>
      <w:r>
        <w:rPr>
          <w:rFonts w:ascii="ARIAL" w:hAnsi="ARIAL"/>
          <w:sz w:val="19"/>
        </w:rPr>
        <w:t xml:space="preserve">In addition to cash flow, Cash Return on Investment (“CRI”) is the key metric we use to measure the performance and value of our operating businesses and potential acquisitions. CRI measures the quality of a business’s cash flow. Our business leaders, executive leaders, and Board of Directors focus on cash flow growth and disciplined investments targeted to enhance CRI.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CRI is highly correlated to shareholder value creation and we believe our strategy of improving CRI has been a key driver of our long-term performance.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Our CRI discipline, as applied throughout the organization, allows Roper to focus our investment on areas that will increase shareholder value, drive cash flow growth, create intellectual property and extend networks, expand competitive advantages, and minimize physical and working capital assets.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Through a combination of internal improvements and disciplined capital deployment, Roper has increased CRI dramatically over the past 20 years, a key driver of our strong shareholder returns over the same period. </w:t>
            </w:r>
          </w:p>
        </w:tc>
      </w:tr>
    </w:tbl>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9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2" descr=""/>
                          <pic:cNvPicPr>
                            <a:picLocks noChangeAspect="1" noChangeArrowheads="1"/>
                          </pic:cNvPicPr>
                        </pic:nvPicPr>
                        <pic:blipFill>
                          <a:blip r:embed="rId73"/>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25</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color w:val="005CB9"/>
          <w:sz w:val="20"/>
        </w:rPr>
      </w:pPr>
      <w:r>
        <w:rPr>
          <w:rFonts w:ascii="ARIAL" w:hAnsi="ARIAL"/>
          <w:b/>
          <w:color w:val="005CB9"/>
          <w:sz w:val="20"/>
        </w:rPr>
        <w:t xml:space="preserve">Acquisition-Focused Capital Deployment </w:t>
      </w:r>
    </w:p>
    <w:p>
      <w:pPr>
        <w:pStyle w:val="TextBody"/>
        <w:spacing w:before="120" w:after="0"/>
        <w:jc w:val="left"/>
        <w:rPr>
          <w:rFonts w:ascii="ARIAL" w:hAnsi="ARIAL"/>
          <w:sz w:val="19"/>
        </w:rPr>
      </w:pPr>
      <w:r>
        <w:rPr>
          <w:rFonts w:ascii="ARIAL" w:hAnsi="ARIAL"/>
          <w:sz w:val="19"/>
        </w:rPr>
        <w:t xml:space="preserve">We deploy the majority of our free cash flow toward acquisitions to generate long-term growth and create long-term shareholder value. Unlike most other large corporations, we do not have a separate corporate development or merger-and-acquisition team. Instead, our CEO and other top executives are responsible for the disciplined deployment of capital through acquisitions. As such, our executives must be well versed at improving operations and optimizing capital deployment, as both are significant contributors to value creation for our shareholders. </w:t>
      </w:r>
    </w:p>
    <w:p>
      <w:pPr>
        <w:pStyle w:val="TextBody"/>
        <w:spacing w:before="120" w:after="0"/>
        <w:jc w:val="left"/>
        <w:rPr>
          <w:rFonts w:ascii="ARIAL" w:hAnsi="ARIAL"/>
          <w:sz w:val="19"/>
        </w:rPr>
      </w:pPr>
      <w:r>
        <w:rPr>
          <w:rFonts w:ascii="ARIAL" w:hAnsi="ARIAL"/>
          <w:sz w:val="19"/>
        </w:rPr>
        <w:t xml:space="preserve">Though some peers and other observers choose Economic Value Added (“EVA”) as a measure of performance, we believe that such a metric inappropriately penalizes companies, such as Roper, that emphasize capital deployment as a significant driver of shareholder value. For example, because EVA assigns a weighted average cost of capital to an acquisition, each acquisition that Roper makes is likely to be detrimental to its EVA for several years. However, Roper’s long-term success in driving superior returns for its shareholders while following its disciplined acquisition program demonstrates the challenges of EVA when applied to Roper’s strategic capital deployment business model. We believe that if Roper had directed excess cash flow for EVA-accretive uses, such as share repurchases, rather than compounding cash flow through cash generating acquisitions, the Company’s long-term shareholder returns would have been considerably lower. As such, the Company will continue to adhere to its proven strategy of combining operational excellence with prudent capital deployment in order to deliver superior returns to its shareholders. </w:t>
      </w:r>
    </w:p>
    <w:p>
      <w:pPr>
        <w:pStyle w:val="TextBody"/>
        <w:spacing w:before="360" w:after="0"/>
        <w:jc w:val="left"/>
        <w:rPr>
          <w:rFonts w:ascii="ARIAL" w:hAnsi="ARIAL"/>
          <w:b/>
          <w:sz w:val="24"/>
        </w:rPr>
      </w:pPr>
      <w:bookmarkStart w:id="15" w:name="toc356364_13"/>
      <w:bookmarkEnd w:id="15"/>
      <w:r>
        <w:rPr>
          <w:rFonts w:ascii="ARIAL" w:hAnsi="ARIAL"/>
          <w:b/>
          <w:sz w:val="24"/>
        </w:rPr>
        <w:t xml:space="preserve">OVERVIEW OF OUR EXECUTIVE COMPENSATION PROGRAM </w:t>
      </w:r>
    </w:p>
    <w:p>
      <w:pPr>
        <w:pStyle w:val="TextBody"/>
        <w:spacing w:before="0" w:after="0"/>
        <w:jc w:val="left"/>
        <w:rPr/>
      </w:pPr>
      <w:r>
        <w:rPr/>
        <w:t> </w:t>
      </w:r>
    </w:p>
    <w:p>
      <w:pPr>
        <w:pStyle w:val="TextBody"/>
        <w:pBdr/>
        <w:spacing w:before="0" w:after="0"/>
        <w:jc w:val="left"/>
        <w:rPr>
          <w:rFonts w:ascii="ARIAL" w:hAnsi="ARIAL"/>
          <w:b/>
          <w:color w:val="005CB9"/>
          <w:sz w:val="20"/>
          <w:highlight w:val="blue"/>
          <w:bdr w:val="single" w:sz="8" w:space="2" w:color="005CB9"/>
        </w:rPr>
      </w:pPr>
      <w:r>
        <w:rPr>
          <w:rFonts w:ascii="ARIAL" w:hAnsi="ARIAL"/>
          <w:b/>
          <w:color w:val="005CB9"/>
          <w:sz w:val="20"/>
          <w:highlight w:val="blue"/>
          <w:bdr w:val="single" w:sz="8" w:space="2" w:color="005CB9"/>
        </w:rPr>
        <w:t xml:space="preserve">Consideration of Say-on-Pay Vote </w:t>
      </w:r>
    </w:p>
    <w:p>
      <w:pPr>
        <w:pStyle w:val="TextBody"/>
        <w:spacing w:before="120" w:after="0"/>
        <w:jc w:val="left"/>
        <w:rPr>
          <w:rFonts w:ascii="ARIAL" w:hAnsi="ARIAL"/>
          <w:sz w:val="19"/>
          <w:highlight w:val="blue"/>
          <w:bdr w:val="single" w:sz="8" w:space="2" w:color="005CB9"/>
        </w:rPr>
      </w:pPr>
      <w:r>
        <w:rPr>
          <w:rFonts w:ascii="ARIAL" w:hAnsi="ARIAL"/>
          <w:sz w:val="19"/>
          <w:highlight w:val="blue"/>
          <w:bdr w:val="single" w:sz="8" w:space="2" w:color="005CB9"/>
        </w:rPr>
        <w:t xml:space="preserve">At the 2022 Annual Meeting of Shareholders, 90.1% of the votes cast were in favor of the advisory vote to approve our named executive officer compensation, compared to 84.3% in 2021. The Compensation Committee believes the Say-on-Pay vote continues to reflect the solid support of our shareholders for our long-standing pay-for-performance philosophy and approach of integrating executive compensation with our value creation model, as well as for recent changes to our executive compensation program. As we did in 2021, we reached out to five of our largest shareholders who we believed voted against the compensation program to better understand and address their concerns. </w:t>
      </w:r>
    </w:p>
    <w:p>
      <w:pPr>
        <w:pStyle w:val="TextBody"/>
        <w:spacing w:before="120" w:after="0"/>
        <w:jc w:val="left"/>
        <w:rPr>
          <w:rFonts w:ascii="ARIAL" w:hAnsi="ARIAL"/>
          <w:sz w:val="19"/>
          <w:highlight w:val="blue"/>
          <w:bdr w:val="single" w:sz="8" w:space="2" w:color="005CB9"/>
        </w:rPr>
      </w:pPr>
      <w:r>
        <w:rPr>
          <w:rFonts w:ascii="ARIAL" w:hAnsi="ARIAL"/>
          <w:sz w:val="19"/>
          <w:highlight w:val="blue"/>
          <w:bdr w:val="single" w:sz="8" w:space="2" w:color="005CB9"/>
        </w:rPr>
        <w:t xml:space="preserve">Roper has implemented numerous changes over the past several years to our executive compensation program to help ensure it remains closely aligned with the long-term interests of our shareholders: </w:t>
      </w:r>
    </w:p>
    <w:p>
      <w:pPr>
        <w:pStyle w:val="TextBody"/>
        <w:spacing w:before="0" w:after="0"/>
        <w:jc w:val="left"/>
        <w:rPr>
          <w:highlight w:val="blue"/>
          <w:bdr w:val="single" w:sz="8" w:space="2" w:color="005CB9"/>
        </w:rPr>
      </w:pPr>
      <w:r>
        <w:rPr>
          <w:highlight w:val="blue"/>
          <w:bdr w:val="single" w:sz="8" w:space="2" w:color="005CB9"/>
        </w:rPr>
        <w:t> </w:t>
      </w:r>
    </w:p>
    <w:tbl>
      <w:tblPr>
        <w:tblW w:w="10205" w:type="dxa"/>
        <w:jc w:val="left"/>
        <w:tblInd w:w="0" w:type="dxa"/>
        <w:tblCellMar>
          <w:top w:w="0" w:type="dxa"/>
          <w:left w:w="0" w:type="dxa"/>
          <w:bottom w:w="0" w:type="dxa"/>
          <w:right w:w="0" w:type="dxa"/>
        </w:tblCellMar>
      </w:tblPr>
      <w:tblGrid>
        <w:gridCol w:w="75"/>
        <w:gridCol w:w="110"/>
        <w:gridCol w:w="60"/>
        <w:gridCol w:w="9885"/>
        <w:gridCol w:w="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85" w:type="dxa"/>
            <w:tcBorders/>
            <w:shd w:fill="auto" w:val="clear"/>
            <w:vAlign w:val="center"/>
          </w:tcPr>
          <w:p>
            <w:pPr>
              <w:pStyle w:val="TableContents"/>
              <w:spacing w:before="0" w:after="0"/>
              <w:jc w:val="left"/>
              <w:rPr>
                <w:rFonts w:ascii="ARIAL" w:hAnsi="ARIAL"/>
                <w:sz w:val="19"/>
              </w:rPr>
            </w:pPr>
            <w:r>
              <w:rPr>
                <w:rFonts w:ascii="ARIAL" w:hAnsi="ARIAL"/>
                <w:sz w:val="19"/>
              </w:rPr>
              <w:t xml:space="preserve">100% of restricted shares are performance-based, with all vesting contingent upon meeting multi-year EBITDA and relative operating cash flow margin performance requirements.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blue"/>
          <w:bdr w:val="single" w:sz="8" w:space="2" w:color="005CB9"/>
        </w:rPr>
      </w:pPr>
      <w:r>
        <w:rPr>
          <w:highlight w:val="blue"/>
          <w:bdr w:val="single" w:sz="8" w:space="2" w:color="005CB9"/>
        </w:rPr>
        <w:t> </w:t>
      </w:r>
    </w:p>
    <w:tbl>
      <w:tblPr>
        <w:tblW w:w="10205" w:type="dxa"/>
        <w:jc w:val="left"/>
        <w:tblInd w:w="0" w:type="dxa"/>
        <w:tblCellMar>
          <w:top w:w="0" w:type="dxa"/>
          <w:left w:w="0" w:type="dxa"/>
          <w:bottom w:w="0" w:type="dxa"/>
          <w:right w:w="0" w:type="dxa"/>
        </w:tblCellMar>
      </w:tblPr>
      <w:tblGrid>
        <w:gridCol w:w="75"/>
        <w:gridCol w:w="110"/>
        <w:gridCol w:w="60"/>
        <w:gridCol w:w="9885"/>
        <w:gridCol w:w="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85" w:type="dxa"/>
            <w:tcBorders/>
            <w:shd w:fill="auto" w:val="clear"/>
            <w:vAlign w:val="center"/>
          </w:tcPr>
          <w:p>
            <w:pPr>
              <w:pStyle w:val="TableContents"/>
              <w:spacing w:before="0" w:after="0"/>
              <w:jc w:val="left"/>
              <w:rPr>
                <w:rFonts w:ascii="ARIAL" w:hAnsi="ARIAL"/>
                <w:sz w:val="19"/>
              </w:rPr>
            </w:pPr>
            <w:r>
              <w:rPr>
                <w:rFonts w:ascii="ARIAL" w:hAnsi="ARIAL"/>
                <w:sz w:val="19"/>
              </w:rPr>
              <w:t xml:space="preserve">In 2022, we increased the rigor of the performance criteria applicable to both the annual cash incentive and the long-term performance based restricted stock awards.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blue"/>
          <w:bdr w:val="single" w:sz="8" w:space="2" w:color="005CB9"/>
        </w:rPr>
      </w:pPr>
      <w:r>
        <w:rPr>
          <w:highlight w:val="blue"/>
          <w:bdr w:val="single" w:sz="8" w:space="2" w:color="005CB9"/>
        </w:rPr>
        <w:t> </w:t>
      </w:r>
    </w:p>
    <w:tbl>
      <w:tblPr>
        <w:tblW w:w="9565" w:type="dxa"/>
        <w:jc w:val="left"/>
        <w:tblInd w:w="0" w:type="dxa"/>
        <w:tblCellMar>
          <w:top w:w="0" w:type="dxa"/>
          <w:left w:w="0" w:type="dxa"/>
          <w:bottom w:w="0" w:type="dxa"/>
          <w:right w:w="0" w:type="dxa"/>
        </w:tblCellMar>
      </w:tblPr>
      <w:tblGrid>
        <w:gridCol w:w="75"/>
        <w:gridCol w:w="110"/>
        <w:gridCol w:w="60"/>
        <w:gridCol w:w="9245"/>
        <w:gridCol w:w="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45" w:type="dxa"/>
            <w:tcBorders/>
            <w:shd w:fill="auto" w:val="clear"/>
            <w:vAlign w:val="center"/>
          </w:tcPr>
          <w:p>
            <w:pPr>
              <w:pStyle w:val="TableContents"/>
              <w:spacing w:before="0" w:after="0"/>
              <w:jc w:val="left"/>
              <w:rPr>
                <w:rFonts w:ascii="ARIAL" w:hAnsi="ARIAL"/>
                <w:sz w:val="19"/>
              </w:rPr>
            </w:pPr>
            <w:r>
              <w:rPr>
                <w:rFonts w:ascii="ARIAL" w:hAnsi="ARIAL"/>
                <w:sz w:val="19"/>
              </w:rPr>
              <w:t xml:space="preserve">Only stock options, which are inherently performance-based, vest by continued time-based service alone.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blue"/>
          <w:bdr w:val="single" w:sz="8" w:space="2" w:color="005CB9"/>
        </w:rPr>
      </w:pPr>
      <w:r>
        <w:rPr>
          <w:highlight w:val="blue"/>
          <w:bdr w:val="single" w:sz="8" w:space="2" w:color="005CB9"/>
        </w:rPr>
        <w:t> </w:t>
      </w:r>
    </w:p>
    <w:tbl>
      <w:tblPr>
        <w:tblW w:w="10205" w:type="dxa"/>
        <w:jc w:val="left"/>
        <w:tblInd w:w="0" w:type="dxa"/>
        <w:tblCellMar>
          <w:top w:w="0" w:type="dxa"/>
          <w:left w:w="0" w:type="dxa"/>
          <w:bottom w:w="0" w:type="dxa"/>
          <w:right w:w="0" w:type="dxa"/>
        </w:tblCellMar>
      </w:tblPr>
      <w:tblGrid>
        <w:gridCol w:w="75"/>
        <w:gridCol w:w="110"/>
        <w:gridCol w:w="60"/>
        <w:gridCol w:w="9885"/>
        <w:gridCol w:w="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85" w:type="dxa"/>
            <w:tcBorders/>
            <w:shd w:fill="auto" w:val="clear"/>
            <w:vAlign w:val="center"/>
          </w:tcPr>
          <w:p>
            <w:pPr>
              <w:pStyle w:val="TableContents"/>
              <w:spacing w:before="0" w:after="0"/>
              <w:jc w:val="left"/>
              <w:rPr>
                <w:rFonts w:ascii="ARIAL" w:hAnsi="ARIAL"/>
                <w:sz w:val="19"/>
              </w:rPr>
            </w:pPr>
            <w:r>
              <w:rPr>
                <w:rFonts w:ascii="ARIAL" w:hAnsi="ARIAL"/>
                <w:sz w:val="19"/>
              </w:rPr>
              <w:t xml:space="preserve">Beginning in 2022, equity awards made to all named executive officers may vest only at the end of a three-year period. Previously only awards made to the CEO were subject to vesting at the end of a three-year period.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blue"/>
          <w:bdr w:val="single" w:sz="8" w:space="2" w:color="005CB9"/>
        </w:rPr>
      </w:pPr>
      <w:r>
        <w:rPr>
          <w:highlight w:val="blue"/>
          <w:bdr w:val="single" w:sz="8" w:space="2" w:color="005CB9"/>
        </w:rPr>
        <w:t> </w:t>
      </w:r>
    </w:p>
    <w:tbl>
      <w:tblPr>
        <w:tblW w:w="10135" w:type="dxa"/>
        <w:jc w:val="left"/>
        <w:tblInd w:w="0" w:type="dxa"/>
        <w:tblCellMar>
          <w:top w:w="0" w:type="dxa"/>
          <w:left w:w="0" w:type="dxa"/>
          <w:bottom w:w="0" w:type="dxa"/>
          <w:right w:w="0" w:type="dxa"/>
        </w:tblCellMar>
      </w:tblPr>
      <w:tblGrid>
        <w:gridCol w:w="75"/>
        <w:gridCol w:w="110"/>
        <w:gridCol w:w="60"/>
        <w:gridCol w:w="9815"/>
        <w:gridCol w:w="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15" w:type="dxa"/>
            <w:tcBorders/>
            <w:shd w:fill="auto" w:val="clear"/>
            <w:vAlign w:val="center"/>
          </w:tcPr>
          <w:p>
            <w:pPr>
              <w:pStyle w:val="TableContents"/>
              <w:spacing w:before="0" w:after="0"/>
              <w:jc w:val="left"/>
              <w:rPr>
                <w:rFonts w:ascii="ARIAL" w:hAnsi="ARIAL"/>
                <w:sz w:val="19"/>
              </w:rPr>
            </w:pPr>
            <w:r>
              <w:rPr>
                <w:rFonts w:ascii="ARIAL" w:hAnsi="ARIAL"/>
                <w:sz w:val="19"/>
              </w:rPr>
              <w:t xml:space="preserve">Dividends on restricted shares are not paid until the shares are earned and are forfeited if shares are not earned.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blue"/>
          <w:bdr w:val="single" w:sz="8" w:space="2" w:color="005CB9"/>
        </w:rPr>
      </w:pPr>
      <w:r>
        <w:rPr>
          <w:highlight w:val="blue"/>
          <w:bdr w:val="single" w:sz="8" w:space="2" w:color="005CB9"/>
        </w:rPr>
        <w:t> </w:t>
      </w:r>
    </w:p>
    <w:tbl>
      <w:tblPr>
        <w:tblW w:w="10205" w:type="dxa"/>
        <w:jc w:val="left"/>
        <w:tblInd w:w="0" w:type="dxa"/>
        <w:tblCellMar>
          <w:top w:w="0" w:type="dxa"/>
          <w:left w:w="0" w:type="dxa"/>
          <w:bottom w:w="0" w:type="dxa"/>
          <w:right w:w="0" w:type="dxa"/>
        </w:tblCellMar>
      </w:tblPr>
      <w:tblGrid>
        <w:gridCol w:w="75"/>
        <w:gridCol w:w="110"/>
        <w:gridCol w:w="60"/>
        <w:gridCol w:w="9885"/>
        <w:gridCol w:w="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85" w:type="dxa"/>
            <w:tcBorders/>
            <w:shd w:fill="auto" w:val="clear"/>
            <w:vAlign w:val="center"/>
          </w:tcPr>
          <w:p>
            <w:pPr>
              <w:pStyle w:val="TableContents"/>
              <w:spacing w:before="0" w:after="0"/>
              <w:jc w:val="left"/>
              <w:rPr>
                <w:rFonts w:ascii="ARIAL" w:hAnsi="ARIAL"/>
                <w:sz w:val="19"/>
              </w:rPr>
            </w:pPr>
            <w:r>
              <w:rPr>
                <w:rFonts w:ascii="ARIAL" w:hAnsi="ARIAL"/>
                <w:sz w:val="19"/>
              </w:rPr>
              <w:t xml:space="preserve">Starting in 2017, the operating cash flow less capital expenditures and capitalized software (measured as a percentage of revenue) was changed from an internal goal to relative performance against an external benchmark with 50th percentile performance required for any portion of the restricted shares to vest and 75th percentile performance required for full vesting.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blue"/>
          <w:bdr w:val="single" w:sz="8" w:space="2" w:color="005CB9"/>
        </w:rPr>
      </w:pPr>
      <w:r>
        <w:rPr>
          <w:highlight w:val="blue"/>
          <w:bdr w:val="single" w:sz="8" w:space="2" w:color="005CB9"/>
        </w:rPr>
        <w:t> </w:t>
      </w:r>
    </w:p>
    <w:tbl>
      <w:tblPr>
        <w:tblW w:w="9745" w:type="dxa"/>
        <w:jc w:val="left"/>
        <w:tblInd w:w="0" w:type="dxa"/>
        <w:tblCellMar>
          <w:top w:w="0" w:type="dxa"/>
          <w:left w:w="0" w:type="dxa"/>
          <w:bottom w:w="0" w:type="dxa"/>
          <w:right w:w="0" w:type="dxa"/>
        </w:tblCellMar>
      </w:tblPr>
      <w:tblGrid>
        <w:gridCol w:w="75"/>
        <w:gridCol w:w="110"/>
        <w:gridCol w:w="60"/>
        <w:gridCol w:w="9425"/>
        <w:gridCol w:w="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0"/>
              <w:jc w:val="left"/>
              <w:rPr>
                <w:rFonts w:ascii="ARIAL" w:hAnsi="ARIAL"/>
                <w:sz w:val="19"/>
              </w:rPr>
            </w:pPr>
            <w:r>
              <w:rPr>
                <w:rFonts w:ascii="ARIAL" w:hAnsi="ARIAL"/>
                <w:sz w:val="19"/>
              </w:rPr>
              <w:t xml:space="preserve">95% of our CEO’s compensation is subject to performance risk and tied to financial results and stock price.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26</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60" w:after="20"/>
              <w:rPr>
                <w:color w:val="005CB9"/>
              </w:rPr>
            </w:pPr>
            <w:r>
              <w:rPr>
                <w:color w:val="005CB9"/>
              </w:rPr>
              <w:t xml:space="preserve">  </w:t>
            </w:r>
            <w:r>
              <w:rPr>
                <w:color w:val="005CB9"/>
              </w:rPr>
              <w:drawing>
                <wp:inline distT="0" distB="0" distL="0" distR="0">
                  <wp:extent cx="47625" cy="19050"/>
                  <wp:effectExtent l="0" t="0" r="0" b="0"/>
                  <wp:docPr id="9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3" descr=""/>
                          <pic:cNvPicPr>
                            <a:picLocks noChangeAspect="1" noChangeArrowheads="1"/>
                          </pic:cNvPicPr>
                        </pic:nvPicPr>
                        <pic:blipFill>
                          <a:blip r:embed="rId74"/>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color w:val="005CB9"/>
          <w:sz w:val="20"/>
        </w:rPr>
      </w:pPr>
      <w:r>
        <w:rPr>
          <w:rFonts w:ascii="ARIAL" w:hAnsi="ARIAL"/>
          <w:b/>
          <w:color w:val="005CB9"/>
          <w:sz w:val="20"/>
        </w:rPr>
        <w:t xml:space="preserve">Checklist of Compensation Practices </w:t>
      </w:r>
    </w:p>
    <w:p>
      <w:pPr>
        <w:pStyle w:val="TextBody"/>
        <w:spacing w:before="120" w:after="0"/>
        <w:jc w:val="left"/>
        <w:rPr>
          <w:rFonts w:ascii="ARIAL" w:hAnsi="ARIAL"/>
          <w:sz w:val="19"/>
        </w:rPr>
      </w:pPr>
      <w:r>
        <w:rPr>
          <w:rFonts w:ascii="ARIAL" w:hAnsi="ARIAL"/>
          <w:sz w:val="19"/>
        </w:rPr>
        <w:t xml:space="preserve">Consistent with shareholder interests and market best practices, positive features of our executive compensation program include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287"/>
        <w:gridCol w:w="60"/>
        <w:gridCol w:w="5858"/>
      </w:tblGrid>
      <w:tr>
        <w:trPr/>
        <w:tc>
          <w:tcPr>
            <w:tcW w:w="42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858" w:type="dxa"/>
            <w:tcBorders/>
            <w:shd w:fill="auto" w:val="clear"/>
            <w:vAlign w:val="center"/>
          </w:tcPr>
          <w:p>
            <w:pPr>
              <w:pStyle w:val="TableContents"/>
              <w:spacing w:before="0" w:after="283"/>
              <w:rPr>
                <w:sz w:val="4"/>
                <w:szCs w:val="4"/>
              </w:rPr>
            </w:pPr>
            <w:r>
              <w:rPr>
                <w:sz w:val="4"/>
                <w:szCs w:val="4"/>
              </w:rPr>
            </w:r>
          </w:p>
        </w:tc>
      </w:tr>
      <w:tr>
        <w:trPr/>
        <w:tc>
          <w:tcPr>
            <w:tcW w:w="4287" w:type="dxa"/>
            <w:tcBorders/>
            <w:shd w:fill="005CB9" w:val="clear"/>
            <w:vAlign w:val="center"/>
          </w:tcPr>
          <w:p>
            <w:pPr>
              <w:pStyle w:val="TableContents"/>
              <w:spacing w:before="0" w:after="283"/>
              <w:jc w:val="center"/>
              <w:rPr/>
            </w:pPr>
            <w:r>
              <w:rPr/>
              <w:drawing>
                <wp:inline distT="0" distB="0" distL="0" distR="0">
                  <wp:extent cx="304800" cy="304800"/>
                  <wp:effectExtent l="0" t="0" r="0" b="0"/>
                  <wp:docPr id="9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4" descr=""/>
                          <pic:cNvPicPr>
                            <a:picLocks noChangeAspect="1" noChangeArrowheads="1"/>
                          </pic:cNvPicPr>
                        </pic:nvPicPr>
                        <pic:blipFill>
                          <a:blip r:embed="rId75"/>
                          <a:stretch>
                            <a:fillRect/>
                          </a:stretch>
                        </pic:blipFill>
                        <pic:spPr bwMode="auto">
                          <a:xfrm>
                            <a:off x="0" y="0"/>
                            <a:ext cx="304800" cy="304800"/>
                          </a:xfrm>
                          <a:prstGeom prst="rect">
                            <a:avLst/>
                          </a:prstGeom>
                        </pic:spPr>
                      </pic:pic>
                    </a:graphicData>
                  </a:graphic>
                </wp:inline>
              </w:drawing>
            </w:r>
            <w:r>
              <w:rPr/>
              <w:t xml:space="preserve"> </w:t>
            </w:r>
          </w:p>
        </w:tc>
        <w:tc>
          <w:tcPr>
            <w:tcW w:w="60" w:type="dxa"/>
            <w:tcBorders>
              <w:left w:val="single" w:sz="16" w:space="0" w:color="FFFFFF"/>
            </w:tcBorders>
            <w:shd w:fill="005CB9" w:val="clear"/>
            <w:tcMar>
              <w:left w:w="28" w:type="dxa"/>
            </w:tcMar>
            <w:vAlign w:val="center"/>
          </w:tcPr>
          <w:p>
            <w:pPr>
              <w:pStyle w:val="TableContents"/>
              <w:spacing w:before="0" w:after="283"/>
              <w:rPr/>
            </w:pPr>
            <w:r>
              <w:rPr/>
              <w:t> </w:t>
            </w:r>
          </w:p>
        </w:tc>
        <w:tc>
          <w:tcPr>
            <w:tcW w:w="5858" w:type="dxa"/>
            <w:tcBorders/>
            <w:shd w:fill="005CB9" w:val="clear"/>
            <w:vAlign w:val="center"/>
          </w:tcPr>
          <w:p>
            <w:pPr>
              <w:pStyle w:val="TableContents"/>
              <w:spacing w:before="0" w:after="283"/>
              <w:jc w:val="center"/>
              <w:rPr/>
            </w:pPr>
            <w:r>
              <w:rPr/>
              <w:drawing>
                <wp:inline distT="0" distB="0" distL="0" distR="0">
                  <wp:extent cx="304800" cy="304800"/>
                  <wp:effectExtent l="0" t="0" r="0" b="0"/>
                  <wp:docPr id="9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5" descr=""/>
                          <pic:cNvPicPr>
                            <a:picLocks noChangeAspect="1" noChangeArrowheads="1"/>
                          </pic:cNvPicPr>
                        </pic:nvPicPr>
                        <pic:blipFill>
                          <a:blip r:embed="rId76"/>
                          <a:stretch>
                            <a:fillRect/>
                          </a:stretch>
                        </pic:blipFill>
                        <pic:spPr bwMode="auto">
                          <a:xfrm>
                            <a:off x="0" y="0"/>
                            <a:ext cx="304800" cy="304800"/>
                          </a:xfrm>
                          <a:prstGeom prst="rect">
                            <a:avLst/>
                          </a:prstGeom>
                        </pic:spPr>
                      </pic:pic>
                    </a:graphicData>
                  </a:graphic>
                </wp:inline>
              </w:drawing>
            </w:r>
            <w:r>
              <w:rPr/>
              <w:t xml:space="preserve"> </w:t>
            </w:r>
          </w:p>
        </w:tc>
      </w:tr>
      <w:tr>
        <w:trPr/>
        <w:tc>
          <w:tcPr>
            <w:tcW w:w="4287" w:type="dxa"/>
            <w:tcBorders>
              <w:bottom w:val="single" w:sz="8" w:space="0" w:color="FFFFFF"/>
            </w:tcBorders>
            <w:shd w:fill="005CB9" w:val="clear"/>
            <w:tcMar>
              <w:bottom w:w="28" w:type="dxa"/>
            </w:tcMar>
            <w:vAlign w:val="center"/>
          </w:tcPr>
          <w:p>
            <w:pPr>
              <w:pStyle w:val="TableContents"/>
              <w:spacing w:before="0" w:after="283"/>
              <w:jc w:val="center"/>
              <w:rPr>
                <w:b/>
                <w:color w:val="FFFFFF"/>
              </w:rPr>
            </w:pPr>
            <w:r>
              <w:rPr>
                <w:b/>
                <w:color w:val="FFFFFF"/>
              </w:rPr>
              <w:t>What We Do</w:t>
            </w:r>
          </w:p>
        </w:tc>
        <w:tc>
          <w:tcPr>
            <w:tcW w:w="60" w:type="dxa"/>
            <w:tcBorders>
              <w:left w:val="single" w:sz="16" w:space="0" w:color="FFFFFF"/>
              <w:bottom w:val="single" w:sz="8" w:space="0" w:color="FFFFFF"/>
            </w:tcBorders>
            <w:shd w:fill="005CB9" w:val="clear"/>
            <w:tcMar>
              <w:left w:w="28" w:type="dxa"/>
              <w:bottom w:w="28" w:type="dxa"/>
            </w:tcMar>
            <w:vAlign w:val="center"/>
          </w:tcPr>
          <w:p>
            <w:pPr>
              <w:pStyle w:val="TableContents"/>
              <w:spacing w:before="0" w:after="283"/>
              <w:rPr/>
            </w:pPr>
            <w:r>
              <w:rPr/>
              <w:t> </w:t>
            </w:r>
          </w:p>
        </w:tc>
        <w:tc>
          <w:tcPr>
            <w:tcW w:w="5858" w:type="dxa"/>
            <w:tcBorders>
              <w:bottom w:val="single" w:sz="8" w:space="0" w:color="FFFFFF"/>
            </w:tcBorders>
            <w:shd w:fill="005CB9" w:val="clear"/>
            <w:tcMar>
              <w:bottom w:w="28" w:type="dxa"/>
            </w:tcMar>
            <w:vAlign w:val="center"/>
          </w:tcPr>
          <w:p>
            <w:pPr>
              <w:pStyle w:val="TableContents"/>
              <w:spacing w:before="0" w:after="283"/>
              <w:jc w:val="center"/>
              <w:rPr>
                <w:b/>
                <w:color w:val="FFFFFF"/>
              </w:rPr>
            </w:pPr>
            <w:r>
              <w:rPr>
                <w:b/>
                <w:color w:val="FFFFFF"/>
              </w:rPr>
              <w:t>What We Don’t Do</w:t>
            </w:r>
          </w:p>
        </w:tc>
      </w:tr>
      <w:tr>
        <w:trPr/>
        <w:tc>
          <w:tcPr>
            <w:tcW w:w="4287" w:type="dxa"/>
            <w:tcBorders>
              <w:top w:val="single" w:sz="4" w:space="0" w:color="000000"/>
              <w:left w:val="single" w:sz="8" w:space="0" w:color="E5EEF8"/>
              <w:bottom w:val="single" w:sz="4" w:space="0" w:color="000000"/>
              <w:right w:val="single" w:sz="4" w:space="0" w:color="000000"/>
            </w:tcBorders>
            <w:shd w:fill="E5EEF8" w:val="clear"/>
            <w:tcMar>
              <w:top w:w="28" w:type="dxa"/>
              <w:left w:w="28" w:type="dxa"/>
              <w:bottom w:w="28" w:type="dxa"/>
              <w:right w:w="28" w:type="dxa"/>
            </w:tcMar>
            <w:vAlign w:val="center"/>
          </w:tcPr>
          <w:p>
            <w:pPr>
              <w:pStyle w:val="TableContents"/>
              <w:spacing w:before="0" w:after="0"/>
              <w:rPr/>
            </w:pPr>
            <w:r>
              <w:rPr/>
              <w:t>✓  </w:t>
            </w:r>
            <w:r>
              <w:rPr>
                <w:rFonts w:ascii="ARIAL" w:hAnsi="ARIAL"/>
                <w:sz w:val="18"/>
              </w:rPr>
              <w:t>Substantially all compensation for named executive officers is tied to performance.</w:t>
            </w:r>
          </w:p>
          <w:p>
            <w:pPr>
              <w:pStyle w:val="TableContents"/>
              <w:spacing w:before="0" w:after="0"/>
              <w:rPr/>
            </w:pPr>
            <w:r>
              <w:rPr/>
              <w:t> </w:t>
            </w:r>
          </w:p>
          <w:p>
            <w:pPr>
              <w:pStyle w:val="TableContents"/>
              <w:spacing w:before="0" w:after="0"/>
              <w:rPr/>
            </w:pPr>
            <w:r>
              <w:rPr/>
              <w:t>✓  </w:t>
            </w:r>
            <w:r>
              <w:rPr>
                <w:rFonts w:ascii="ARIAL" w:hAnsi="ARIAL"/>
                <w:sz w:val="18"/>
              </w:rPr>
              <w:t>Performance-based vesting requirements apply to 100% of restricted stock awards (no time vesting alone).</w:t>
            </w:r>
          </w:p>
          <w:p>
            <w:pPr>
              <w:pStyle w:val="TableContents"/>
              <w:spacing w:before="0" w:after="0"/>
              <w:rPr/>
            </w:pPr>
            <w:r>
              <w:rPr/>
              <w:t> </w:t>
            </w:r>
          </w:p>
          <w:p>
            <w:pPr>
              <w:pStyle w:val="TableContents"/>
              <w:spacing w:before="0" w:after="0"/>
              <w:rPr/>
            </w:pPr>
            <w:r>
              <w:rPr/>
              <w:t>✓  </w:t>
            </w:r>
            <w:r>
              <w:rPr>
                <w:rFonts w:ascii="ARIAL" w:hAnsi="ARIAL"/>
                <w:sz w:val="18"/>
              </w:rPr>
              <w:t>CEO special long-term cash bonus based on five-year results to reinforce a long-term planning horizon and sustainable growth.</w:t>
            </w:r>
          </w:p>
          <w:p>
            <w:pPr>
              <w:pStyle w:val="TableContents"/>
              <w:spacing w:before="0" w:after="0"/>
              <w:rPr/>
            </w:pPr>
            <w:r>
              <w:rPr/>
              <w:t> </w:t>
            </w:r>
          </w:p>
          <w:p>
            <w:pPr>
              <w:pStyle w:val="TableContents"/>
              <w:spacing w:before="0" w:after="0"/>
              <w:rPr/>
            </w:pPr>
            <w:r>
              <w:rPr/>
              <w:t>✓  </w:t>
            </w:r>
            <w:r>
              <w:rPr>
                <w:rFonts w:ascii="ARIAL" w:hAnsi="ARIAL"/>
                <w:sz w:val="18"/>
              </w:rPr>
              <w:t>Cash bonuses are capped and performance-based restricted stock awards limited to 100% of target (risk mitigation features).</w:t>
            </w:r>
          </w:p>
          <w:p>
            <w:pPr>
              <w:pStyle w:val="TableContents"/>
              <w:spacing w:before="0" w:after="0"/>
              <w:rPr/>
            </w:pPr>
            <w:r>
              <w:rPr/>
              <w:t> </w:t>
            </w:r>
          </w:p>
          <w:p>
            <w:pPr>
              <w:pStyle w:val="TableContents"/>
              <w:spacing w:before="0" w:after="0"/>
              <w:rPr/>
            </w:pPr>
            <w:r>
              <w:rPr/>
              <w:t>✓  </w:t>
            </w:r>
            <w:r>
              <w:rPr>
                <w:rFonts w:ascii="ARIAL" w:hAnsi="ARIAL"/>
                <w:sz w:val="18"/>
              </w:rPr>
              <w:t>Robust share ownership and retention guidelines.</w:t>
            </w:r>
          </w:p>
          <w:p>
            <w:pPr>
              <w:pStyle w:val="TableContents"/>
              <w:spacing w:before="0" w:after="0"/>
              <w:rPr/>
            </w:pPr>
            <w:r>
              <w:rPr/>
              <w:t> </w:t>
            </w:r>
          </w:p>
          <w:p>
            <w:pPr>
              <w:pStyle w:val="TableContents"/>
              <w:spacing w:before="0" w:after="0"/>
              <w:rPr/>
            </w:pPr>
            <w:r>
              <w:rPr/>
              <w:t>✓  “</w:t>
            </w:r>
            <w:r>
              <w:rPr>
                <w:rFonts w:ascii="ARIAL" w:hAnsi="ARIAL"/>
                <w:sz w:val="18"/>
              </w:rPr>
              <w:t>Clawback” policy to recoup erroneously paid cash and equity compensation.</w:t>
            </w:r>
          </w:p>
          <w:p>
            <w:pPr>
              <w:pStyle w:val="TableContents"/>
              <w:spacing w:before="0" w:after="0"/>
              <w:rPr/>
            </w:pPr>
            <w:r>
              <w:rPr/>
              <w:t> </w:t>
            </w:r>
          </w:p>
          <w:p>
            <w:pPr>
              <w:pStyle w:val="TableContents"/>
              <w:spacing w:before="0" w:after="0"/>
              <w:rPr/>
            </w:pPr>
            <w:r>
              <w:rPr/>
              <w:t>✓  </w:t>
            </w:r>
            <w:r>
              <w:rPr>
                <w:rFonts w:ascii="ARIAL" w:hAnsi="ARIAL"/>
                <w:sz w:val="18"/>
              </w:rPr>
              <w:t>Risk assessment review as part of risk mitigation process.</w:t>
            </w:r>
          </w:p>
          <w:p>
            <w:pPr>
              <w:pStyle w:val="TableContents"/>
              <w:spacing w:before="0" w:after="0"/>
              <w:rPr/>
            </w:pPr>
            <w:r>
              <w:rPr/>
              <w:t> </w:t>
            </w:r>
          </w:p>
          <w:p>
            <w:pPr>
              <w:pStyle w:val="TableContents"/>
              <w:spacing w:before="0" w:after="20"/>
              <w:rPr/>
            </w:pPr>
            <w:r>
              <w:rPr/>
              <w:t>✓  </w:t>
            </w:r>
            <w:r>
              <w:rPr>
                <w:rFonts w:ascii="ARIAL" w:hAnsi="ARIAL"/>
                <w:sz w:val="18"/>
              </w:rPr>
              <w:t>Independent compensation consultant retained by the Compensation Committee.</w:t>
            </w:r>
          </w:p>
        </w:tc>
        <w:tc>
          <w:tcPr>
            <w:tcW w:w="60" w:type="dxa"/>
            <w:tcBorders>
              <w:left w:val="single" w:sz="16" w:space="0" w:color="FFFFFF"/>
            </w:tcBorders>
            <w:shd w:fill="E5EEF8" w:val="clear"/>
            <w:tcMar>
              <w:left w:w="28" w:type="dxa"/>
            </w:tcMar>
            <w:vAlign w:val="center"/>
          </w:tcPr>
          <w:p>
            <w:pPr>
              <w:pStyle w:val="TableContents"/>
              <w:spacing w:before="0" w:after="283"/>
              <w:rPr/>
            </w:pPr>
            <w:r>
              <w:rPr/>
              <w:t> </w:t>
            </w:r>
          </w:p>
        </w:tc>
        <w:tc>
          <w:tcPr>
            <w:tcW w:w="5858" w:type="dxa"/>
            <w:tcBorders>
              <w:top w:val="single" w:sz="4" w:space="0" w:color="000000"/>
              <w:left w:val="single" w:sz="8" w:space="0" w:color="E5EEF8"/>
              <w:bottom w:val="single" w:sz="4" w:space="0" w:color="000000"/>
              <w:right w:val="single" w:sz="4" w:space="0" w:color="000000"/>
            </w:tcBorders>
            <w:shd w:fill="E5EEF8" w:val="clear"/>
            <w:tcMar>
              <w:top w:w="28" w:type="dxa"/>
              <w:left w:w="28" w:type="dxa"/>
              <w:bottom w:w="28" w:type="dxa"/>
              <w:right w:w="28" w:type="dxa"/>
            </w:tcMar>
            <w:vAlign w:val="center"/>
          </w:tcPr>
          <w:p>
            <w:pPr>
              <w:pStyle w:val="TableContents"/>
              <w:spacing w:before="0" w:after="0"/>
              <w:rPr>
                <w:rFonts w:ascii="ARIAL" w:hAnsi="ARIAL"/>
                <w:sz w:val="18"/>
              </w:rPr>
            </w:pPr>
            <w:r>
              <w:rPr>
                <w:rFonts w:ascii="WINGDINGS 2" w:hAnsi="WINGDINGS 2"/>
                <w:color w:val="005CB9"/>
                <w:sz w:val="22"/>
              </w:rPr>
              <w:t>Ò</w:t>
            </w:r>
            <w:r>
              <w:rPr>
                <w:rFonts w:ascii="ARIAL" w:hAnsi="ARIAL"/>
                <w:sz w:val="18"/>
              </w:rPr>
              <w:t>  No payment of dividends on performance-based restricted stock awards until earned.</w:t>
            </w:r>
          </w:p>
          <w:p>
            <w:pPr>
              <w:pStyle w:val="TableContents"/>
              <w:spacing w:before="0" w:after="0"/>
              <w:rPr/>
            </w:pPr>
            <w:r>
              <w:rPr/>
              <w:t> </w:t>
            </w:r>
          </w:p>
          <w:p>
            <w:pPr>
              <w:pStyle w:val="TableContents"/>
              <w:spacing w:before="0" w:after="0"/>
              <w:rPr>
                <w:rFonts w:ascii="ARIAL" w:hAnsi="ARIAL"/>
                <w:sz w:val="18"/>
              </w:rPr>
            </w:pPr>
            <w:r>
              <w:rPr>
                <w:rFonts w:ascii="WINGDINGS 2" w:hAnsi="WINGDINGS 2"/>
                <w:color w:val="005CB9"/>
                <w:sz w:val="22"/>
              </w:rPr>
              <w:t>Ò</w:t>
            </w:r>
            <w:r>
              <w:rPr>
                <w:rFonts w:ascii="ARIAL" w:hAnsi="ARIAL"/>
                <w:sz w:val="18"/>
              </w:rPr>
              <w:t>  No defined-benefit pension plan or SERPs for named executive officers.</w:t>
            </w:r>
          </w:p>
          <w:p>
            <w:pPr>
              <w:pStyle w:val="TableContents"/>
              <w:spacing w:before="0" w:after="0"/>
              <w:rPr/>
            </w:pPr>
            <w:r>
              <w:rPr/>
              <w:t> </w:t>
            </w:r>
          </w:p>
          <w:p>
            <w:pPr>
              <w:pStyle w:val="TableContents"/>
              <w:spacing w:before="0" w:after="0"/>
              <w:rPr>
                <w:rFonts w:ascii="ARIAL" w:hAnsi="ARIAL"/>
                <w:sz w:val="18"/>
              </w:rPr>
            </w:pPr>
            <w:r>
              <w:rPr>
                <w:rFonts w:ascii="WINGDINGS 2" w:hAnsi="WINGDINGS 2"/>
                <w:color w:val="005CB9"/>
                <w:sz w:val="22"/>
              </w:rPr>
              <w:t>Ò</w:t>
            </w:r>
            <w:r>
              <w:rPr>
                <w:rFonts w:ascii="ARIAL" w:hAnsi="ARIAL"/>
                <w:sz w:val="18"/>
              </w:rPr>
              <w:t>  No “single trigger” equity vesting upon change-in-control.</w:t>
            </w:r>
          </w:p>
          <w:p>
            <w:pPr>
              <w:pStyle w:val="TableContents"/>
              <w:spacing w:before="0" w:after="0"/>
              <w:rPr/>
            </w:pPr>
            <w:r>
              <w:rPr/>
              <w:t> </w:t>
            </w:r>
          </w:p>
          <w:p>
            <w:pPr>
              <w:pStyle w:val="TableContents"/>
              <w:spacing w:before="0" w:after="0"/>
              <w:rPr>
                <w:rFonts w:ascii="ARIAL" w:hAnsi="ARIAL"/>
                <w:sz w:val="18"/>
              </w:rPr>
            </w:pPr>
            <w:r>
              <w:rPr>
                <w:rFonts w:ascii="WINGDINGS 2" w:hAnsi="WINGDINGS 2"/>
                <w:color w:val="005CB9"/>
                <w:sz w:val="22"/>
              </w:rPr>
              <w:t>Ò</w:t>
            </w:r>
            <w:r>
              <w:rPr>
                <w:rFonts w:ascii="ARIAL" w:hAnsi="ARIAL"/>
                <w:sz w:val="18"/>
              </w:rPr>
              <w:t>  Severance pay is very limited, as is the use of employment agreements.</w:t>
            </w:r>
          </w:p>
          <w:p>
            <w:pPr>
              <w:pStyle w:val="TableContents"/>
              <w:spacing w:before="0" w:after="0"/>
              <w:rPr/>
            </w:pPr>
            <w:r>
              <w:rPr/>
              <w:t> </w:t>
            </w:r>
          </w:p>
          <w:p>
            <w:pPr>
              <w:pStyle w:val="TableContents"/>
              <w:spacing w:before="0" w:after="0"/>
              <w:rPr>
                <w:rFonts w:ascii="ARIAL" w:hAnsi="ARIAL"/>
                <w:sz w:val="18"/>
              </w:rPr>
            </w:pPr>
            <w:r>
              <w:rPr>
                <w:rFonts w:ascii="WINGDINGS 2" w:hAnsi="WINGDINGS 2"/>
                <w:color w:val="005CB9"/>
                <w:sz w:val="22"/>
              </w:rPr>
              <w:t>Ò</w:t>
            </w:r>
            <w:r>
              <w:rPr>
                <w:rFonts w:ascii="ARIAL" w:hAnsi="ARIAL"/>
                <w:sz w:val="18"/>
              </w:rPr>
              <w:t>  No hedging or pledging of Company stock is permitted (with the exception of the number of shares pledged as of the date of the adoption of the policy in January 2015 for one independent director).</w:t>
            </w:r>
          </w:p>
          <w:p>
            <w:pPr>
              <w:pStyle w:val="TableContents"/>
              <w:spacing w:before="0" w:after="0"/>
              <w:rPr/>
            </w:pPr>
            <w:r>
              <w:rPr/>
              <w:t> </w:t>
            </w:r>
          </w:p>
          <w:p>
            <w:pPr>
              <w:pStyle w:val="TableContents"/>
              <w:spacing w:before="0" w:after="0"/>
              <w:rPr>
                <w:rFonts w:ascii="ARIAL" w:hAnsi="ARIAL"/>
                <w:sz w:val="18"/>
              </w:rPr>
            </w:pPr>
            <w:r>
              <w:rPr>
                <w:rFonts w:ascii="WINGDINGS 2" w:hAnsi="WINGDINGS 2"/>
                <w:color w:val="005CB9"/>
                <w:sz w:val="22"/>
              </w:rPr>
              <w:t>Ò</w:t>
            </w:r>
            <w:r>
              <w:rPr>
                <w:rFonts w:ascii="ARIAL" w:hAnsi="ARIAL"/>
                <w:sz w:val="18"/>
              </w:rPr>
              <w:t>  No excise tax gross-ups on change-in-control payments.</w:t>
            </w:r>
          </w:p>
          <w:p>
            <w:pPr>
              <w:pStyle w:val="TableContents"/>
              <w:spacing w:before="0" w:after="0"/>
              <w:rPr/>
            </w:pPr>
            <w:r>
              <w:rPr/>
              <w:t> </w:t>
            </w:r>
          </w:p>
          <w:p>
            <w:pPr>
              <w:pStyle w:val="TableContents"/>
              <w:spacing w:before="0" w:after="0"/>
              <w:rPr>
                <w:rFonts w:ascii="ARIAL" w:hAnsi="ARIAL"/>
                <w:sz w:val="18"/>
              </w:rPr>
            </w:pPr>
            <w:r>
              <w:rPr>
                <w:rFonts w:ascii="WINGDINGS 2" w:hAnsi="WINGDINGS 2"/>
                <w:color w:val="005CB9"/>
                <w:sz w:val="22"/>
              </w:rPr>
              <w:t>Ò</w:t>
            </w:r>
            <w:r>
              <w:rPr>
                <w:rFonts w:ascii="ARIAL" w:hAnsi="ARIAL"/>
                <w:sz w:val="18"/>
              </w:rPr>
              <w:t>  No re-pricing of underwater stock options or cash buy-outs without shareholder approval.</w:t>
            </w:r>
          </w:p>
          <w:p>
            <w:pPr>
              <w:pStyle w:val="TableContents"/>
              <w:spacing w:before="0" w:after="0"/>
              <w:rPr/>
            </w:pPr>
            <w:r>
              <w:rPr/>
              <w:t> </w:t>
            </w:r>
          </w:p>
          <w:p>
            <w:pPr>
              <w:pStyle w:val="TableContents"/>
              <w:spacing w:before="0" w:after="20"/>
              <w:rPr>
                <w:rFonts w:ascii="ARIAL" w:hAnsi="ARIAL"/>
                <w:sz w:val="18"/>
              </w:rPr>
            </w:pPr>
            <w:r>
              <w:rPr>
                <w:rFonts w:ascii="WINGDINGS 2" w:hAnsi="WINGDINGS 2"/>
                <w:color w:val="005CB9"/>
                <w:sz w:val="22"/>
              </w:rPr>
              <w:t>Ò</w:t>
            </w:r>
            <w:r>
              <w:rPr>
                <w:rFonts w:ascii="ARIAL" w:hAnsi="ARIAL"/>
                <w:sz w:val="18"/>
              </w:rPr>
              <w:t>  No granting of stock options with an exercise price less than fair market value at grant.</w:t>
            </w:r>
          </w:p>
        </w:tc>
      </w:tr>
    </w:tbl>
    <w:p>
      <w:pPr>
        <w:pStyle w:val="TextBody"/>
        <w:spacing w:before="240" w:after="0"/>
        <w:jc w:val="left"/>
        <w:rPr>
          <w:rFonts w:ascii="ARIAL" w:hAnsi="ARIAL"/>
          <w:b/>
          <w:color w:val="005CB9"/>
          <w:sz w:val="20"/>
        </w:rPr>
      </w:pPr>
      <w:r>
        <w:rPr>
          <w:rFonts w:ascii="ARIAL" w:hAnsi="ARIAL"/>
          <w:b/>
          <w:color w:val="005CB9"/>
          <w:sz w:val="20"/>
        </w:rPr>
        <w:t xml:space="preserve">Objectives of our Executive Compensation Program </w:t>
      </w:r>
    </w:p>
    <w:p>
      <w:pPr>
        <w:pStyle w:val="TextBody"/>
        <w:spacing w:before="120" w:after="0"/>
        <w:jc w:val="left"/>
        <w:rPr>
          <w:rFonts w:ascii="ARIAL" w:hAnsi="ARIAL"/>
          <w:sz w:val="19"/>
        </w:rPr>
      </w:pPr>
      <w:r>
        <w:rPr>
          <w:rFonts w:ascii="ARIAL" w:hAnsi="ARIAL"/>
          <w:sz w:val="19"/>
        </w:rPr>
        <w:t xml:space="preserve">Our compensation program for our named executive officers reflects our business needs, market requirements, and challenges in creating long-term shareholder value, and is designed to: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3110230" cy="2466975"/>
                <wp:effectExtent l="0" t="0" r="0" b="0"/>
                <wp:wrapSquare wrapText="largest"/>
                <wp:docPr id="97" name="Frame21"/>
                <a:graphic xmlns:a="http://schemas.openxmlformats.org/drawingml/2006/main">
                  <a:graphicData uri="http://schemas.microsoft.com/office/word/2010/wordprocessingShape">
                    <wps:wsp>
                      <wps:cNvSpPr txBox="1"/>
                      <wps:spPr>
                        <a:xfrm>
                          <a:off x="0" y="0"/>
                          <a:ext cx="3110230" cy="2466975"/>
                        </a:xfrm>
                        <a:prstGeom prst="rect"/>
                      </wps:spPr>
                      <wps:txbx>
                        <w:txbxContent>
                          <w:tbl>
                            <w:tblPr>
                              <w:tblW w:w="5980" w:type="dxa"/>
                              <w:jc w:val="left"/>
                              <w:tblInd w:w="0" w:type="dxa"/>
                              <w:tblCellMar>
                                <w:top w:w="0" w:type="dxa"/>
                                <w:left w:w="0" w:type="dxa"/>
                                <w:bottom w:w="0" w:type="dxa"/>
                                <w:right w:w="0" w:type="dxa"/>
                              </w:tblCellMar>
                            </w:tblPr>
                            <w:tblGrid>
                              <w:gridCol w:w="125"/>
                              <w:gridCol w:w="60"/>
                              <w:gridCol w:w="579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283"/>
                                    <w:jc w:val="left"/>
                                    <w:rPr/>
                                  </w:pPr>
                                  <w:r>
                                    <w:rPr/>
                                    <w:t xml:space="preserve">Drive long-term performance for the benefit of shareholders. </w:t>
                                  </w:r>
                                </w:p>
                              </w:tc>
                            </w:tr>
                          </w:tbl>
                          <w:p>
                            <w:pPr>
                              <w:pStyle w:val="TextBody"/>
                              <w:spacing w:before="0" w:after="0"/>
                              <w:rPr/>
                            </w:pPr>
                            <w:r>
                              <w:rPr/>
                              <w:t> </w:t>
                            </w:r>
                          </w:p>
                          <w:tbl>
                            <w:tblPr>
                              <w:tblW w:w="10000" w:type="dxa"/>
                              <w:jc w:val="left"/>
                              <w:tblInd w:w="0" w:type="dxa"/>
                              <w:tblCellMar>
                                <w:top w:w="0" w:type="dxa"/>
                                <w:left w:w="0" w:type="dxa"/>
                                <w:bottom w:w="0" w:type="dxa"/>
                                <w:right w:w="0" w:type="dxa"/>
                              </w:tblCellMar>
                            </w:tblPr>
                            <w:tblGrid>
                              <w:gridCol w:w="125"/>
                              <w:gridCol w:w="60"/>
                              <w:gridCol w:w="981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15" w:type="dxa"/>
                                  <w:tcBorders/>
                                  <w:shd w:fill="auto" w:val="clear"/>
                                  <w:vAlign w:val="center"/>
                                </w:tcPr>
                                <w:p>
                                  <w:pPr>
                                    <w:pStyle w:val="TableContents"/>
                                    <w:spacing w:before="0" w:after="283"/>
                                    <w:jc w:val="left"/>
                                    <w:rPr/>
                                  </w:pPr>
                                  <w:r>
                                    <w:rPr/>
                                    <w:t xml:space="preserve">Emphasize equity compensation to align named executive officers’ interests with those of shareholders.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Provide compensation levels competitive with publicly traded companies and private equity firms. This enables us to recruit and retain seasoned leadership capable of effectively deploying capital, while driving and managing a diversified technology company that competes in a wide variety of end markets.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4.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980" w:type="dxa"/>
                        <w:jc w:val="left"/>
                        <w:tblInd w:w="0" w:type="dxa"/>
                        <w:tblCellMar>
                          <w:top w:w="0" w:type="dxa"/>
                          <w:left w:w="0" w:type="dxa"/>
                          <w:bottom w:w="0" w:type="dxa"/>
                          <w:right w:w="0" w:type="dxa"/>
                        </w:tblCellMar>
                      </w:tblPr>
                      <w:tblGrid>
                        <w:gridCol w:w="125"/>
                        <w:gridCol w:w="60"/>
                        <w:gridCol w:w="579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283"/>
                              <w:jc w:val="left"/>
                              <w:rPr/>
                            </w:pPr>
                            <w:r>
                              <w:rPr/>
                              <w:t xml:space="preserve">Drive long-term performance for the benefit of shareholders. </w:t>
                            </w:r>
                          </w:p>
                        </w:tc>
                      </w:tr>
                    </w:tbl>
                    <w:p>
                      <w:pPr>
                        <w:pStyle w:val="TextBody"/>
                        <w:spacing w:before="0" w:after="0"/>
                        <w:rPr/>
                      </w:pPr>
                      <w:r>
                        <w:rPr/>
                        <w:t> </w:t>
                      </w:r>
                    </w:p>
                    <w:tbl>
                      <w:tblPr>
                        <w:tblW w:w="10000" w:type="dxa"/>
                        <w:jc w:val="left"/>
                        <w:tblInd w:w="0" w:type="dxa"/>
                        <w:tblCellMar>
                          <w:top w:w="0" w:type="dxa"/>
                          <w:left w:w="0" w:type="dxa"/>
                          <w:bottom w:w="0" w:type="dxa"/>
                          <w:right w:w="0" w:type="dxa"/>
                        </w:tblCellMar>
                      </w:tblPr>
                      <w:tblGrid>
                        <w:gridCol w:w="125"/>
                        <w:gridCol w:w="60"/>
                        <w:gridCol w:w="981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15" w:type="dxa"/>
                            <w:tcBorders/>
                            <w:shd w:fill="auto" w:val="clear"/>
                            <w:vAlign w:val="center"/>
                          </w:tcPr>
                          <w:p>
                            <w:pPr>
                              <w:pStyle w:val="TableContents"/>
                              <w:spacing w:before="0" w:after="283"/>
                              <w:jc w:val="left"/>
                              <w:rPr/>
                            </w:pPr>
                            <w:r>
                              <w:rPr/>
                              <w:t xml:space="preserve">Emphasize equity compensation to align named executive officers’ interests with those of shareholders.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Provide compensation levels competitive with publicly traded companies and private equity firms. This enables us to recruit and retain seasoned leadership capable of effectively deploying capital, while driving and managing a diversified technology company that competes in a wide variety of end markets.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3175000" cy="2821940"/>
                <wp:effectExtent l="0" t="0" r="0" b="0"/>
                <wp:wrapSquare wrapText="largest"/>
                <wp:docPr id="98" name="Frame22"/>
                <a:graphic xmlns:a="http://schemas.openxmlformats.org/drawingml/2006/main">
                  <a:graphicData uri="http://schemas.microsoft.com/office/word/2010/wordprocessingShape">
                    <wps:wsp>
                      <wps:cNvSpPr txBox="1"/>
                      <wps:spPr>
                        <a:xfrm>
                          <a:off x="0" y="0"/>
                          <a:ext cx="3175000" cy="2821940"/>
                        </a:xfrm>
                        <a:prstGeom prst="rect"/>
                      </wps:spPr>
                      <wps:txbx>
                        <w:txbxContent>
                          <w:tbl>
                            <w:tblPr>
                              <w:tblW w:w="9145" w:type="dxa"/>
                              <w:jc w:val="left"/>
                              <w:tblInd w:w="0" w:type="dxa"/>
                              <w:tblCellMar>
                                <w:top w:w="0" w:type="dxa"/>
                                <w:left w:w="0" w:type="dxa"/>
                                <w:bottom w:w="0" w:type="dxa"/>
                                <w:right w:w="0" w:type="dxa"/>
                              </w:tblCellMar>
                            </w:tblPr>
                            <w:tblGrid>
                              <w:gridCol w:w="125"/>
                              <w:gridCol w:w="60"/>
                              <w:gridCol w:w="896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60" w:type="dxa"/>
                                  <w:tcBorders/>
                                  <w:shd w:fill="auto" w:val="clear"/>
                                  <w:vAlign w:val="center"/>
                                </w:tcPr>
                                <w:p>
                                  <w:pPr>
                                    <w:pStyle w:val="TableContents"/>
                                    <w:spacing w:before="0" w:after="283"/>
                                    <w:jc w:val="left"/>
                                    <w:rPr/>
                                  </w:pPr>
                                  <w:r>
                                    <w:rPr/>
                                    <w:t xml:space="preserve">Maintain flexibility to adjust to changing business needs in a fast-paced business environment.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Simplify compensation design to promote transparency and facilitate ease of administration and communication. </w:t>
                                  </w:r>
                                </w:p>
                              </w:tc>
                            </w:tr>
                          </w:tbl>
                          <w:p>
                            <w:pPr>
                              <w:pStyle w:val="TextBody"/>
                              <w:spacing w:before="0" w:after="0"/>
                              <w:rPr/>
                            </w:pPr>
                            <w:r>
                              <w:rPr/>
                              <w:t> </w:t>
                            </w:r>
                          </w:p>
                          <w:tbl>
                            <w:tblPr>
                              <w:tblW w:w="5035" w:type="dxa"/>
                              <w:jc w:val="left"/>
                              <w:tblInd w:w="0" w:type="dxa"/>
                              <w:tblCellMar>
                                <w:top w:w="0" w:type="dxa"/>
                                <w:left w:w="0" w:type="dxa"/>
                                <w:bottom w:w="0" w:type="dxa"/>
                                <w:right w:w="0" w:type="dxa"/>
                              </w:tblCellMar>
                            </w:tblPr>
                            <w:tblGrid>
                              <w:gridCol w:w="125"/>
                              <w:gridCol w:w="60"/>
                              <w:gridCol w:w="485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50" w:type="dxa"/>
                                  <w:tcBorders/>
                                  <w:shd w:fill="auto" w:val="clear"/>
                                  <w:vAlign w:val="center"/>
                                </w:tcPr>
                                <w:p>
                                  <w:pPr>
                                    <w:pStyle w:val="TableContents"/>
                                    <w:spacing w:before="0" w:after="283"/>
                                    <w:jc w:val="left"/>
                                    <w:rPr/>
                                  </w:pPr>
                                  <w:r>
                                    <w:rPr/>
                                    <w:t xml:space="preserve">Solicit and consider the views of our shareholders. </w:t>
                                  </w:r>
                                </w:p>
                              </w:tc>
                            </w:tr>
                          </w:tbl>
                          <w:p>
                            <w:pPr>
                              <w:pStyle w:val="TextBody"/>
                              <w:spacing w:before="0" w:after="0"/>
                              <w:rPr/>
                            </w:pPr>
                            <w:r>
                              <w:rPr/>
                              <w:t> </w:t>
                            </w:r>
                          </w:p>
                          <w:tbl>
                            <w:tblPr>
                              <w:tblW w:w="6175" w:type="dxa"/>
                              <w:jc w:val="left"/>
                              <w:tblInd w:w="0" w:type="dxa"/>
                              <w:tblCellMar>
                                <w:top w:w="0" w:type="dxa"/>
                                <w:left w:w="0" w:type="dxa"/>
                                <w:bottom w:w="0" w:type="dxa"/>
                                <w:right w:w="0" w:type="dxa"/>
                              </w:tblCellMar>
                            </w:tblPr>
                            <w:tblGrid>
                              <w:gridCol w:w="125"/>
                              <w:gridCol w:w="60"/>
                              <w:gridCol w:w="599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90" w:type="dxa"/>
                                  <w:tcBorders/>
                                  <w:shd w:fill="auto" w:val="clear"/>
                                  <w:vAlign w:val="center"/>
                                </w:tcPr>
                                <w:p>
                                  <w:pPr>
                                    <w:pStyle w:val="TableContents"/>
                                    <w:spacing w:before="0" w:after="283"/>
                                    <w:jc w:val="left"/>
                                    <w:rPr/>
                                  </w:pPr>
                                  <w:r>
                                    <w:rPr/>
                                    <w:t xml:space="preserve">Adhere to the highest legal, governance, and ethical standards.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22.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9145" w:type="dxa"/>
                        <w:jc w:val="left"/>
                        <w:tblInd w:w="0" w:type="dxa"/>
                        <w:tblCellMar>
                          <w:top w:w="0" w:type="dxa"/>
                          <w:left w:w="0" w:type="dxa"/>
                          <w:bottom w:w="0" w:type="dxa"/>
                          <w:right w:w="0" w:type="dxa"/>
                        </w:tblCellMar>
                      </w:tblPr>
                      <w:tblGrid>
                        <w:gridCol w:w="125"/>
                        <w:gridCol w:w="60"/>
                        <w:gridCol w:w="896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60" w:type="dxa"/>
                            <w:tcBorders/>
                            <w:shd w:fill="auto" w:val="clear"/>
                            <w:vAlign w:val="center"/>
                          </w:tcPr>
                          <w:p>
                            <w:pPr>
                              <w:pStyle w:val="TableContents"/>
                              <w:spacing w:before="0" w:after="283"/>
                              <w:jc w:val="left"/>
                              <w:rPr/>
                            </w:pPr>
                            <w:r>
                              <w:rPr/>
                              <w:t xml:space="preserve">Maintain flexibility to adjust to changing business needs in a fast-paced business environment.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Simplify compensation design to promote transparency and facilitate ease of administration and communication. </w:t>
                            </w:r>
                          </w:p>
                        </w:tc>
                      </w:tr>
                    </w:tbl>
                    <w:p>
                      <w:pPr>
                        <w:pStyle w:val="TextBody"/>
                        <w:spacing w:before="0" w:after="0"/>
                        <w:rPr/>
                      </w:pPr>
                      <w:r>
                        <w:rPr/>
                        <w:t> </w:t>
                      </w:r>
                    </w:p>
                    <w:tbl>
                      <w:tblPr>
                        <w:tblW w:w="5035" w:type="dxa"/>
                        <w:jc w:val="left"/>
                        <w:tblInd w:w="0" w:type="dxa"/>
                        <w:tblCellMar>
                          <w:top w:w="0" w:type="dxa"/>
                          <w:left w:w="0" w:type="dxa"/>
                          <w:bottom w:w="0" w:type="dxa"/>
                          <w:right w:w="0" w:type="dxa"/>
                        </w:tblCellMar>
                      </w:tblPr>
                      <w:tblGrid>
                        <w:gridCol w:w="125"/>
                        <w:gridCol w:w="60"/>
                        <w:gridCol w:w="485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50" w:type="dxa"/>
                            <w:tcBorders/>
                            <w:shd w:fill="auto" w:val="clear"/>
                            <w:vAlign w:val="center"/>
                          </w:tcPr>
                          <w:p>
                            <w:pPr>
                              <w:pStyle w:val="TableContents"/>
                              <w:spacing w:before="0" w:after="283"/>
                              <w:jc w:val="left"/>
                              <w:rPr/>
                            </w:pPr>
                            <w:r>
                              <w:rPr/>
                              <w:t xml:space="preserve">Solicit and consider the views of our shareholders. </w:t>
                            </w:r>
                          </w:p>
                        </w:tc>
                      </w:tr>
                    </w:tbl>
                    <w:p>
                      <w:pPr>
                        <w:pStyle w:val="TextBody"/>
                        <w:spacing w:before="0" w:after="0"/>
                        <w:rPr/>
                      </w:pPr>
                      <w:r>
                        <w:rPr/>
                        <w:t> </w:t>
                      </w:r>
                    </w:p>
                    <w:tbl>
                      <w:tblPr>
                        <w:tblW w:w="6175" w:type="dxa"/>
                        <w:jc w:val="left"/>
                        <w:tblInd w:w="0" w:type="dxa"/>
                        <w:tblCellMar>
                          <w:top w:w="0" w:type="dxa"/>
                          <w:left w:w="0" w:type="dxa"/>
                          <w:bottom w:w="0" w:type="dxa"/>
                          <w:right w:w="0" w:type="dxa"/>
                        </w:tblCellMar>
                      </w:tblPr>
                      <w:tblGrid>
                        <w:gridCol w:w="125"/>
                        <w:gridCol w:w="60"/>
                        <w:gridCol w:w="599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90" w:type="dxa"/>
                            <w:tcBorders/>
                            <w:shd w:fill="auto" w:val="clear"/>
                            <w:vAlign w:val="center"/>
                          </w:tcPr>
                          <w:p>
                            <w:pPr>
                              <w:pStyle w:val="TableContents"/>
                              <w:spacing w:before="0" w:after="283"/>
                              <w:jc w:val="left"/>
                              <w:rPr/>
                            </w:pPr>
                            <w:r>
                              <w:rPr/>
                              <w:t xml:space="preserve">Adhere to the highest legal, governance, and ethical standards.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9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6" descr=""/>
                          <pic:cNvPicPr>
                            <a:picLocks noChangeAspect="1" noChangeArrowheads="1"/>
                          </pic:cNvPicPr>
                        </pic:nvPicPr>
                        <pic:blipFill>
                          <a:blip r:embed="rId77"/>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27</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sz w:val="24"/>
        </w:rPr>
      </w:pPr>
      <w:bookmarkStart w:id="16" w:name="toc356364_14"/>
      <w:bookmarkEnd w:id="16"/>
      <w:r>
        <w:rPr>
          <w:rFonts w:ascii="ARIAL" w:hAnsi="ARIAL"/>
          <w:b/>
          <w:sz w:val="24"/>
        </w:rPr>
        <w:t xml:space="preserve">ELEMENTS OF COMPENSATION </w:t>
      </w:r>
    </w:p>
    <w:p>
      <w:pPr>
        <w:pStyle w:val="TextBody"/>
        <w:spacing w:before="120" w:after="0"/>
        <w:jc w:val="left"/>
        <w:rPr>
          <w:rFonts w:ascii="ARIAL" w:hAnsi="ARIAL"/>
          <w:sz w:val="19"/>
        </w:rPr>
      </w:pPr>
      <w:r>
        <w:rPr>
          <w:rFonts w:ascii="ARIAL" w:hAnsi="ARIAL"/>
          <w:sz w:val="19"/>
        </w:rPr>
        <w:t xml:space="preserve">Our executive compensation program consists of several elements, each with an objective that fits into our overall program to provide an integrated and competitive total pay package.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3110230" cy="7213600"/>
                <wp:effectExtent l="0" t="0" r="0" b="0"/>
                <wp:wrapSquare wrapText="largest"/>
                <wp:docPr id="100" name="Frame23"/>
                <a:graphic xmlns:a="http://schemas.openxmlformats.org/drawingml/2006/main">
                  <a:graphicData uri="http://schemas.microsoft.com/office/word/2010/wordprocessingShape">
                    <wps:wsp>
                      <wps:cNvSpPr txBox="1"/>
                      <wps:spPr>
                        <a:xfrm>
                          <a:off x="0" y="0"/>
                          <a:ext cx="3110230" cy="7213600"/>
                        </a:xfrm>
                        <a:prstGeom prst="rect"/>
                      </wps:spPr>
                      <wps:txbx>
                        <w:txbxContent>
                          <w:p>
                            <w:pPr>
                              <w:pStyle w:val="TextBody"/>
                              <w:spacing w:before="0" w:after="0"/>
                              <w:rPr>
                                <w:rFonts w:ascii="ARIAL" w:hAnsi="ARIAL"/>
                                <w:b/>
                                <w:color w:val="005CB9"/>
                                <w:sz w:val="20"/>
                              </w:rPr>
                            </w:pPr>
                            <w:r>
                              <w:rPr>
                                <w:rFonts w:ascii="ARIAL" w:hAnsi="ARIAL"/>
                                <w:b/>
                                <w:color w:val="005CB9"/>
                                <w:sz w:val="20"/>
                              </w:rPr>
                              <w:t xml:space="preserve">Long-Term Stock Incentives </w:t>
                            </w:r>
                          </w:p>
                          <w:p>
                            <w:pPr>
                              <w:pStyle w:val="TextBody"/>
                              <w:spacing w:before="120" w:after="0"/>
                              <w:rPr>
                                <w:rFonts w:ascii="ARIAL" w:hAnsi="ARIAL"/>
                                <w:sz w:val="19"/>
                              </w:rPr>
                            </w:pPr>
                            <w:r>
                              <w:rPr>
                                <w:rFonts w:ascii="ARIAL" w:hAnsi="ARIAL"/>
                                <w:sz w:val="19"/>
                              </w:rPr>
                              <w:t xml:space="preserve">Equity compensation is the largest and most important form of pay for our named executive officers as it achieves many of our key compensation objectives: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Tie pay to performance by linking compensation to shareholder value creation and achievement of pre-established and objective performance criteria.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Align named executive officers’ interests with those of shareholders while reinforcing a long-term planning horizon.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Attract named executive officers, particularly those interested in building long-term value for shareholders.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Retain named executive officers and reward continued service by ensuring the forfeiture of awards prior to satisfaction of multi-year service requirements. </w:t>
                                  </w:r>
                                </w:p>
                              </w:tc>
                            </w:tr>
                          </w:tbl>
                          <w:p>
                            <w:pPr>
                              <w:pStyle w:val="TextBody"/>
                              <w:spacing w:before="240" w:after="0"/>
                              <w:rPr>
                                <w:rFonts w:ascii="ARIAL" w:hAnsi="ARIAL"/>
                                <w:sz w:val="19"/>
                              </w:rPr>
                            </w:pPr>
                            <w:r>
                              <w:rPr>
                                <w:rFonts w:ascii="ARIAL" w:hAnsi="ARIAL"/>
                                <w:sz w:val="19"/>
                              </w:rPr>
                              <w:t xml:space="preserve">To determine the appropriate value of an equity award, the Compensation Committee considers the compensation practices of its peers as well as an executive’s individual performance and relative responsibilities. </w:t>
                            </w:r>
                          </w:p>
                          <w:p>
                            <w:pPr>
                              <w:pStyle w:val="TextBody"/>
                              <w:spacing w:before="240" w:after="0"/>
                              <w:rPr>
                                <w:rFonts w:ascii="ARIAL" w:hAnsi="ARIAL"/>
                                <w:b/>
                                <w:i/>
                                <w:color w:val="005CB9"/>
                                <w:sz w:val="20"/>
                              </w:rPr>
                            </w:pPr>
                            <w:r>
                              <w:rPr>
                                <w:rFonts w:ascii="ARIAL" w:hAnsi="ARIAL"/>
                                <w:b/>
                                <w:i/>
                                <w:color w:val="005CB9"/>
                                <w:sz w:val="20"/>
                              </w:rPr>
                              <w:t xml:space="preserve">We use two types of equity awards: </w:t>
                            </w:r>
                          </w:p>
                          <w:p>
                            <w:pPr>
                              <w:pStyle w:val="TextBody"/>
                              <w:spacing w:before="120" w:after="0"/>
                              <w:rPr>
                                <w:rFonts w:ascii="ARIAL" w:hAnsi="ARIAL"/>
                                <w:b/>
                                <w:i/>
                                <w:color w:val="005CB9"/>
                                <w:sz w:val="20"/>
                              </w:rPr>
                            </w:pPr>
                            <w:r>
                              <w:rPr>
                                <w:rFonts w:ascii="ARIAL" w:hAnsi="ARIAL"/>
                                <w:b/>
                                <w:i/>
                                <w:color w:val="005CB9"/>
                                <w:sz w:val="20"/>
                              </w:rPr>
                              <w:t xml:space="preserve">Stock Options </w:t>
                            </w:r>
                          </w:p>
                          <w:p>
                            <w:pPr>
                              <w:pStyle w:val="TextBody"/>
                              <w:spacing w:before="120" w:after="0"/>
                              <w:rPr>
                                <w:rFonts w:ascii="ARIAL" w:hAnsi="ARIAL"/>
                                <w:sz w:val="19"/>
                              </w:rPr>
                            </w:pPr>
                            <w:r>
                              <w:rPr>
                                <w:rFonts w:ascii="ARIAL" w:hAnsi="ARIAL"/>
                                <w:sz w:val="19"/>
                              </w:rPr>
                              <w:t xml:space="preserve">The exercise price of stock options is set at the market closing price of our common stock on the date of grant, which provides an incentive to grow shareholder value and requires continued service over multiple years to realize any gains. Stock options generally vest on the third anniversary of the grant date. </w:t>
                            </w:r>
                          </w:p>
                          <w:p>
                            <w:pPr>
                              <w:pStyle w:val="TextBody"/>
                              <w:spacing w:before="240" w:after="0"/>
                              <w:rPr>
                                <w:rFonts w:ascii="ARIAL" w:hAnsi="ARIAL"/>
                                <w:b/>
                                <w:i/>
                                <w:color w:val="005CB9"/>
                                <w:sz w:val="20"/>
                              </w:rPr>
                            </w:pPr>
                            <w:r>
                              <w:rPr>
                                <w:rFonts w:ascii="ARIAL" w:hAnsi="ARIAL"/>
                                <w:b/>
                                <w:i/>
                                <w:color w:val="005CB9"/>
                                <w:sz w:val="20"/>
                              </w:rPr>
                              <w:t xml:space="preserve">Performance-Based Restricted Stock </w:t>
                            </w:r>
                          </w:p>
                          <w:p>
                            <w:pPr>
                              <w:pStyle w:val="TextBody"/>
                              <w:spacing w:before="120" w:after="0"/>
                              <w:rPr>
                                <w:rFonts w:ascii="ARIAL" w:hAnsi="ARIAL"/>
                                <w:sz w:val="19"/>
                              </w:rPr>
                            </w:pPr>
                            <w:r>
                              <w:rPr>
                                <w:rFonts w:ascii="ARIAL" w:hAnsi="ARIAL"/>
                                <w:sz w:val="19"/>
                              </w:rPr>
                              <w:t xml:space="preserve">In addition to continued service, the vesting of restricted stock is 100% contingent on the Company attaining specific, pre-established and objective performance goals, as specified by the Compensation Committee. Dividends are withheld and paid only to the extent the shares are actually earned by performance. Performance-based restricted stock is intended to encourage the retention of named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05CB9"/>
                          <w:sz w:val="20"/>
                        </w:rPr>
                      </w:pPr>
                      <w:r>
                        <w:rPr>
                          <w:rFonts w:ascii="ARIAL" w:hAnsi="ARIAL"/>
                          <w:b/>
                          <w:color w:val="005CB9"/>
                          <w:sz w:val="20"/>
                        </w:rPr>
                        <w:t xml:space="preserve">Long-Term Stock Incentives </w:t>
                      </w:r>
                    </w:p>
                    <w:p>
                      <w:pPr>
                        <w:pStyle w:val="TextBody"/>
                        <w:spacing w:before="120" w:after="0"/>
                        <w:rPr>
                          <w:rFonts w:ascii="ARIAL" w:hAnsi="ARIAL"/>
                          <w:sz w:val="19"/>
                        </w:rPr>
                      </w:pPr>
                      <w:r>
                        <w:rPr>
                          <w:rFonts w:ascii="ARIAL" w:hAnsi="ARIAL"/>
                          <w:sz w:val="19"/>
                        </w:rPr>
                        <w:t xml:space="preserve">Equity compensation is the largest and most important form of pay for our named executive officers as it achieves many of our key compensation objectives: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Tie pay to performance by linking compensation to shareholder value creation and achievement of pre-established and objective performance criteria.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Align named executive officers’ interests with those of shareholders while reinforcing a long-term planning horizon.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Attract named executive officers, particularly those interested in building long-term value for shareholders.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Retain named executive officers and reward continued service by ensuring the forfeiture of awards prior to satisfaction of multi-year service requirements. </w:t>
                            </w:r>
                          </w:p>
                        </w:tc>
                      </w:tr>
                    </w:tbl>
                    <w:p>
                      <w:pPr>
                        <w:pStyle w:val="TextBody"/>
                        <w:spacing w:before="240" w:after="0"/>
                        <w:rPr>
                          <w:rFonts w:ascii="ARIAL" w:hAnsi="ARIAL"/>
                          <w:sz w:val="19"/>
                        </w:rPr>
                      </w:pPr>
                      <w:r>
                        <w:rPr>
                          <w:rFonts w:ascii="ARIAL" w:hAnsi="ARIAL"/>
                          <w:sz w:val="19"/>
                        </w:rPr>
                        <w:t xml:space="preserve">To determine the appropriate value of an equity award, the Compensation Committee considers the compensation practices of its peers as well as an executive’s individual performance and relative responsibilities. </w:t>
                      </w:r>
                    </w:p>
                    <w:p>
                      <w:pPr>
                        <w:pStyle w:val="TextBody"/>
                        <w:spacing w:before="240" w:after="0"/>
                        <w:rPr>
                          <w:rFonts w:ascii="ARIAL" w:hAnsi="ARIAL"/>
                          <w:b/>
                          <w:i/>
                          <w:color w:val="005CB9"/>
                          <w:sz w:val="20"/>
                        </w:rPr>
                      </w:pPr>
                      <w:r>
                        <w:rPr>
                          <w:rFonts w:ascii="ARIAL" w:hAnsi="ARIAL"/>
                          <w:b/>
                          <w:i/>
                          <w:color w:val="005CB9"/>
                          <w:sz w:val="20"/>
                        </w:rPr>
                        <w:t xml:space="preserve">We use two types of equity awards: </w:t>
                      </w:r>
                    </w:p>
                    <w:p>
                      <w:pPr>
                        <w:pStyle w:val="TextBody"/>
                        <w:spacing w:before="120" w:after="0"/>
                        <w:rPr>
                          <w:rFonts w:ascii="ARIAL" w:hAnsi="ARIAL"/>
                          <w:b/>
                          <w:i/>
                          <w:color w:val="005CB9"/>
                          <w:sz w:val="20"/>
                        </w:rPr>
                      </w:pPr>
                      <w:r>
                        <w:rPr>
                          <w:rFonts w:ascii="ARIAL" w:hAnsi="ARIAL"/>
                          <w:b/>
                          <w:i/>
                          <w:color w:val="005CB9"/>
                          <w:sz w:val="20"/>
                        </w:rPr>
                        <w:t xml:space="preserve">Stock Options </w:t>
                      </w:r>
                    </w:p>
                    <w:p>
                      <w:pPr>
                        <w:pStyle w:val="TextBody"/>
                        <w:spacing w:before="120" w:after="0"/>
                        <w:rPr>
                          <w:rFonts w:ascii="ARIAL" w:hAnsi="ARIAL"/>
                          <w:sz w:val="19"/>
                        </w:rPr>
                      </w:pPr>
                      <w:r>
                        <w:rPr>
                          <w:rFonts w:ascii="ARIAL" w:hAnsi="ARIAL"/>
                          <w:sz w:val="19"/>
                        </w:rPr>
                        <w:t xml:space="preserve">The exercise price of stock options is set at the market closing price of our common stock on the date of grant, which provides an incentive to grow shareholder value and requires continued service over multiple years to realize any gains. Stock options generally vest on the third anniversary of the grant date. </w:t>
                      </w:r>
                    </w:p>
                    <w:p>
                      <w:pPr>
                        <w:pStyle w:val="TextBody"/>
                        <w:spacing w:before="240" w:after="0"/>
                        <w:rPr>
                          <w:rFonts w:ascii="ARIAL" w:hAnsi="ARIAL"/>
                          <w:b/>
                          <w:i/>
                          <w:color w:val="005CB9"/>
                          <w:sz w:val="20"/>
                        </w:rPr>
                      </w:pPr>
                      <w:r>
                        <w:rPr>
                          <w:rFonts w:ascii="ARIAL" w:hAnsi="ARIAL"/>
                          <w:b/>
                          <w:i/>
                          <w:color w:val="005CB9"/>
                          <w:sz w:val="20"/>
                        </w:rPr>
                        <w:t xml:space="preserve">Performance-Based Restricted Stock </w:t>
                      </w:r>
                    </w:p>
                    <w:p>
                      <w:pPr>
                        <w:pStyle w:val="TextBody"/>
                        <w:spacing w:before="120" w:after="0"/>
                        <w:rPr>
                          <w:rFonts w:ascii="ARIAL" w:hAnsi="ARIAL"/>
                          <w:sz w:val="19"/>
                        </w:rPr>
                      </w:pPr>
                      <w:r>
                        <w:rPr>
                          <w:rFonts w:ascii="ARIAL" w:hAnsi="ARIAL"/>
                          <w:sz w:val="19"/>
                        </w:rPr>
                        <w:t xml:space="preserve">In addition to continued service, the vesting of restricted stock is 100% contingent on the Company attaining specific, pre-established and objective performance goals, as specified by the Compensation Committee. Dividends are withheld and paid only to the extent the shares are actually earned by performance. Performance-based restricted stock is intended to encourage the retention of named </w:t>
                      </w:r>
                    </w:p>
                  </w:txbxContent>
                </v:textbox>
                <w10:wrap type="square" side="right"/>
              </v:rect>
            </w:pict>
          </mc:Fallback>
        </mc:AlternateConten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3175000" cy="6191250"/>
                <wp:effectExtent l="0" t="0" r="0" b="0"/>
                <wp:wrapSquare wrapText="largest"/>
                <wp:docPr id="101" name="Frame24"/>
                <a:graphic xmlns:a="http://schemas.openxmlformats.org/drawingml/2006/main">
                  <a:graphicData uri="http://schemas.microsoft.com/office/word/2010/wordprocessingShape">
                    <wps:wsp>
                      <wps:cNvSpPr txBox="1"/>
                      <wps:spPr>
                        <a:xfrm>
                          <a:off x="0" y="0"/>
                          <a:ext cx="3175000" cy="6191250"/>
                        </a:xfrm>
                        <a:prstGeom prst="rect"/>
                      </wps:spPr>
                      <wps:txbx>
                        <w:txbxContent>
                          <w:p>
                            <w:pPr>
                              <w:pStyle w:val="TextBody"/>
                              <w:spacing w:before="0" w:after="0"/>
                              <w:rPr>
                                <w:rFonts w:ascii="ARIAL" w:hAnsi="ARIAL"/>
                                <w:sz w:val="19"/>
                              </w:rPr>
                            </w:pPr>
                            <w:r>
                              <w:rPr>
                                <w:rFonts w:ascii="ARIAL" w:hAnsi="ARIAL"/>
                                <w:sz w:val="19"/>
                              </w:rPr>
                              <w:t xml:space="preserve">executive officers, provide a continuing incentive to increase shareholder value, and further align our named executive officers’ interests with shareholder interests. </w:t>
                            </w:r>
                          </w:p>
                          <w:p>
                            <w:pPr>
                              <w:pStyle w:val="TextBody"/>
                              <w:spacing w:before="240" w:after="0"/>
                              <w:rPr>
                                <w:rFonts w:ascii="ARIAL" w:hAnsi="ARIAL"/>
                                <w:b/>
                                <w:i/>
                                <w:color w:val="005CB9"/>
                                <w:sz w:val="20"/>
                              </w:rPr>
                            </w:pPr>
                            <w:r>
                              <w:rPr>
                                <w:rFonts w:ascii="ARIAL" w:hAnsi="ARIAL"/>
                                <w:b/>
                                <w:i/>
                                <w:color w:val="005CB9"/>
                                <w:sz w:val="20"/>
                              </w:rPr>
                              <w:t xml:space="preserve">Equity Grants </w:t>
                            </w:r>
                          </w:p>
                          <w:p>
                            <w:pPr>
                              <w:pStyle w:val="TextBody"/>
                              <w:spacing w:before="120" w:after="0"/>
                              <w:rPr>
                                <w:rFonts w:ascii="ARIAL" w:hAnsi="ARIAL"/>
                                <w:sz w:val="19"/>
                              </w:rPr>
                            </w:pPr>
                            <w:r>
                              <w:rPr>
                                <w:rFonts w:ascii="ARIAL" w:hAnsi="ARIAL"/>
                                <w:sz w:val="19"/>
                              </w:rPr>
                              <w:t xml:space="preserve">The Compensation Committee grants annual awards of performance-based restricted stock and stock options to named executive officers. Prior to 2023, these grants were made at the first regularly scheduled committee meeting each year, typically in January. Starting in 2023, these grants are awarded at the second regularly scheduled committee meeting each year, typically in March, to coincide with the timing of annual equity awards made to other equity recipients. The exercise price for stock options is the closing price of Roper common stock on the date of grant. From time to time the Compensation Committee may grant additional awards in connection with promotions or increased responsibilities as well as to newly hired employees. </w:t>
                            </w:r>
                          </w:p>
                          <w:p>
                            <w:pPr>
                              <w:pStyle w:val="TextBody"/>
                              <w:spacing w:before="240" w:after="0"/>
                              <w:rPr>
                                <w:rFonts w:ascii="ARIAL" w:hAnsi="ARIAL"/>
                                <w:b/>
                                <w:i/>
                                <w:color w:val="005CB9"/>
                                <w:sz w:val="20"/>
                              </w:rPr>
                            </w:pPr>
                            <w:r>
                              <w:rPr>
                                <w:rFonts w:ascii="ARIAL" w:hAnsi="ARIAL"/>
                                <w:b/>
                                <w:i/>
                                <w:color w:val="005CB9"/>
                                <w:sz w:val="20"/>
                              </w:rPr>
                              <w:t xml:space="preserve">We use two types of cash payments: </w:t>
                            </w:r>
                          </w:p>
                          <w:p>
                            <w:pPr>
                              <w:pStyle w:val="TextBody"/>
                              <w:spacing w:before="120" w:after="0"/>
                              <w:rPr>
                                <w:rFonts w:ascii="ARIAL" w:hAnsi="ARIAL"/>
                                <w:b/>
                                <w:i/>
                                <w:color w:val="005CB9"/>
                                <w:sz w:val="20"/>
                              </w:rPr>
                            </w:pPr>
                            <w:r>
                              <w:rPr>
                                <w:rFonts w:ascii="ARIAL" w:hAnsi="ARIAL"/>
                                <w:b/>
                                <w:i/>
                                <w:color w:val="005CB9"/>
                                <w:sz w:val="20"/>
                              </w:rPr>
                              <w:t xml:space="preserve">Cash Incentives </w:t>
                            </w:r>
                          </w:p>
                          <w:p>
                            <w:pPr>
                              <w:pStyle w:val="TextBody"/>
                              <w:spacing w:before="120" w:after="0"/>
                              <w:rPr>
                                <w:rFonts w:ascii="ARIAL" w:hAnsi="ARIAL"/>
                                <w:sz w:val="19"/>
                              </w:rPr>
                            </w:pPr>
                            <w:r>
                              <w:rPr>
                                <w:rFonts w:ascii="ARIAL" w:hAnsi="ARIAL"/>
                                <w:sz w:val="19"/>
                              </w:rPr>
                              <w:t xml:space="preserve">Cash incentives support the achievement of our business strategies by tying a portion of compensation to the achievement of established financial objectives and assist in attracting named executive officers due to their market prevalence. Cash incentives are capped to avoid an excessive short-term focus and potentially excessive risk-taking. Annual cash incentives for named executive officers, including our CEO, are tied to annual performance. Our CEO’s special long-term cash incentive award is tied to cumulative financial performance over a five-year period. </w:t>
                            </w:r>
                          </w:p>
                          <w:p>
                            <w:pPr>
                              <w:pStyle w:val="TextBody"/>
                              <w:spacing w:before="240" w:after="0"/>
                              <w:rPr>
                                <w:rFonts w:ascii="ARIAL" w:hAnsi="ARIAL"/>
                                <w:b/>
                                <w:color w:val="005CB9"/>
                                <w:sz w:val="20"/>
                              </w:rPr>
                            </w:pPr>
                            <w:r>
                              <w:rPr>
                                <w:rFonts w:ascii="ARIAL" w:hAnsi="ARIAL"/>
                                <w:b/>
                                <w:color w:val="005CB9"/>
                                <w:sz w:val="20"/>
                              </w:rPr>
                              <w:t xml:space="preserve">Base Salary </w:t>
                            </w:r>
                          </w:p>
                          <w:p>
                            <w:pPr>
                              <w:pStyle w:val="TextBody"/>
                              <w:spacing w:before="120" w:after="0"/>
                              <w:rPr>
                                <w:rFonts w:ascii="ARIAL" w:hAnsi="ARIAL"/>
                                <w:sz w:val="19"/>
                              </w:rPr>
                            </w:pPr>
                            <w:r>
                              <w:rPr>
                                <w:rFonts w:ascii="ARIAL" w:hAnsi="ARIAL"/>
                                <w:sz w:val="19"/>
                              </w:rPr>
                              <w:t xml:space="preserve">Base salary is fixed cash compensation that reflects level and scope of responsibility, experience, and skills as well as market practices. The Compensation Committee reviews each named executive officer’s base salary annually as well as in connection with a promotion or other change in responsibilities. Salary adjustments are usually effective as of January 1.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87.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executive officers, provide a continuing incentive to increase shareholder value, and further align our named executive officers’ interests with shareholder interests. </w:t>
                      </w:r>
                    </w:p>
                    <w:p>
                      <w:pPr>
                        <w:pStyle w:val="TextBody"/>
                        <w:spacing w:before="240" w:after="0"/>
                        <w:rPr>
                          <w:rFonts w:ascii="ARIAL" w:hAnsi="ARIAL"/>
                          <w:b/>
                          <w:i/>
                          <w:color w:val="005CB9"/>
                          <w:sz w:val="20"/>
                        </w:rPr>
                      </w:pPr>
                      <w:r>
                        <w:rPr>
                          <w:rFonts w:ascii="ARIAL" w:hAnsi="ARIAL"/>
                          <w:b/>
                          <w:i/>
                          <w:color w:val="005CB9"/>
                          <w:sz w:val="20"/>
                        </w:rPr>
                        <w:t xml:space="preserve">Equity Grants </w:t>
                      </w:r>
                    </w:p>
                    <w:p>
                      <w:pPr>
                        <w:pStyle w:val="TextBody"/>
                        <w:spacing w:before="120" w:after="0"/>
                        <w:rPr>
                          <w:rFonts w:ascii="ARIAL" w:hAnsi="ARIAL"/>
                          <w:sz w:val="19"/>
                        </w:rPr>
                      </w:pPr>
                      <w:r>
                        <w:rPr>
                          <w:rFonts w:ascii="ARIAL" w:hAnsi="ARIAL"/>
                          <w:sz w:val="19"/>
                        </w:rPr>
                        <w:t xml:space="preserve">The Compensation Committee grants annual awards of performance-based restricted stock and stock options to named executive officers. Prior to 2023, these grants were made at the first regularly scheduled committee meeting each year, typically in January. Starting in 2023, these grants are awarded at the second regularly scheduled committee meeting each year, typically in March, to coincide with the timing of annual equity awards made to other equity recipients. The exercise price for stock options is the closing price of Roper common stock on the date of grant. From time to time the Compensation Committee may grant additional awards in connection with promotions or increased responsibilities as well as to newly hired employees. </w:t>
                      </w:r>
                    </w:p>
                    <w:p>
                      <w:pPr>
                        <w:pStyle w:val="TextBody"/>
                        <w:spacing w:before="240" w:after="0"/>
                        <w:rPr>
                          <w:rFonts w:ascii="ARIAL" w:hAnsi="ARIAL"/>
                          <w:b/>
                          <w:i/>
                          <w:color w:val="005CB9"/>
                          <w:sz w:val="20"/>
                        </w:rPr>
                      </w:pPr>
                      <w:r>
                        <w:rPr>
                          <w:rFonts w:ascii="ARIAL" w:hAnsi="ARIAL"/>
                          <w:b/>
                          <w:i/>
                          <w:color w:val="005CB9"/>
                          <w:sz w:val="20"/>
                        </w:rPr>
                        <w:t xml:space="preserve">We use two types of cash payments: </w:t>
                      </w:r>
                    </w:p>
                    <w:p>
                      <w:pPr>
                        <w:pStyle w:val="TextBody"/>
                        <w:spacing w:before="120" w:after="0"/>
                        <w:rPr>
                          <w:rFonts w:ascii="ARIAL" w:hAnsi="ARIAL"/>
                          <w:b/>
                          <w:i/>
                          <w:color w:val="005CB9"/>
                          <w:sz w:val="20"/>
                        </w:rPr>
                      </w:pPr>
                      <w:r>
                        <w:rPr>
                          <w:rFonts w:ascii="ARIAL" w:hAnsi="ARIAL"/>
                          <w:b/>
                          <w:i/>
                          <w:color w:val="005CB9"/>
                          <w:sz w:val="20"/>
                        </w:rPr>
                        <w:t xml:space="preserve">Cash Incentives </w:t>
                      </w:r>
                    </w:p>
                    <w:p>
                      <w:pPr>
                        <w:pStyle w:val="TextBody"/>
                        <w:spacing w:before="120" w:after="0"/>
                        <w:rPr>
                          <w:rFonts w:ascii="ARIAL" w:hAnsi="ARIAL"/>
                          <w:sz w:val="19"/>
                        </w:rPr>
                      </w:pPr>
                      <w:r>
                        <w:rPr>
                          <w:rFonts w:ascii="ARIAL" w:hAnsi="ARIAL"/>
                          <w:sz w:val="19"/>
                        </w:rPr>
                        <w:t xml:space="preserve">Cash incentives support the achievement of our business strategies by tying a portion of compensation to the achievement of established financial objectives and assist in attracting named executive officers due to their market prevalence. Cash incentives are capped to avoid an excessive short-term focus and potentially excessive risk-taking. Annual cash incentives for named executive officers, including our CEO, are tied to annual performance. Our CEO’s special long-term cash incentive award is tied to cumulative financial performance over a five-year period. </w:t>
                      </w:r>
                    </w:p>
                    <w:p>
                      <w:pPr>
                        <w:pStyle w:val="TextBody"/>
                        <w:spacing w:before="240" w:after="0"/>
                        <w:rPr>
                          <w:rFonts w:ascii="ARIAL" w:hAnsi="ARIAL"/>
                          <w:b/>
                          <w:color w:val="005CB9"/>
                          <w:sz w:val="20"/>
                        </w:rPr>
                      </w:pPr>
                      <w:r>
                        <w:rPr>
                          <w:rFonts w:ascii="ARIAL" w:hAnsi="ARIAL"/>
                          <w:b/>
                          <w:color w:val="005CB9"/>
                          <w:sz w:val="20"/>
                        </w:rPr>
                        <w:t xml:space="preserve">Base Salary </w:t>
                      </w:r>
                    </w:p>
                    <w:p>
                      <w:pPr>
                        <w:pStyle w:val="TextBody"/>
                        <w:spacing w:before="120" w:after="0"/>
                        <w:rPr>
                          <w:rFonts w:ascii="ARIAL" w:hAnsi="ARIAL"/>
                          <w:sz w:val="19"/>
                        </w:rPr>
                      </w:pPr>
                      <w:r>
                        <w:rPr>
                          <w:rFonts w:ascii="ARIAL" w:hAnsi="ARIAL"/>
                          <w:sz w:val="19"/>
                        </w:rPr>
                        <w:t xml:space="preserve">Base salary is fixed cash compensation that reflects level and scope of responsibility, experience, and skills as well as market practices. The Compensation Committee reviews each named executive officer’s base salary annually as well as in connection with a promotion or other change in responsibilities. Salary adjustments are usually effective as of January 1. </w:t>
                      </w:r>
                    </w:p>
                  </w:txbxContent>
                </v:textbox>
                <w10:wrap type="square" side="right"/>
              </v:rect>
            </w:pict>
          </mc:Fallback>
        </mc:AlternateConten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28</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0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7" descr=""/>
                          <pic:cNvPicPr>
                            <a:picLocks noChangeAspect="1" noChangeArrowheads="1"/>
                          </pic:cNvPicPr>
                        </pic:nvPicPr>
                        <pic:blipFill>
                          <a:blip r:embed="rId78"/>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color w:val="005CB9"/>
          <w:sz w:val="20"/>
        </w:rPr>
      </w:pPr>
      <w:r>
        <w:rPr>
          <w:rFonts w:ascii="ARIAL" w:hAnsi="ARIAL"/>
          <w:b/>
          <w:color w:val="005CB9"/>
          <w:sz w:val="20"/>
        </w:rPr>
        <w:t xml:space="preserve">Other Pay Elements </w:t>
      </w:r>
    </w:p>
    <w:p>
      <w:pPr>
        <w:pStyle w:val="TextBody"/>
        <w:spacing w:before="120" w:after="0"/>
        <w:jc w:val="left"/>
        <w:rPr>
          <w:rFonts w:ascii="ARIAL" w:hAnsi="ARIAL"/>
          <w:sz w:val="19"/>
        </w:rPr>
      </w:pPr>
      <w:r>
        <w:rPr>
          <w:rFonts w:ascii="ARIAL" w:hAnsi="ARIAL"/>
          <w:sz w:val="19"/>
        </w:rPr>
        <w:t xml:space="preserve">Roper does not provide supplemental pensions and other compensation not tied to performance. The additional items summarized below represent only a small portion of our named executive officers’ total compensation.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3110230" cy="4102100"/>
                <wp:effectExtent l="0" t="0" r="0" b="0"/>
                <wp:wrapSquare wrapText="largest"/>
                <wp:docPr id="103" name="Frame25"/>
                <a:graphic xmlns:a="http://schemas.openxmlformats.org/drawingml/2006/main">
                  <a:graphicData uri="http://schemas.microsoft.com/office/word/2010/wordprocessingShape">
                    <wps:wsp>
                      <wps:cNvSpPr txBox="1"/>
                      <wps:spPr>
                        <a:xfrm>
                          <a:off x="0" y="0"/>
                          <a:ext cx="3110230" cy="4102100"/>
                        </a:xfrm>
                        <a:prstGeom prst="rect"/>
                      </wps:spPr>
                      <wps:txbx>
                        <w:txbxContent>
                          <w:p>
                            <w:pPr>
                              <w:pStyle w:val="TextBody"/>
                              <w:spacing w:before="0" w:after="0"/>
                              <w:rPr>
                                <w:rFonts w:ascii="ARIAL" w:hAnsi="ARIAL"/>
                                <w:b/>
                                <w:color w:val="005CB9"/>
                                <w:sz w:val="20"/>
                              </w:rPr>
                            </w:pPr>
                            <w:r>
                              <w:rPr>
                                <w:rFonts w:ascii="ARIAL" w:hAnsi="ARIAL"/>
                                <w:b/>
                                <w:color w:val="005CB9"/>
                                <w:sz w:val="20"/>
                              </w:rPr>
                              <w:t xml:space="preserve">Retirement Benefits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Named executive officers may participate under the same terms as other eligible employees in a 401(k) plan that provides matching contributions capped at 7.5% of cash compensation, subject to limitations imposed by the Internal Revenue Code of 1986, as amended (the “Code”).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To provide financial planning flexibility, we maintain a Non-Qualified Retirement Plan, under which named executive officers may elect to defer cash compensation. This plan is intended to provide deferred compensation benefits that would have been earned under the tax-qualified 401(k) plan but for certain limitations imposed by the Code. For more information on this plan, see the “Executive Compensation—2022 Non-Qualified Deferred Compensation” section below. </w:t>
                                  </w:r>
                                </w:p>
                              </w:tc>
                            </w:tr>
                          </w:tbl>
                          <w:p>
                            <w:pPr>
                              <w:pStyle w:val="TextBody"/>
                              <w:spacing w:before="220" w:after="0"/>
                              <w:rPr>
                                <w:rFonts w:ascii="ARIAL" w:hAnsi="ARIAL"/>
                                <w:b/>
                                <w:i/>
                                <w:color w:val="005CB9"/>
                                <w:sz w:val="20"/>
                              </w:rPr>
                            </w:pPr>
                            <w:r>
                              <w:rPr>
                                <w:rFonts w:ascii="ARIAL" w:hAnsi="ARIAL"/>
                                <w:b/>
                                <w:i/>
                                <w:color w:val="005CB9"/>
                                <w:sz w:val="20"/>
                              </w:rPr>
                              <w:t xml:space="preserve">Perquisites and Other Benefits </w:t>
                            </w:r>
                          </w:p>
                          <w:p>
                            <w:pPr>
                              <w:pStyle w:val="TextBody"/>
                              <w:spacing w:before="120" w:after="0"/>
                              <w:rPr>
                                <w:rFonts w:ascii="ARIAL" w:hAnsi="ARIAL"/>
                                <w:sz w:val="19"/>
                              </w:rPr>
                            </w:pPr>
                            <w:r>
                              <w:rPr>
                                <w:rFonts w:ascii="ARIAL" w:hAnsi="ARIAL"/>
                                <w:sz w:val="19"/>
                              </w:rPr>
                              <w:t xml:space="preserve">Perquisites and other non-cash benefits offered to named executive officers include limited personal use of company aircraft (for Mr. Hunn), an automobile allowance, financial planning assistance (for Mr. Hunn), and periodic medical physicals. Club memberships are permitted when they have a business purpose. </w:t>
                            </w:r>
                          </w:p>
                          <w:p>
                            <w:pPr>
                              <w:pStyle w:val="TextBody"/>
                              <w:spacing w:before="240" w:after="0"/>
                              <w:rPr>
                                <w:rFonts w:ascii="ARIAL" w:hAnsi="ARIAL"/>
                                <w:b/>
                                <w:i/>
                                <w:color w:val="005CB9"/>
                                <w:sz w:val="20"/>
                              </w:rPr>
                            </w:pPr>
                            <w:r>
                              <w:rPr>
                                <w:rFonts w:ascii="ARIAL" w:hAnsi="ARIAL"/>
                                <w:b/>
                                <w:i/>
                                <w:color w:val="005CB9"/>
                                <w:sz w:val="20"/>
                              </w:rPr>
                              <w:t xml:space="preserve">Severance and Change in Control Provisions </w:t>
                            </w:r>
                          </w:p>
                          <w:p>
                            <w:pPr>
                              <w:pStyle w:val="TextBody"/>
                              <w:spacing w:before="120" w:after="0"/>
                              <w:rPr>
                                <w:rFonts w:ascii="ARIAL" w:hAnsi="ARIAL"/>
                                <w:sz w:val="19"/>
                              </w:rPr>
                            </w:pPr>
                            <w:r>
                              <w:rPr>
                                <w:rFonts w:ascii="ARIAL" w:hAnsi="ARIAL"/>
                                <w:sz w:val="19"/>
                              </w:rPr>
                              <w:t xml:space="preserve">We have letter agreements only with Messrs. Hunn and Stipancich. These arrangements provide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2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05CB9"/>
                          <w:sz w:val="20"/>
                        </w:rPr>
                      </w:pPr>
                      <w:r>
                        <w:rPr>
                          <w:rFonts w:ascii="ARIAL" w:hAnsi="ARIAL"/>
                          <w:b/>
                          <w:color w:val="005CB9"/>
                          <w:sz w:val="20"/>
                        </w:rPr>
                        <w:t xml:space="preserve">Retirement Benefits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Named executive officers may participate under the same terms as other eligible employees in a 401(k) plan that provides matching contributions capped at 7.5% of cash compensation, subject to limitations imposed by the Internal Revenue Code of 1986, as amended (the “Code”).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To provide financial planning flexibility, we maintain a Non-Qualified Retirement Plan, under which named executive officers may elect to defer cash compensation. This plan is intended to provide deferred compensation benefits that would have been earned under the tax-qualified 401(k) plan but for certain limitations imposed by the Code. For more information on this plan, see the “Executive Compensation—2022 Non-Qualified Deferred Compensation” section below. </w:t>
                            </w:r>
                          </w:p>
                        </w:tc>
                      </w:tr>
                    </w:tbl>
                    <w:p>
                      <w:pPr>
                        <w:pStyle w:val="TextBody"/>
                        <w:spacing w:before="220" w:after="0"/>
                        <w:rPr>
                          <w:rFonts w:ascii="ARIAL" w:hAnsi="ARIAL"/>
                          <w:b/>
                          <w:i/>
                          <w:color w:val="005CB9"/>
                          <w:sz w:val="20"/>
                        </w:rPr>
                      </w:pPr>
                      <w:r>
                        <w:rPr>
                          <w:rFonts w:ascii="ARIAL" w:hAnsi="ARIAL"/>
                          <w:b/>
                          <w:i/>
                          <w:color w:val="005CB9"/>
                          <w:sz w:val="20"/>
                        </w:rPr>
                        <w:t xml:space="preserve">Perquisites and Other Benefits </w:t>
                      </w:r>
                    </w:p>
                    <w:p>
                      <w:pPr>
                        <w:pStyle w:val="TextBody"/>
                        <w:spacing w:before="120" w:after="0"/>
                        <w:rPr>
                          <w:rFonts w:ascii="ARIAL" w:hAnsi="ARIAL"/>
                          <w:sz w:val="19"/>
                        </w:rPr>
                      </w:pPr>
                      <w:r>
                        <w:rPr>
                          <w:rFonts w:ascii="ARIAL" w:hAnsi="ARIAL"/>
                          <w:sz w:val="19"/>
                        </w:rPr>
                        <w:t xml:space="preserve">Perquisites and other non-cash benefits offered to named executive officers include limited personal use of company aircraft (for Mr. Hunn), an automobile allowance, financial planning assistance (for Mr. Hunn), and periodic medical physicals. Club memberships are permitted when they have a business purpose. </w:t>
                      </w:r>
                    </w:p>
                    <w:p>
                      <w:pPr>
                        <w:pStyle w:val="TextBody"/>
                        <w:spacing w:before="240" w:after="0"/>
                        <w:rPr>
                          <w:rFonts w:ascii="ARIAL" w:hAnsi="ARIAL"/>
                          <w:b/>
                          <w:i/>
                          <w:color w:val="005CB9"/>
                          <w:sz w:val="20"/>
                        </w:rPr>
                      </w:pPr>
                      <w:r>
                        <w:rPr>
                          <w:rFonts w:ascii="ARIAL" w:hAnsi="ARIAL"/>
                          <w:b/>
                          <w:i/>
                          <w:color w:val="005CB9"/>
                          <w:sz w:val="20"/>
                        </w:rPr>
                        <w:t xml:space="preserve">Severance and Change in Control Provisions </w:t>
                      </w:r>
                    </w:p>
                    <w:p>
                      <w:pPr>
                        <w:pStyle w:val="TextBody"/>
                        <w:spacing w:before="120" w:after="0"/>
                        <w:rPr>
                          <w:rFonts w:ascii="ARIAL" w:hAnsi="ARIAL"/>
                          <w:sz w:val="19"/>
                        </w:rPr>
                      </w:pPr>
                      <w:r>
                        <w:rPr>
                          <w:rFonts w:ascii="ARIAL" w:hAnsi="ARIAL"/>
                          <w:sz w:val="19"/>
                        </w:rPr>
                        <w:t xml:space="preserve">We have letter agreements only with Messrs. Hunn and Stipancich. These arrangements provide </w:t>
                      </w:r>
                    </w:p>
                  </w:txbxContent>
                </v:textbox>
                <w10:wrap type="square" side="right"/>
              </v:rect>
            </w:pict>
          </mc:Fallback>
        </mc:AlternateConten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3175000" cy="3643630"/>
                <wp:effectExtent l="0" t="0" r="0" b="0"/>
                <wp:wrapSquare wrapText="largest"/>
                <wp:docPr id="104" name="Frame26"/>
                <a:graphic xmlns:a="http://schemas.openxmlformats.org/drawingml/2006/main">
                  <a:graphicData uri="http://schemas.microsoft.com/office/word/2010/wordprocessingShape">
                    <wps:wsp>
                      <wps:cNvSpPr txBox="1"/>
                      <wps:spPr>
                        <a:xfrm>
                          <a:off x="0" y="0"/>
                          <a:ext cx="3175000" cy="3643630"/>
                        </a:xfrm>
                        <a:prstGeom prst="rect"/>
                      </wps:spPr>
                      <wps:txbx>
                        <w:txbxContent>
                          <w:p>
                            <w:pPr>
                              <w:pStyle w:val="TextBody"/>
                              <w:spacing w:before="0" w:after="0"/>
                              <w:rPr>
                                <w:rFonts w:ascii="ARIAL" w:hAnsi="ARIAL"/>
                                <w:sz w:val="19"/>
                              </w:rPr>
                            </w:pPr>
                            <w:r>
                              <w:rPr>
                                <w:rFonts w:ascii="ARIAL" w:hAnsi="ARIAL"/>
                                <w:sz w:val="19"/>
                              </w:rPr>
                              <w:t xml:space="preserve">severance benefits in the event of termination of employment under certain circumstances, including in connection with a change in control. For a description of these agreements and payments under various termination scenarios, see the “Executive Compensation—Potential Payments upon Termination or Change in Control” section below. </w:t>
                            </w:r>
                          </w:p>
                          <w:p>
                            <w:pPr>
                              <w:pStyle w:val="TextBody"/>
                              <w:spacing w:before="240" w:after="0"/>
                              <w:rPr>
                                <w:rFonts w:ascii="ARIAL" w:hAnsi="ARIAL"/>
                                <w:b/>
                                <w:i/>
                                <w:color w:val="005CB9"/>
                                <w:sz w:val="20"/>
                              </w:rPr>
                            </w:pPr>
                            <w:r>
                              <w:rPr>
                                <w:rFonts w:ascii="ARIAL" w:hAnsi="ARIAL"/>
                                <w:b/>
                                <w:i/>
                                <w:color w:val="005CB9"/>
                                <w:sz w:val="20"/>
                              </w:rPr>
                              <w:t xml:space="preserve">Double Trigger Equity Vesting </w:t>
                            </w:r>
                          </w:p>
                          <w:p>
                            <w:pPr>
                              <w:pStyle w:val="TextBody"/>
                              <w:spacing w:before="120" w:after="0"/>
                              <w:rPr>
                                <w:rFonts w:ascii="ARIAL" w:hAnsi="ARIAL"/>
                                <w:sz w:val="19"/>
                              </w:rPr>
                            </w:pPr>
                            <w:r>
                              <w:rPr>
                                <w:rFonts w:ascii="ARIAL" w:hAnsi="ARIAL"/>
                                <w:sz w:val="19"/>
                              </w:rPr>
                              <w:t xml:space="preserve">In regard to equity awards, we use a “double trigger” approach to vesting upon a change in control, rather than providing for vesting solely upon a change in control (“single trigger”), because we believe it provides adequate protection and reduces potential costs for a possible acquirer of the Company. See the “Executive Compensation—Potential Payments upon Termination or Change in Control” section below for additional detail. </w:t>
                            </w:r>
                          </w:p>
                          <w:p>
                            <w:pPr>
                              <w:pStyle w:val="TextBody"/>
                              <w:spacing w:before="220" w:after="0"/>
                              <w:rPr>
                                <w:rFonts w:ascii="ARIAL" w:hAnsi="ARIAL"/>
                                <w:b/>
                                <w:i/>
                                <w:color w:val="005CB9"/>
                                <w:sz w:val="20"/>
                              </w:rPr>
                            </w:pPr>
                            <w:r>
                              <w:rPr>
                                <w:rFonts w:ascii="ARIAL" w:hAnsi="ARIAL"/>
                                <w:b/>
                                <w:i/>
                                <w:color w:val="005CB9"/>
                                <w:sz w:val="20"/>
                              </w:rPr>
                              <w:t xml:space="preserve">No Excise Tax Gross-Ups </w:t>
                            </w:r>
                          </w:p>
                          <w:p>
                            <w:pPr>
                              <w:pStyle w:val="TextBody"/>
                              <w:spacing w:before="120" w:after="0"/>
                              <w:rPr>
                                <w:rFonts w:ascii="ARIAL" w:hAnsi="ARIAL"/>
                                <w:sz w:val="19"/>
                              </w:rPr>
                            </w:pPr>
                            <w:r>
                              <w:rPr>
                                <w:rFonts w:ascii="ARIAL" w:hAnsi="ARIAL"/>
                                <w:sz w:val="19"/>
                              </w:rPr>
                              <w:t xml:space="preserve">A named executive officer may be subject to excise taxes on benefits received in relation to a change in control of the Company. We do not provide excise-tax gross-ups to named executive officers (which would place the named executive officer in the same tax position as if the excise tax did not apply).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6.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severance benefits in the event of termination of employment under certain circumstances, including in connection with a change in control. For a description of these agreements and payments under various termination scenarios, see the “Executive Compensation—Potential Payments upon Termination or Change in Control” section below. </w:t>
                      </w:r>
                    </w:p>
                    <w:p>
                      <w:pPr>
                        <w:pStyle w:val="TextBody"/>
                        <w:spacing w:before="240" w:after="0"/>
                        <w:rPr>
                          <w:rFonts w:ascii="ARIAL" w:hAnsi="ARIAL"/>
                          <w:b/>
                          <w:i/>
                          <w:color w:val="005CB9"/>
                          <w:sz w:val="20"/>
                        </w:rPr>
                      </w:pPr>
                      <w:r>
                        <w:rPr>
                          <w:rFonts w:ascii="ARIAL" w:hAnsi="ARIAL"/>
                          <w:b/>
                          <w:i/>
                          <w:color w:val="005CB9"/>
                          <w:sz w:val="20"/>
                        </w:rPr>
                        <w:t xml:space="preserve">Double Trigger Equity Vesting </w:t>
                      </w:r>
                    </w:p>
                    <w:p>
                      <w:pPr>
                        <w:pStyle w:val="TextBody"/>
                        <w:spacing w:before="120" w:after="0"/>
                        <w:rPr>
                          <w:rFonts w:ascii="ARIAL" w:hAnsi="ARIAL"/>
                          <w:sz w:val="19"/>
                        </w:rPr>
                      </w:pPr>
                      <w:r>
                        <w:rPr>
                          <w:rFonts w:ascii="ARIAL" w:hAnsi="ARIAL"/>
                          <w:sz w:val="19"/>
                        </w:rPr>
                        <w:t xml:space="preserve">In regard to equity awards, we use a “double trigger” approach to vesting upon a change in control, rather than providing for vesting solely upon a change in control (“single trigger”), because we believe it provides adequate protection and reduces potential costs for a possible acquirer of the Company. See the “Executive Compensation—Potential Payments upon Termination or Change in Control” section below for additional detail. </w:t>
                      </w:r>
                    </w:p>
                    <w:p>
                      <w:pPr>
                        <w:pStyle w:val="TextBody"/>
                        <w:spacing w:before="220" w:after="0"/>
                        <w:rPr>
                          <w:rFonts w:ascii="ARIAL" w:hAnsi="ARIAL"/>
                          <w:b/>
                          <w:i/>
                          <w:color w:val="005CB9"/>
                          <w:sz w:val="20"/>
                        </w:rPr>
                      </w:pPr>
                      <w:r>
                        <w:rPr>
                          <w:rFonts w:ascii="ARIAL" w:hAnsi="ARIAL"/>
                          <w:b/>
                          <w:i/>
                          <w:color w:val="005CB9"/>
                          <w:sz w:val="20"/>
                        </w:rPr>
                        <w:t xml:space="preserve">No Excise Tax Gross-Ups </w:t>
                      </w:r>
                    </w:p>
                    <w:p>
                      <w:pPr>
                        <w:pStyle w:val="TextBody"/>
                        <w:spacing w:before="120" w:after="0"/>
                        <w:rPr>
                          <w:rFonts w:ascii="ARIAL" w:hAnsi="ARIAL"/>
                          <w:sz w:val="19"/>
                        </w:rPr>
                      </w:pPr>
                      <w:r>
                        <w:rPr>
                          <w:rFonts w:ascii="ARIAL" w:hAnsi="ARIAL"/>
                          <w:sz w:val="19"/>
                        </w:rPr>
                        <w:t xml:space="preserve">A named executive officer may be subject to excise taxes on benefits received in relation to a change in control of the Company. We do not provide excise-tax gross-ups to named executive officers (which would place the named executive officer in the same tax position as if the excise tax did not apply). </w:t>
                      </w:r>
                    </w:p>
                  </w:txbxContent>
                </v:textbox>
                <w10:wrap type="square" side="right"/>
              </v:rect>
            </w:pict>
          </mc:Fallback>
        </mc:AlternateConten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0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8" descr=""/>
                          <pic:cNvPicPr>
                            <a:picLocks noChangeAspect="1" noChangeArrowheads="1"/>
                          </pic:cNvPicPr>
                        </pic:nvPicPr>
                        <pic:blipFill>
                          <a:blip r:embed="rId79"/>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29</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i/>
          <w:color w:val="005CB9"/>
          <w:sz w:val="20"/>
        </w:rPr>
      </w:pPr>
      <w:r>
        <w:rPr>
          <w:rFonts w:ascii="ARIAL" w:hAnsi="ARIAL"/>
          <w:b/>
          <w:i/>
          <w:color w:val="005CB9"/>
          <w:sz w:val="20"/>
        </w:rPr>
        <w:t xml:space="preserve">Mix of Total Compensation </w:t>
      </w:r>
    </w:p>
    <w:p>
      <w:pPr>
        <w:pStyle w:val="TextBody"/>
        <w:spacing w:before="120" w:after="0"/>
        <w:jc w:val="left"/>
        <w:rPr>
          <w:rFonts w:ascii="ARIAL" w:hAnsi="ARIAL"/>
          <w:sz w:val="19"/>
        </w:rPr>
      </w:pPr>
      <w:r>
        <w:rPr>
          <w:rFonts w:ascii="ARIAL" w:hAnsi="ARIAL"/>
          <w:sz w:val="19"/>
        </w:rPr>
        <w:t xml:space="preserve">Compensation for our named executive officers encourages a long-term focus and closely aligns with shareholder interests. For 2022, the total direct compensation at target that was at risk and tied to stock price and performance objectives was 95% for the CEO, and 88% on average for our other named executive officers. </w:t>
      </w:r>
    </w:p>
    <w:p>
      <w:pPr>
        <w:pStyle w:val="TextBody"/>
        <w:spacing w:before="480" w:after="0"/>
        <w:jc w:val="center"/>
        <w:rPr>
          <w:rFonts w:ascii="ARIAL" w:hAnsi="ARIAL"/>
          <w:b/>
          <w:sz w:val="20"/>
        </w:rPr>
      </w:pPr>
      <w:r>
        <w:rPr>
          <w:rFonts w:ascii="ARIAL" w:hAnsi="ARIAL"/>
          <w:b/>
          <w:sz w:val="20"/>
        </w:rPr>
        <w:t xml:space="preserve">2022 Total Direct Compensation Mix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424815" cy="207645"/>
            <wp:effectExtent l="0" t="0" r="0" b="0"/>
            <wp:docPr id="10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9" descr=""/>
                    <pic:cNvPicPr>
                      <a:picLocks noChangeAspect="1" noChangeArrowheads="1"/>
                    </pic:cNvPicPr>
                  </pic:nvPicPr>
                  <pic:blipFill>
                    <a:blip r:embed="rId80"/>
                    <a:stretch>
                      <a:fillRect/>
                    </a:stretch>
                  </pic:blipFill>
                  <pic:spPr bwMode="auto">
                    <a:xfrm>
                      <a:off x="0" y="0"/>
                      <a:ext cx="424815" cy="207645"/>
                    </a:xfrm>
                    <a:prstGeom prst="rect">
                      <a:avLst/>
                    </a:prstGeom>
                  </pic:spPr>
                </pic:pic>
              </a:graphicData>
            </a:graphic>
          </wp:inline>
        </w:drawing>
      </w:r>
      <w:r>
        <w:rPr/>
        <w:t xml:space="preserve"> </w:t>
      </w:r>
    </w:p>
    <w:p>
      <w:pPr>
        <w:pStyle w:val="TextBody"/>
        <w:spacing w:before="360" w:after="0"/>
        <w:jc w:val="left"/>
        <w:rPr>
          <w:rFonts w:ascii="ARIAL" w:hAnsi="ARIAL"/>
          <w:b/>
          <w:sz w:val="24"/>
        </w:rPr>
      </w:pPr>
      <w:bookmarkStart w:id="17" w:name="toc356364_15"/>
      <w:bookmarkEnd w:id="17"/>
      <w:r>
        <w:rPr>
          <w:rFonts w:ascii="ARIAL" w:hAnsi="ARIAL"/>
          <w:b/>
          <w:sz w:val="24"/>
        </w:rPr>
        <w:t xml:space="preserve">COMPENSATION PROCESS </w:t>
      </w:r>
    </w:p>
    <w:p>
      <w:pPr>
        <w:pStyle w:val="TextBody"/>
        <w:spacing w:before="120" w:after="0"/>
        <w:jc w:val="left"/>
        <w:rPr>
          <w:rFonts w:ascii="ARIAL" w:hAnsi="ARIAL"/>
          <w:b/>
          <w:color w:val="005CB9"/>
          <w:sz w:val="20"/>
        </w:rPr>
      </w:pPr>
      <w:r>
        <w:rPr>
          <w:rFonts w:ascii="ARIAL" w:hAnsi="ARIAL"/>
          <w:b/>
          <w:color w:val="005CB9"/>
          <w:sz w:val="20"/>
        </w:rPr>
        <w:t xml:space="preserve">Compensation Committee Oversight </w:t>
      </w:r>
    </w:p>
    <w:p>
      <w:pPr>
        <w:pStyle w:val="TextBody"/>
        <w:spacing w:before="120" w:after="0"/>
        <w:jc w:val="left"/>
        <w:rPr>
          <w:rFonts w:ascii="ARIAL" w:hAnsi="ARIAL"/>
          <w:sz w:val="19"/>
        </w:rPr>
      </w:pPr>
      <w:r>
        <w:rPr>
          <w:rFonts w:ascii="ARIAL" w:hAnsi="ARIAL"/>
          <w:sz w:val="19"/>
        </w:rPr>
        <w:t xml:space="preserve">The Compensation Committee oversees our executive compensation program to appropriately compensate our named executive officers, motivate our named executive officers to achieve our business objectives, and align our named executive officers’ interests with those of our shareholders. The Compensation Committee reviews each element of compensation for each named executive officer and determines any adjustments to compensation structure and levels in light of various considerations,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 scope of the named executive officer’s responsibilities, performance and experience as well as competitive compensation levels. </w:t>
            </w:r>
          </w:p>
        </w:tc>
      </w:tr>
    </w:tbl>
    <w:p>
      <w:pPr>
        <w:pStyle w:val="TextBody"/>
        <w:spacing w:before="0" w:after="0"/>
        <w:jc w:val="left"/>
        <w:rPr/>
      </w:pPr>
      <w:r>
        <w:rPr/>
        <w:t> </w:t>
      </w:r>
    </w:p>
    <w:tbl>
      <w:tblPr>
        <w:tblW w:w="3895" w:type="dxa"/>
        <w:jc w:val="left"/>
        <w:tblInd w:w="0" w:type="dxa"/>
        <w:tblCellMar>
          <w:top w:w="0" w:type="dxa"/>
          <w:left w:w="0" w:type="dxa"/>
          <w:bottom w:w="0" w:type="dxa"/>
          <w:right w:w="0" w:type="dxa"/>
        </w:tblCellMar>
      </w:tblPr>
      <w:tblGrid>
        <w:gridCol w:w="125"/>
        <w:gridCol w:w="60"/>
        <w:gridCol w:w="371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10" w:type="dxa"/>
            <w:tcBorders/>
            <w:shd w:fill="auto" w:val="clear"/>
            <w:vAlign w:val="center"/>
          </w:tcPr>
          <w:p>
            <w:pPr>
              <w:pStyle w:val="TableContents"/>
              <w:spacing w:before="0" w:after="0"/>
              <w:jc w:val="left"/>
              <w:rPr>
                <w:rFonts w:ascii="ARIAL" w:hAnsi="ARIAL"/>
                <w:sz w:val="19"/>
              </w:rPr>
            </w:pPr>
            <w:r>
              <w:rPr>
                <w:rFonts w:ascii="ARIAL" w:hAnsi="ARIAL"/>
                <w:sz w:val="19"/>
              </w:rPr>
              <w:t xml:space="preserve">Our financial results against prior periods. </w:t>
            </w:r>
          </w:p>
        </w:tc>
      </w:tr>
    </w:tbl>
    <w:p>
      <w:pPr>
        <w:pStyle w:val="TextBody"/>
        <w:spacing w:before="0" w:after="0"/>
        <w:jc w:val="left"/>
        <w:rPr/>
      </w:pPr>
      <w:r>
        <w:rPr/>
        <w:t> </w:t>
      </w:r>
    </w:p>
    <w:tbl>
      <w:tblPr>
        <w:tblW w:w="10015" w:type="dxa"/>
        <w:jc w:val="left"/>
        <w:tblInd w:w="0" w:type="dxa"/>
        <w:tblCellMar>
          <w:top w:w="0" w:type="dxa"/>
          <w:left w:w="0" w:type="dxa"/>
          <w:bottom w:w="0" w:type="dxa"/>
          <w:right w:w="0" w:type="dxa"/>
        </w:tblCellMar>
      </w:tblPr>
      <w:tblGrid>
        <w:gridCol w:w="125"/>
        <w:gridCol w:w="60"/>
        <w:gridCol w:w="983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3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 structure of our compensation program relative to sound risk management, as discussed with management.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 results of the advisory shareholder vote on the compensation of our named executive officers and input from shareholders.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Competitive pressures from private equity and capital deployment companies, as well as market practices and external developments generally.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 utilization of a compensation consultant who provides extensive external analysis of named executive officer compensation of industry peer group companies for comparison purposes. </w:t>
            </w:r>
          </w:p>
        </w:tc>
      </w:tr>
    </w:tbl>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30</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0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0" descr=""/>
                          <pic:cNvPicPr>
                            <a:picLocks noChangeAspect="1" noChangeArrowheads="1"/>
                          </pic:cNvPicPr>
                        </pic:nvPicPr>
                        <pic:blipFill>
                          <a:blip r:embed="rId81"/>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sz w:val="19"/>
        </w:rPr>
      </w:pPr>
      <w:r>
        <w:rPr>
          <w:rFonts w:ascii="ARIAL" w:hAnsi="ARIAL"/>
          <w:sz w:val="19"/>
        </w:rPr>
        <w:t xml:space="preserve">The Compensation Committee has maintained a simple program that drives long-term performance and superior value creation for shareholders enabling Roper to attract, retain, and motivate an outstanding leadership team. </w:t>
      </w:r>
    </w:p>
    <w:p>
      <w:pPr>
        <w:pStyle w:val="TextBody"/>
        <w:spacing w:before="240" w:after="0"/>
        <w:jc w:val="left"/>
        <w:rPr>
          <w:rFonts w:ascii="ARIAL" w:hAnsi="ARIAL"/>
          <w:b/>
          <w:color w:val="005CB9"/>
          <w:sz w:val="20"/>
        </w:rPr>
      </w:pPr>
      <w:r>
        <w:rPr>
          <w:rFonts w:ascii="ARIAL" w:hAnsi="ARIAL"/>
          <w:b/>
          <w:color w:val="005CB9"/>
          <w:sz w:val="20"/>
        </w:rPr>
        <w:t xml:space="preserve">Compensation Consultant </w:t>
      </w:r>
    </w:p>
    <w:p>
      <w:pPr>
        <w:pStyle w:val="TextBody"/>
        <w:spacing w:before="120" w:after="0"/>
        <w:jc w:val="left"/>
        <w:rPr>
          <w:rFonts w:ascii="ARIAL" w:hAnsi="ARIAL"/>
          <w:sz w:val="19"/>
        </w:rPr>
      </w:pPr>
      <w:r>
        <w:rPr>
          <w:rFonts w:ascii="ARIAL" w:hAnsi="ARIAL"/>
          <w:sz w:val="19"/>
        </w:rPr>
        <w:t xml:space="preserve">The Compensation Committee has retained the services of Compensia, a national compensation consulting firm, (the “Consultant”), to closely monitor developments and trends in executive compensation and to provide recommendations for appropriate adjustments to the Company’s compensation program, policies and practices in line with the Company’s business and talent strategies and investor expectations.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 Consultant is independent, reports directly to the Chair of the Compensation Committee and has never performed other work for the Company. Each year the Compensation Committee confirms that its engagement of the Consultant does not raise any conflicts of interest, and consistent with prior years, for 2022 there were no conflicts of interest.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 Consultant attends all meetings of the Compensation Committee where evaluations of the effectiveness of our overall executive compensation program are conducted or where compensation for named executive officers is analyzed or approved.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 Chair of the Compensation Committee meets with the Consultant in advance of committee meetings and confers with the Consultant between meetings.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 Consultant assists in gathering and analyzing market data on compensation levels and provides expert knowledge of marketplace trends and best practices relating to competitive pay levels as well as developments in regulatory and technical matters. </w:t>
            </w:r>
          </w:p>
        </w:tc>
      </w:tr>
    </w:tbl>
    <w:p>
      <w:pPr>
        <w:pStyle w:val="TextBody"/>
        <w:spacing w:before="240" w:after="0"/>
        <w:jc w:val="left"/>
        <w:rPr>
          <w:rFonts w:ascii="ARIAL" w:hAnsi="ARIAL"/>
          <w:b/>
          <w:color w:val="005CB9"/>
          <w:sz w:val="20"/>
        </w:rPr>
      </w:pPr>
      <w:r>
        <w:rPr>
          <w:rFonts w:ascii="ARIAL" w:hAnsi="ARIAL"/>
          <w:b/>
          <w:color w:val="005CB9"/>
          <w:sz w:val="20"/>
        </w:rPr>
        <w:t xml:space="preserve">Roles of Our Named Executive Officers </w:t>
      </w:r>
    </w:p>
    <w:p>
      <w:pPr>
        <w:pStyle w:val="TextBody"/>
        <w:spacing w:before="120" w:after="0"/>
        <w:jc w:val="left"/>
        <w:rPr>
          <w:rFonts w:ascii="ARIAL" w:hAnsi="ARIAL"/>
          <w:sz w:val="19"/>
        </w:rPr>
      </w:pPr>
      <w:r>
        <w:rPr>
          <w:rFonts w:ascii="ARIAL" w:hAnsi="ARIAL"/>
          <w:sz w:val="19"/>
        </w:rPr>
        <w:t xml:space="preserve">While the Compensation Committee is ultimately responsible for making all compensation decisions affecting our named executive officers, our CEO participates in the process because of his close day-to-day association with the other named executive officers and his knowledge of the Company’s diverse business operations.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Our CEO discusses with the Compensation Committee the performance of the Company and of each named executive officer, including himself. The CEO also discusses with the Compensation Committee the performance of other key executives.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 CEO makes recommendations on the components of compensation for the named executive officers, other than himself, but does not participate in the portion of the Compensation Committee meeting regarding the review of his own performance or the determination of the actual amounts of his compensation. </w:t>
            </w:r>
          </w:p>
        </w:tc>
      </w:tr>
    </w:tbl>
    <w:p>
      <w:pPr>
        <w:pStyle w:val="TextBody"/>
        <w:spacing w:before="240" w:after="0"/>
        <w:jc w:val="left"/>
        <w:rPr>
          <w:rFonts w:ascii="ARIAL" w:hAnsi="ARIAL"/>
          <w:sz w:val="19"/>
        </w:rPr>
      </w:pPr>
      <w:r>
        <w:rPr>
          <w:rFonts w:ascii="ARIAL" w:hAnsi="ARIAL"/>
          <w:sz w:val="19"/>
        </w:rPr>
        <w:t xml:space="preserve">Our Chief Financial Officer and our Controller also assist the Compensation Committee as an information resource in regard to metrics related to incentive compensation. Our General Counsel provides support to the Committee, as needed, with respect to his areas of expertise. </w:t>
      </w:r>
    </w:p>
    <w:p>
      <w:pPr>
        <w:pStyle w:val="TextBody"/>
        <w:spacing w:before="240" w:after="0"/>
        <w:jc w:val="left"/>
        <w:rPr>
          <w:rFonts w:ascii="ARIAL" w:hAnsi="ARIAL"/>
          <w:b/>
          <w:color w:val="005CB9"/>
          <w:sz w:val="20"/>
        </w:rPr>
      </w:pPr>
      <w:r>
        <w:rPr>
          <w:rFonts w:ascii="ARIAL" w:hAnsi="ARIAL"/>
          <w:b/>
          <w:color w:val="005CB9"/>
          <w:sz w:val="20"/>
        </w:rPr>
        <w:t xml:space="preserve">Comparative Compensation Information </w:t>
      </w:r>
    </w:p>
    <w:p>
      <w:pPr>
        <w:pStyle w:val="TextBody"/>
        <w:spacing w:before="120" w:after="0"/>
        <w:jc w:val="left"/>
        <w:rPr>
          <w:rFonts w:ascii="ARIAL" w:hAnsi="ARIAL"/>
          <w:sz w:val="19"/>
        </w:rPr>
      </w:pPr>
      <w:r>
        <w:rPr>
          <w:rFonts w:ascii="ARIAL" w:hAnsi="ARIAL"/>
          <w:sz w:val="19"/>
        </w:rPr>
        <w:t xml:space="preserve">Market pay levels and practices, including those of a self-selected peer group, are among many factors the Compensation Committee considers in making compensation decisions. </w: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0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1" descr=""/>
                          <pic:cNvPicPr>
                            <a:picLocks noChangeAspect="1" noChangeArrowheads="1"/>
                          </pic:cNvPicPr>
                        </pic:nvPicPr>
                        <pic:blipFill>
                          <a:blip r:embed="rId82"/>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31</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3110230" cy="2881630"/>
                <wp:effectExtent l="0" t="0" r="0" b="0"/>
                <wp:wrapSquare wrapText="largest"/>
                <wp:docPr id="109" name="Frame27"/>
                <a:graphic xmlns:a="http://schemas.openxmlformats.org/drawingml/2006/main">
                  <a:graphicData uri="http://schemas.microsoft.com/office/word/2010/wordprocessingShape">
                    <wps:wsp>
                      <wps:cNvSpPr txBox="1"/>
                      <wps:spPr>
                        <a:xfrm>
                          <a:off x="0" y="0"/>
                          <a:ext cx="3110230" cy="2881630"/>
                        </a:xfrm>
                        <a:prstGeom prst="rect"/>
                      </wps:spPr>
                      <wps:txbx>
                        <w:txbxContent>
                          <w:p>
                            <w:pPr>
                              <w:pStyle w:val="TextBody"/>
                              <w:spacing w:before="0" w:after="0"/>
                              <w:rPr>
                                <w:rFonts w:ascii="ARIAL" w:hAnsi="ARIAL"/>
                                <w:b/>
                                <w:i/>
                                <w:color w:val="005CB9"/>
                                <w:sz w:val="20"/>
                              </w:rPr>
                            </w:pPr>
                            <w:r>
                              <w:rPr>
                                <w:rFonts w:ascii="ARIAL" w:hAnsi="ARIAL"/>
                                <w:b/>
                                <w:i/>
                                <w:color w:val="005CB9"/>
                                <w:sz w:val="20"/>
                              </w:rPr>
                              <w:t xml:space="preserve">Purpose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We review market-based comparative compensation information to provide an external frame of reference on range and reasonableness of compensation levels and practices. Market information is used as a data point in decision-making, and not as a primary factor. </w:t>
                                  </w:r>
                                </w:p>
                              </w:tc>
                            </w:tr>
                          </w:tbl>
                          <w:p>
                            <w:pPr>
                              <w:pStyle w:val="TextBody"/>
                              <w:spacing w:before="200" w:after="0"/>
                              <w:rPr>
                                <w:rFonts w:ascii="ARIAL" w:hAnsi="ARIAL"/>
                                <w:b/>
                                <w:i/>
                                <w:color w:val="005CB9"/>
                                <w:sz w:val="20"/>
                              </w:rPr>
                            </w:pPr>
                            <w:r>
                              <w:rPr>
                                <w:rFonts w:ascii="ARIAL" w:hAnsi="ARIAL"/>
                                <w:b/>
                                <w:i/>
                                <w:color w:val="005CB9"/>
                                <w:sz w:val="20"/>
                              </w:rPr>
                              <w:t xml:space="preserve">Challenges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Our high-margin, high-cash generating, asset-light business model and diversified end-markets make it challenging to select peers using traditional criteria, such as revenue, industry codes or competitors. Roper’s twenty-seven (27) operating businesses have peers that can be assigned by industry, but at the enterprise level Roper has no peers that match our diverse set of businesses and unique operating model. Given our valuation relative to revenue, using only revenue in measuring Roper’s size understates the relative market value of Roper and is therefore a poor indicator. Likewise, comparing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26.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i/>
                          <w:color w:val="005CB9"/>
                          <w:sz w:val="20"/>
                        </w:rPr>
                      </w:pPr>
                      <w:r>
                        <w:rPr>
                          <w:rFonts w:ascii="ARIAL" w:hAnsi="ARIAL"/>
                          <w:b/>
                          <w:i/>
                          <w:color w:val="005CB9"/>
                          <w:sz w:val="20"/>
                        </w:rPr>
                        <w:t xml:space="preserve">Purpose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We review market-based comparative compensation information to provide an external frame of reference on range and reasonableness of compensation levels and practices. Market information is used as a data point in decision-making, and not as a primary factor. </w:t>
                            </w:r>
                          </w:p>
                        </w:tc>
                      </w:tr>
                    </w:tbl>
                    <w:p>
                      <w:pPr>
                        <w:pStyle w:val="TextBody"/>
                        <w:spacing w:before="200" w:after="0"/>
                        <w:rPr>
                          <w:rFonts w:ascii="ARIAL" w:hAnsi="ARIAL"/>
                          <w:b/>
                          <w:i/>
                          <w:color w:val="005CB9"/>
                          <w:sz w:val="20"/>
                        </w:rPr>
                      </w:pPr>
                      <w:r>
                        <w:rPr>
                          <w:rFonts w:ascii="ARIAL" w:hAnsi="ARIAL"/>
                          <w:b/>
                          <w:i/>
                          <w:color w:val="005CB9"/>
                          <w:sz w:val="20"/>
                        </w:rPr>
                        <w:t xml:space="preserve">Challenges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Our high-margin, high-cash generating, asset-light business model and diversified end-markets make it challenging to select peers using traditional criteria, such as revenue, industry codes or competitors. Roper’s twenty-seven (27) operating businesses have peers that can be assigned by industry, but at the enterprise level Roper has no peers that match our diverse set of businesses and unique operating model. Given our valuation relative to revenue, using only revenue in measuring Roper’s size understates the relative market value of Roper and is therefore a poor indicator. Likewise, comparing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3175000" cy="2585720"/>
                <wp:effectExtent l="0" t="0" r="0" b="0"/>
                <wp:wrapSquare wrapText="largest"/>
                <wp:docPr id="110" name="Frame28"/>
                <a:graphic xmlns:a="http://schemas.openxmlformats.org/drawingml/2006/main">
                  <a:graphicData uri="http://schemas.microsoft.com/office/word/2010/wordprocessingShape">
                    <wps:wsp>
                      <wps:cNvSpPr txBox="1"/>
                      <wps:spPr>
                        <a:xfrm>
                          <a:off x="0" y="0"/>
                          <a:ext cx="3175000" cy="2585720"/>
                        </a:xfrm>
                        <a:prstGeom prst="rect"/>
                      </wps:spPr>
                      <wps:txbx>
                        <w:txbxContent>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ARIAL" w:hAnsi="ARIAL"/>
                                      <w:sz w:val="19"/>
                                    </w:rPr>
                                  </w:pPr>
                                  <w:r>
                                    <w:rPr>
                                      <w:rFonts w:ascii="ARIAL" w:hAnsi="ARIAL"/>
                                      <w:sz w:val="19"/>
                                    </w:rPr>
                                    <w:t xml:space="preserve">Roper against a peer group selected primarily on the basis of GICS code classification can lead to inappropriate comparisons, particularly in light of Roper’s diverse business mix and private equity-like business model. </w:t>
                                  </w:r>
                                </w:p>
                              </w:tc>
                            </w:tr>
                          </w:tbl>
                          <w:p>
                            <w:pPr>
                              <w:pStyle w:val="TextBody"/>
                              <w:spacing w:before="240" w:after="0"/>
                              <w:rPr>
                                <w:rFonts w:ascii="ARIAL" w:hAnsi="ARIAL"/>
                                <w:b/>
                                <w:i/>
                                <w:color w:val="005CB9"/>
                                <w:sz w:val="20"/>
                              </w:rPr>
                            </w:pPr>
                            <w:r>
                              <w:rPr>
                                <w:rFonts w:ascii="ARIAL" w:hAnsi="ARIAL"/>
                                <w:b/>
                                <w:i/>
                                <w:color w:val="005CB9"/>
                                <w:sz w:val="20"/>
                              </w:rPr>
                              <w:t xml:space="preserve">Private Equity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Given the capital deployment responsibilities of our named executive officers and the private equity-like nature of our business, we consider the compensation levels and practices used by private equity firms that offer comprehensive programs, which often include co-investment and leveraged carried-interest opportunities. While Roper’s operating model is closely akin to that of private equity firms, we do not allow our named executive officers to co-invest in Company investments, nor do they benefit from carried-interest tax treatment. Our compensation practices often compete with private equity opportunities when recruiting and retaining talented professionals who possess deep expertise in both operations and capital deployment.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03.6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ARIAL" w:hAnsi="ARIAL"/>
                                <w:sz w:val="19"/>
                              </w:rPr>
                            </w:pPr>
                            <w:r>
                              <w:rPr>
                                <w:rFonts w:ascii="ARIAL" w:hAnsi="ARIAL"/>
                                <w:sz w:val="19"/>
                              </w:rPr>
                              <w:t xml:space="preserve">Roper against a peer group selected primarily on the basis of GICS code classification can lead to inappropriate comparisons, particularly in light of Roper’s diverse business mix and private equity-like business model. </w:t>
                            </w:r>
                          </w:p>
                        </w:tc>
                      </w:tr>
                    </w:tbl>
                    <w:p>
                      <w:pPr>
                        <w:pStyle w:val="TextBody"/>
                        <w:spacing w:before="240" w:after="0"/>
                        <w:rPr>
                          <w:rFonts w:ascii="ARIAL" w:hAnsi="ARIAL"/>
                          <w:b/>
                          <w:i/>
                          <w:color w:val="005CB9"/>
                          <w:sz w:val="20"/>
                        </w:rPr>
                      </w:pPr>
                      <w:r>
                        <w:rPr>
                          <w:rFonts w:ascii="ARIAL" w:hAnsi="ARIAL"/>
                          <w:b/>
                          <w:i/>
                          <w:color w:val="005CB9"/>
                          <w:sz w:val="20"/>
                        </w:rPr>
                        <w:t xml:space="preserve">Private Equity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283"/>
                              <w:jc w:val="left"/>
                              <w:rPr/>
                            </w:pPr>
                            <w:r>
                              <w:rPr/>
                              <w:t xml:space="preserve">Given the capital deployment responsibilities of our named executive officers and the private equity-like nature of our business, we consider the compensation levels and practices used by private equity firms that offer comprehensive programs, which often include co-investment and leveraged carried-interest opportunities. While Roper’s operating model is closely akin to that of private equity firms, we do not allow our named executive officers to co-invest in Company investments, nor do they benefit from carried-interest tax treatment. Our compensation practices often compete with private equity opportunities when recruiting and retaining talented professionals who possess deep expertise in both operations and capital deployment.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left"/>
        <w:rPr>
          <w:rFonts w:ascii="ARIAL" w:hAnsi="ARIAL"/>
          <w:b/>
          <w:i/>
          <w:color w:val="005CB9"/>
          <w:sz w:val="20"/>
        </w:rPr>
      </w:pPr>
      <w:r>
        <w:rPr>
          <w:rFonts w:ascii="ARIAL" w:hAnsi="ARIAL"/>
          <w:b/>
          <w:i/>
          <w:color w:val="005CB9"/>
          <w:sz w:val="20"/>
        </w:rPr>
        <w:t xml:space="preserve">2022 Peer Group </w:t>
      </w:r>
    </w:p>
    <w:p>
      <w:pPr>
        <w:pStyle w:val="TextBody"/>
        <w:spacing w:before="120" w:after="0"/>
        <w:jc w:val="left"/>
        <w:rPr>
          <w:rFonts w:ascii="ARIAL" w:hAnsi="ARIAL"/>
          <w:sz w:val="19"/>
        </w:rPr>
      </w:pPr>
      <w:r>
        <w:rPr>
          <w:rFonts w:ascii="ARIAL" w:hAnsi="ARIAL"/>
          <w:sz w:val="19"/>
        </w:rPr>
        <w:t xml:space="preserve">Our self-selected peer group reflects our continued strong growth, sustained value creation, continuing expansion into software and technology-driven businesses, market valuation relative to revenues and gross investment, and intense competition with private equity for talent and investment opportunities. Roper’s decision and subsequent transformation to focus on software has changed the performance of the Company significantly. Today, approximately 75% of Roper’s revenue is derived from our software businesses. In addition, Roper’s historical growth and exceptional shareholder returns are in part the result of Roper’s capital deployment strategy. All of these facts make it continually difficult to select appropriate peers. The 2022 peer companies are listed below along with various size indicators. Citrix Systems, Inc. remained in the self-selected peer group for 2022; however is excluded from the table below due to its acquisition in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340"/>
        <w:gridCol w:w="60"/>
        <w:gridCol w:w="635"/>
        <w:gridCol w:w="60"/>
        <w:gridCol w:w="860"/>
        <w:gridCol w:w="680"/>
        <w:gridCol w:w="60"/>
        <w:gridCol w:w="60"/>
        <w:gridCol w:w="500"/>
        <w:gridCol w:w="680"/>
        <w:gridCol w:w="60"/>
        <w:gridCol w:w="60"/>
        <w:gridCol w:w="620"/>
        <w:gridCol w:w="680"/>
        <w:gridCol w:w="60"/>
        <w:gridCol w:w="60"/>
        <w:gridCol w:w="740"/>
        <w:gridCol w:w="560"/>
        <w:gridCol w:w="125"/>
        <w:gridCol w:w="60"/>
        <w:gridCol w:w="2245"/>
      </w:tblGrid>
      <w:tr>
        <w:trPr/>
        <w:tc>
          <w:tcPr>
            <w:tcW w:w="13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45" w:type="dxa"/>
            <w:tcBorders/>
            <w:shd w:fill="auto" w:val="clear"/>
            <w:vAlign w:val="center"/>
          </w:tcPr>
          <w:p>
            <w:pPr>
              <w:pStyle w:val="TableContents"/>
              <w:spacing w:before="0" w:after="283"/>
              <w:rPr>
                <w:sz w:val="4"/>
                <w:szCs w:val="4"/>
              </w:rPr>
            </w:pPr>
            <w:r>
              <w:rPr>
                <w:sz w:val="4"/>
                <w:szCs w:val="4"/>
              </w:rPr>
            </w:r>
          </w:p>
        </w:tc>
      </w:tr>
      <w:tr>
        <w:trPr/>
        <w:tc>
          <w:tcPr>
            <w:tcW w:w="1340"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rPr/>
            </w:pPr>
            <w:r>
              <w:rPr/>
              <w:t>  </w:t>
            </w:r>
          </w:p>
          <w:p>
            <w:pPr>
              <w:pStyle w:val="TableContents"/>
              <w:spacing w:before="0" w:after="0"/>
              <w:rPr/>
            </w:pPr>
            <w:r>
              <w:rPr/>
              <w:t> </w:t>
            </w:r>
          </w:p>
        </w:tc>
        <w:tc>
          <w:tcPr>
            <w:tcW w:w="60" w:type="dxa"/>
            <w:tcBorders/>
            <w:shd w:fill="005CB9" w:val="clear"/>
            <w:vAlign w:val="center"/>
          </w:tcPr>
          <w:p>
            <w:pPr>
              <w:pStyle w:val="TableContents"/>
              <w:spacing w:before="0" w:after="283"/>
              <w:rPr/>
            </w:pPr>
            <w:r>
              <w:rPr/>
              <w:t> </w:t>
            </w:r>
          </w:p>
        </w:tc>
        <w:tc>
          <w:tcPr>
            <w:tcW w:w="635" w:type="dxa"/>
            <w:tcBorders/>
            <w:shd w:fill="005CB9" w:val="clear"/>
            <w:vAlign w:val="center"/>
          </w:tcPr>
          <w:p>
            <w:pPr>
              <w:pStyle w:val="TableContents"/>
              <w:rPr/>
            </w:pPr>
            <w:r>
              <w:rPr/>
              <w:t> </w:t>
            </w:r>
          </w:p>
          <w:p>
            <w:pPr>
              <w:pStyle w:val="TableContents"/>
              <w:spacing w:before="0" w:after="0"/>
              <w:rPr/>
            </w:pPr>
            <w:r>
              <w:rPr/>
              <w:t> </w:t>
            </w:r>
          </w:p>
        </w:tc>
        <w:tc>
          <w:tcPr>
            <w:tcW w:w="60" w:type="dxa"/>
            <w:tcBorders/>
            <w:shd w:fill="005CB9" w:val="clear"/>
            <w:vAlign w:val="center"/>
          </w:tcPr>
          <w:p>
            <w:pPr>
              <w:pStyle w:val="TableContents"/>
              <w:spacing w:before="0" w:after="283"/>
              <w:rPr/>
            </w:pPr>
            <w:r>
              <w:rPr/>
              <w:t> </w:t>
            </w:r>
          </w:p>
        </w:tc>
        <w:tc>
          <w:tcPr>
            <w:tcW w:w="1540" w:type="dxa"/>
            <w:gridSpan w:val="2"/>
            <w:tcBorders/>
            <w:shd w:fill="005CB9" w:val="clear"/>
            <w:vAlign w:val="center"/>
          </w:tcPr>
          <w:p>
            <w:pPr>
              <w:pStyle w:val="TableContents"/>
              <w:spacing w:lineRule="atLeast" w:line="141" w:before="0" w:after="0"/>
              <w:jc w:val="center"/>
              <w:rPr>
                <w:rFonts w:ascii="arial" w:hAnsi="arial"/>
                <w:sz w:val="16"/>
              </w:rPr>
            </w:pPr>
            <w:r>
              <w:rPr>
                <w:rFonts w:ascii="arial" w:hAnsi="arial"/>
                <w:color w:val="FFFFFF"/>
                <w:sz w:val="16"/>
              </w:rPr>
              <w:t>Market</w:t>
              <w:br/>
              <w:t>Capitalization</w:t>
            </w:r>
            <w:r>
              <w:rPr>
                <w:rFonts w:ascii="arial" w:hAnsi="arial"/>
                <w:color w:val="FFFFFF"/>
                <w:sz w:val="10"/>
              </w:rPr>
              <w:t>(1)</w:t>
            </w:r>
            <w:r>
              <w:rPr>
                <w:rFonts w:ascii="arial" w:hAnsi="arial"/>
                <w:color w:val="FFFFFF"/>
                <w:sz w:val="16"/>
              </w:rPr>
              <w:br/>
              <w:t>($ millions)</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1180" w:type="dxa"/>
            <w:gridSpan w:val="2"/>
            <w:tcBorders/>
            <w:shd w:fill="005CB9" w:val="clear"/>
            <w:vAlign w:val="center"/>
          </w:tcPr>
          <w:p>
            <w:pPr>
              <w:pStyle w:val="TableContents"/>
              <w:spacing w:lineRule="atLeast" w:line="141" w:before="0" w:after="0"/>
              <w:jc w:val="center"/>
              <w:rPr>
                <w:rFonts w:ascii="arial" w:hAnsi="arial"/>
                <w:sz w:val="16"/>
              </w:rPr>
            </w:pPr>
            <w:r>
              <w:rPr>
                <w:rFonts w:ascii="arial" w:hAnsi="arial"/>
                <w:color w:val="FFFFFF"/>
                <w:sz w:val="16"/>
              </w:rPr>
              <w:t>Enterprise</w:t>
              <w:br/>
              <w:t>Value</w:t>
            </w:r>
            <w:r>
              <w:rPr>
                <w:rFonts w:ascii="arial" w:hAnsi="arial"/>
                <w:color w:val="FFFFFF"/>
                <w:sz w:val="10"/>
              </w:rPr>
              <w:t>(1)</w:t>
            </w:r>
            <w:r>
              <w:rPr>
                <w:rFonts w:ascii="arial" w:hAnsi="arial"/>
                <w:color w:val="FFFFFF"/>
                <w:sz w:val="16"/>
              </w:rPr>
              <w:br/>
              <w:t>($ millions)</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1300" w:type="dxa"/>
            <w:gridSpan w:val="2"/>
            <w:tcBorders/>
            <w:shd w:fill="005CB9" w:val="clear"/>
            <w:vAlign w:val="center"/>
          </w:tcPr>
          <w:p>
            <w:pPr>
              <w:pStyle w:val="TableContents"/>
              <w:spacing w:lineRule="atLeast" w:line="141" w:before="0" w:after="0"/>
              <w:jc w:val="center"/>
              <w:rPr>
                <w:rFonts w:ascii="arial" w:hAnsi="arial"/>
                <w:sz w:val="16"/>
              </w:rPr>
            </w:pPr>
            <w:r>
              <w:rPr>
                <w:rFonts w:ascii="arial" w:hAnsi="arial"/>
                <w:color w:val="FFFFFF"/>
                <w:sz w:val="16"/>
              </w:rPr>
              <w:t>Revenue</w:t>
            </w:r>
            <w:r>
              <w:rPr>
                <w:rFonts w:ascii="arial" w:hAnsi="arial"/>
                <w:color w:val="FFFFFF"/>
                <w:sz w:val="10"/>
              </w:rPr>
              <w:t>(2)</w:t>
            </w:r>
            <w:r>
              <w:rPr>
                <w:rFonts w:ascii="arial" w:hAnsi="arial"/>
                <w:color w:val="FFFFFF"/>
                <w:sz w:val="16"/>
              </w:rPr>
              <w:br/>
              <w:t>($ millions)</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1300" w:type="dxa"/>
            <w:gridSpan w:val="2"/>
            <w:tcBorders/>
            <w:shd w:fill="005CB9" w:val="clear"/>
            <w:vAlign w:val="center"/>
          </w:tcPr>
          <w:p>
            <w:pPr>
              <w:pStyle w:val="TableContents"/>
              <w:spacing w:lineRule="atLeast" w:line="141" w:before="0" w:after="0"/>
              <w:jc w:val="center"/>
              <w:rPr>
                <w:rFonts w:ascii="arial" w:hAnsi="arial"/>
                <w:sz w:val="16"/>
              </w:rPr>
            </w:pPr>
            <w:r>
              <w:rPr>
                <w:rFonts w:ascii="arial" w:hAnsi="arial"/>
                <w:color w:val="FFFFFF"/>
                <w:sz w:val="16"/>
              </w:rPr>
              <w:t>Net</w:t>
              <w:br/>
              <w:t>Income</w:t>
            </w:r>
            <w:r>
              <w:rPr>
                <w:rFonts w:ascii="arial" w:hAnsi="arial"/>
                <w:color w:val="FFFFFF"/>
                <w:sz w:val="10"/>
              </w:rPr>
              <w:t>(2)</w:t>
            </w:r>
            <w:r>
              <w:rPr>
                <w:rFonts w:ascii="arial" w:hAnsi="arial"/>
                <w:color w:val="FFFFFF"/>
                <w:sz w:val="16"/>
              </w:rPr>
              <w:br/>
              <w:t>($ millions)</w:t>
            </w:r>
          </w:p>
        </w:tc>
        <w:tc>
          <w:tcPr>
            <w:tcW w:w="125"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2245" w:type="dxa"/>
            <w:tcBorders/>
            <w:shd w:fill="005CB9" w:val="clear"/>
            <w:vAlign w:val="center"/>
          </w:tcPr>
          <w:p>
            <w:pPr>
              <w:pStyle w:val="TableContents"/>
              <w:spacing w:lineRule="atLeast" w:line="200" w:before="0" w:after="0"/>
              <w:jc w:val="center"/>
              <w:rPr>
                <w:rFonts w:ascii="arial" w:hAnsi="arial"/>
                <w:color w:val="FFFFFF"/>
                <w:sz w:val="16"/>
              </w:rPr>
            </w:pPr>
            <w:r>
              <w:rPr>
                <w:rFonts w:ascii="arial" w:hAnsi="arial"/>
                <w:color w:val="FFFFFF"/>
                <w:sz w:val="16"/>
              </w:rPr>
              <w:t>Global Industry Classification</w:t>
              <w:br/>
              <w:t>Standard (GICS) Sub-Industry</w:t>
            </w:r>
          </w:p>
        </w:tc>
      </w:tr>
      <w:tr>
        <w:trPr/>
        <w:tc>
          <w:tcPr>
            <w:tcW w:w="1340" w:type="dxa"/>
            <w:tcBorders/>
            <w:shd w:fill="E5EEF8" w:val="clear"/>
            <w:vAlign w:val="center"/>
          </w:tcPr>
          <w:p>
            <w:pPr>
              <w:pStyle w:val="TableContents"/>
              <w:spacing w:lineRule="atLeast" w:line="240" w:before="0" w:after="0"/>
              <w:rPr/>
            </w:pPr>
            <w:r>
              <w:rPr/>
              <w:t>  </w:t>
            </w:r>
            <w:r>
              <w:rPr>
                <w:rFonts w:ascii="ARIAL" w:hAnsi="ARIAL"/>
                <w:sz w:val="16"/>
              </w:rPr>
              <w:t>Adobe Inc.</w:t>
            </w:r>
          </w:p>
        </w:tc>
        <w:tc>
          <w:tcPr>
            <w:tcW w:w="60" w:type="dxa"/>
            <w:tcBorders/>
            <w:shd w:fill="E5EEF8" w:val="clear"/>
            <w:vAlign w:val="center"/>
          </w:tcPr>
          <w:p>
            <w:pPr>
              <w:pStyle w:val="TableContents"/>
              <w:spacing w:before="0" w:after="283"/>
              <w:rPr/>
            </w:pPr>
            <w:r>
              <w:rPr/>
              <w:t> </w:t>
            </w:r>
          </w:p>
        </w:tc>
        <w:tc>
          <w:tcPr>
            <w:tcW w:w="635"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ADBE</w:t>
            </w:r>
          </w:p>
        </w:tc>
        <w:tc>
          <w:tcPr>
            <w:tcW w:w="60" w:type="dxa"/>
            <w:tcBorders/>
            <w:shd w:fill="E5EEF8" w:val="clear"/>
            <w:vAlign w:val="center"/>
          </w:tcPr>
          <w:p>
            <w:pPr>
              <w:pStyle w:val="TableContents"/>
              <w:spacing w:before="0" w:after="283"/>
              <w:rPr/>
            </w:pPr>
            <w:r>
              <w:rPr/>
              <w:t> </w:t>
            </w:r>
          </w:p>
        </w:tc>
        <w:tc>
          <w:tcPr>
            <w:tcW w:w="860" w:type="dxa"/>
            <w:tcBorders/>
            <w:shd w:fill="E5EEF8" w:val="clear"/>
            <w:vAlign w:val="center"/>
          </w:tcPr>
          <w:p>
            <w:pPr>
              <w:pStyle w:val="TableContents"/>
              <w:spacing w:lineRule="atLeast" w:line="240" w:before="0" w:after="0"/>
              <w:rPr/>
            </w:pPr>
            <w:r>
              <w:rPr/>
              <w:t>            </w:t>
            </w:r>
            <w:r>
              <w:rPr>
                <w:rFonts w:ascii="ARIAL" w:hAnsi="ARIAL"/>
                <w:sz w:val="16"/>
              </w:rPr>
              <w:t>$</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156,453</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500" w:type="dxa"/>
            <w:tcBorders/>
            <w:shd w:fill="E5EEF8" w:val="clear"/>
            <w:vAlign w:val="center"/>
          </w:tcPr>
          <w:p>
            <w:pPr>
              <w:pStyle w:val="TableContents"/>
              <w:spacing w:lineRule="atLeast" w:line="240" w:before="0" w:after="0"/>
              <w:rPr/>
            </w:pPr>
            <w:r>
              <w:rPr/>
              <w:t>      </w:t>
            </w:r>
            <w:r>
              <w:rPr>
                <w:rFonts w:ascii="ARIAL" w:hAnsi="ARIAL"/>
                <w:sz w:val="16"/>
              </w:rPr>
              <w:t>$</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156,706</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20" w:type="dxa"/>
            <w:tcBorders/>
            <w:shd w:fill="E5EEF8" w:val="clear"/>
            <w:vAlign w:val="center"/>
          </w:tcPr>
          <w:p>
            <w:pPr>
              <w:pStyle w:val="TableContents"/>
              <w:spacing w:lineRule="atLeast" w:line="240" w:before="0" w:after="0"/>
              <w:rPr/>
            </w:pPr>
            <w:r>
              <w:rPr/>
              <w:t>        </w:t>
            </w:r>
            <w:r>
              <w:rPr>
                <w:rFonts w:ascii="ARIAL" w:hAnsi="ARIAL"/>
                <w:sz w:val="16"/>
              </w:rPr>
              <w:t>$</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17,503</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740" w:type="dxa"/>
            <w:tcBorders/>
            <w:shd w:fill="E5EEF8" w:val="clear"/>
            <w:vAlign w:val="center"/>
          </w:tcPr>
          <w:p>
            <w:pPr>
              <w:pStyle w:val="TableContents"/>
              <w:spacing w:lineRule="atLeast" w:line="240" w:before="0" w:after="0"/>
              <w:rPr/>
            </w:pPr>
            <w:r>
              <w:rPr/>
              <w:t>          </w:t>
            </w:r>
            <w:r>
              <w:rPr>
                <w:rFonts w:ascii="ARIAL" w:hAnsi="ARIAL"/>
                <w:sz w:val="16"/>
              </w:rPr>
              <w:t>$</w:t>
            </w:r>
          </w:p>
        </w:tc>
        <w:tc>
          <w:tcPr>
            <w:tcW w:w="56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4,756</w:t>
            </w:r>
          </w:p>
        </w:tc>
        <w:tc>
          <w:tcPr>
            <w:tcW w:w="125"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2245" w:type="dxa"/>
            <w:tcBorders/>
            <w:shd w:fill="E5EEF8" w:val="clear"/>
            <w:vAlign w:val="center"/>
          </w:tcPr>
          <w:p>
            <w:pPr>
              <w:pStyle w:val="TableContents"/>
              <w:spacing w:lineRule="atLeast" w:line="240" w:before="0" w:after="0"/>
              <w:rPr>
                <w:rFonts w:ascii="ARIAL" w:hAnsi="ARIAL"/>
                <w:sz w:val="16"/>
              </w:rPr>
            </w:pPr>
            <w:r>
              <w:rPr>
                <w:rFonts w:ascii="ARIAL" w:hAnsi="ARIAL"/>
                <w:sz w:val="16"/>
              </w:rPr>
              <w:t>Application Software</w:t>
            </w:r>
          </w:p>
        </w:tc>
      </w:tr>
      <w:tr>
        <w:trPr/>
        <w:tc>
          <w:tcPr>
            <w:tcW w:w="1340" w:type="dxa"/>
            <w:tcBorders/>
            <w:shd w:fill="auto" w:val="clear"/>
            <w:vAlign w:val="center"/>
          </w:tcPr>
          <w:p>
            <w:pPr>
              <w:pStyle w:val="TableContents"/>
              <w:spacing w:lineRule="atLeast" w:line="240" w:before="0" w:after="0"/>
              <w:rPr/>
            </w:pPr>
            <w:r>
              <w:rPr/>
              <w:t>  </w:t>
            </w:r>
            <w:r>
              <w:rPr>
                <w:rFonts w:ascii="ARIAL" w:hAnsi="ARIAL"/>
                <w:sz w:val="16"/>
              </w:rPr>
              <w:t>Salesforce, Inc.</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CRM</w:t>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lineRule="atLeast" w:line="240" w:before="0" w:after="0"/>
              <w:rPr/>
            </w:pPr>
            <w:r>
              <w:rPr/>
              <w:t>            </w:t>
            </w:r>
            <w:r>
              <w:rPr>
                <w:rFonts w:ascii="ARIAL" w:hAnsi="ARIAL"/>
                <w:sz w:val="16"/>
              </w:rPr>
              <w:t>$</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132,590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lineRule="atLeast" w:line="240" w:before="0" w:after="0"/>
              <w:rPr/>
            </w:pPr>
            <w:r>
              <w:rPr/>
              <w:t>      </w:t>
            </w:r>
            <w:r>
              <w:rPr>
                <w:rFonts w:ascii="ARIAL" w:hAnsi="ARIAL"/>
                <w:sz w:val="16"/>
              </w:rPr>
              <w:t>$</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134,123</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lineRule="atLeast" w:line="240" w:before="0" w:after="0"/>
              <w:rPr/>
            </w:pPr>
            <w:r>
              <w:rPr/>
              <w:t>        </w:t>
            </w:r>
            <w:r>
              <w:rPr>
                <w:rFonts w:ascii="ARIAL" w:hAnsi="ARIAL"/>
                <w:sz w:val="16"/>
              </w:rPr>
              <w:t>$</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30,294</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lineRule="atLeast" w:line="240" w:before="0" w:after="0"/>
              <w:rPr/>
            </w:pPr>
            <w:r>
              <w:rPr/>
              <w:t>          </w:t>
            </w:r>
            <w:r>
              <w:rPr>
                <w:rFonts w:ascii="ARIAL" w:hAnsi="ARIAL"/>
                <w:sz w:val="16"/>
              </w:rPr>
              <w:t>$</w:t>
            </w:r>
          </w:p>
        </w:tc>
        <w:tc>
          <w:tcPr>
            <w:tcW w:w="56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278</w:t>
            </w:r>
          </w:p>
        </w:tc>
        <w:tc>
          <w:tcPr>
            <w:tcW w:w="125"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2245" w:type="dxa"/>
            <w:tcBorders/>
            <w:shd w:fill="auto" w:val="clear"/>
            <w:vAlign w:val="center"/>
          </w:tcPr>
          <w:p>
            <w:pPr>
              <w:pStyle w:val="TableContents"/>
              <w:spacing w:lineRule="atLeast" w:line="240" w:before="0" w:after="0"/>
              <w:rPr>
                <w:rFonts w:ascii="ARIAL" w:hAnsi="ARIAL"/>
                <w:sz w:val="16"/>
              </w:rPr>
            </w:pPr>
            <w:r>
              <w:rPr>
                <w:rFonts w:ascii="ARIAL" w:hAnsi="ARIAL"/>
                <w:sz w:val="16"/>
              </w:rPr>
              <w:t>Application Software</w:t>
            </w:r>
          </w:p>
        </w:tc>
      </w:tr>
      <w:tr>
        <w:trPr/>
        <w:tc>
          <w:tcPr>
            <w:tcW w:w="1340" w:type="dxa"/>
            <w:tcBorders/>
            <w:shd w:fill="E5EEF8" w:val="clear"/>
            <w:vAlign w:val="center"/>
          </w:tcPr>
          <w:p>
            <w:pPr>
              <w:pStyle w:val="TableContents"/>
              <w:spacing w:lineRule="atLeast" w:line="240" w:before="0" w:after="0"/>
              <w:rPr/>
            </w:pPr>
            <w:r>
              <w:rPr/>
              <w:t>  </w:t>
            </w:r>
            <w:r>
              <w:rPr>
                <w:rFonts w:ascii="ARIAL" w:hAnsi="ARIAL"/>
                <w:sz w:val="16"/>
              </w:rPr>
              <w:t>Intuit Inc.</w:t>
            </w:r>
          </w:p>
        </w:tc>
        <w:tc>
          <w:tcPr>
            <w:tcW w:w="60" w:type="dxa"/>
            <w:tcBorders/>
            <w:shd w:fill="E5EEF8" w:val="clear"/>
            <w:vAlign w:val="center"/>
          </w:tcPr>
          <w:p>
            <w:pPr>
              <w:pStyle w:val="TableContents"/>
              <w:spacing w:before="0" w:after="283"/>
              <w:rPr/>
            </w:pPr>
            <w:r>
              <w:rPr/>
              <w:t> </w:t>
            </w:r>
          </w:p>
        </w:tc>
        <w:tc>
          <w:tcPr>
            <w:tcW w:w="635"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INTU</w:t>
            </w:r>
          </w:p>
        </w:tc>
        <w:tc>
          <w:tcPr>
            <w:tcW w:w="60" w:type="dxa"/>
            <w:tcBorders/>
            <w:shd w:fill="E5EEF8" w:val="clear"/>
            <w:vAlign w:val="center"/>
          </w:tcPr>
          <w:p>
            <w:pPr>
              <w:pStyle w:val="TableContents"/>
              <w:spacing w:before="0" w:after="283"/>
              <w:rPr/>
            </w:pPr>
            <w:r>
              <w:rPr/>
              <w:t> </w:t>
            </w:r>
          </w:p>
        </w:tc>
        <w:tc>
          <w:tcPr>
            <w:tcW w:w="860" w:type="dxa"/>
            <w:tcBorders/>
            <w:shd w:fill="E5EEF8" w:val="clear"/>
            <w:vAlign w:val="center"/>
          </w:tcPr>
          <w:p>
            <w:pPr>
              <w:pStyle w:val="TableContents"/>
              <w:spacing w:lineRule="atLeast" w:line="240" w:before="0" w:after="0"/>
              <w:rPr/>
            </w:pPr>
            <w:r>
              <w:rPr/>
              <w:t>            </w:t>
            </w:r>
            <w:r>
              <w:rPr>
                <w:rFonts w:ascii="ARIAL" w:hAnsi="ARIAL"/>
                <w:sz w:val="16"/>
              </w:rPr>
              <w:t>$</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109,342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500" w:type="dxa"/>
            <w:tcBorders/>
            <w:shd w:fill="E5EEF8" w:val="clear"/>
            <w:vAlign w:val="center"/>
          </w:tcPr>
          <w:p>
            <w:pPr>
              <w:pStyle w:val="TableContents"/>
              <w:spacing w:lineRule="atLeast" w:line="240" w:before="0" w:after="0"/>
              <w:rPr/>
            </w:pPr>
            <w:r>
              <w:rPr/>
              <w:t>      </w:t>
            </w:r>
            <w:r>
              <w:rPr>
                <w:rFonts w:ascii="ARIAL" w:hAnsi="ARIAL"/>
                <w:sz w:val="16"/>
              </w:rPr>
              <w:t>$</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114,219</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20" w:type="dxa"/>
            <w:tcBorders/>
            <w:shd w:fill="E5EEF8" w:val="clear"/>
            <w:vAlign w:val="center"/>
          </w:tcPr>
          <w:p>
            <w:pPr>
              <w:pStyle w:val="TableContents"/>
              <w:spacing w:lineRule="atLeast" w:line="240" w:before="0" w:after="0"/>
              <w:rPr/>
            </w:pPr>
            <w:r>
              <w:rPr/>
              <w:t>        </w:t>
            </w:r>
            <w:r>
              <w:rPr>
                <w:rFonts w:ascii="ARIAL" w:hAnsi="ARIAL"/>
                <w:sz w:val="16"/>
              </w:rPr>
              <w:t>$</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13,316</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740" w:type="dxa"/>
            <w:tcBorders/>
            <w:shd w:fill="E5EEF8" w:val="clear"/>
            <w:vAlign w:val="center"/>
          </w:tcPr>
          <w:p>
            <w:pPr>
              <w:pStyle w:val="TableContents"/>
              <w:spacing w:lineRule="atLeast" w:line="240" w:before="0" w:after="0"/>
              <w:rPr/>
            </w:pPr>
            <w:r>
              <w:rPr/>
              <w:t>          </w:t>
            </w:r>
            <w:r>
              <w:rPr>
                <w:rFonts w:ascii="ARIAL" w:hAnsi="ARIAL"/>
                <w:sz w:val="16"/>
              </w:rPr>
              <w:t>$</w:t>
            </w:r>
          </w:p>
        </w:tc>
        <w:tc>
          <w:tcPr>
            <w:tcW w:w="56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1,878</w:t>
            </w:r>
          </w:p>
        </w:tc>
        <w:tc>
          <w:tcPr>
            <w:tcW w:w="125"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2245" w:type="dxa"/>
            <w:tcBorders/>
            <w:shd w:fill="E5EEF8" w:val="clear"/>
            <w:vAlign w:val="center"/>
          </w:tcPr>
          <w:p>
            <w:pPr>
              <w:pStyle w:val="TableContents"/>
              <w:spacing w:lineRule="atLeast" w:line="240" w:before="0" w:after="0"/>
              <w:rPr>
                <w:rFonts w:ascii="ARIAL" w:hAnsi="ARIAL"/>
                <w:sz w:val="16"/>
              </w:rPr>
            </w:pPr>
            <w:r>
              <w:rPr>
                <w:rFonts w:ascii="ARIAL" w:hAnsi="ARIAL"/>
                <w:sz w:val="16"/>
              </w:rPr>
              <w:t>Application Software</w:t>
            </w:r>
          </w:p>
        </w:tc>
      </w:tr>
      <w:tr>
        <w:trPr/>
        <w:tc>
          <w:tcPr>
            <w:tcW w:w="1340" w:type="dxa"/>
            <w:tcBorders/>
            <w:shd w:fill="auto" w:val="clear"/>
            <w:vAlign w:val="center"/>
          </w:tcPr>
          <w:p>
            <w:pPr>
              <w:pStyle w:val="TableContents"/>
              <w:spacing w:lineRule="atLeast" w:line="240" w:before="0" w:after="0"/>
              <w:rPr/>
            </w:pPr>
            <w:r>
              <w:rPr/>
              <w:t>  </w:t>
            </w:r>
            <w:r>
              <w:rPr>
                <w:rFonts w:ascii="ARIAL" w:hAnsi="ARIAL"/>
                <w:sz w:val="16"/>
              </w:rPr>
              <w:t>Autodesk, Inc.</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ADSK</w:t>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lineRule="atLeast" w:line="240" w:before="0" w:after="0"/>
              <w:rPr/>
            </w:pPr>
            <w:r>
              <w:rPr/>
              <w:t>            </w:t>
            </w:r>
            <w:r>
              <w:rPr>
                <w:rFonts w:ascii="ARIAL" w:hAnsi="ARIAL"/>
                <w:sz w:val="16"/>
              </w:rPr>
              <w:t>$</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40,320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lineRule="atLeast" w:line="240" w:before="0" w:after="0"/>
              <w:rPr/>
            </w:pPr>
            <w:r>
              <w:rPr/>
              <w:t>      </w:t>
            </w:r>
            <w:r>
              <w:rPr>
                <w:rFonts w:ascii="ARIAL" w:hAnsi="ARIAL"/>
                <w:sz w:val="16"/>
              </w:rPr>
              <w:t>$</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41,551</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lineRule="atLeast" w:line="240" w:before="0" w:after="0"/>
              <w:rPr/>
            </w:pPr>
            <w:r>
              <w:rPr/>
              <w:t>        </w:t>
            </w:r>
            <w:r>
              <w:rPr>
                <w:rFonts w:ascii="ARIAL" w:hAnsi="ARIAL"/>
                <w:sz w:val="16"/>
              </w:rPr>
              <w:t>$</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4,861</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lineRule="atLeast" w:line="240" w:before="0" w:after="0"/>
              <w:rPr/>
            </w:pPr>
            <w:r>
              <w:rPr/>
              <w:t>          </w:t>
            </w:r>
            <w:r>
              <w:rPr>
                <w:rFonts w:ascii="ARIAL" w:hAnsi="ARIAL"/>
                <w:sz w:val="16"/>
              </w:rPr>
              <w:t>$</w:t>
            </w:r>
          </w:p>
        </w:tc>
        <w:tc>
          <w:tcPr>
            <w:tcW w:w="56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619</w:t>
            </w:r>
          </w:p>
        </w:tc>
        <w:tc>
          <w:tcPr>
            <w:tcW w:w="125"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2245" w:type="dxa"/>
            <w:tcBorders/>
            <w:shd w:fill="auto" w:val="clear"/>
            <w:vAlign w:val="center"/>
          </w:tcPr>
          <w:p>
            <w:pPr>
              <w:pStyle w:val="TableContents"/>
              <w:spacing w:lineRule="atLeast" w:line="240" w:before="0" w:after="0"/>
              <w:rPr>
                <w:rFonts w:ascii="ARIAL" w:hAnsi="ARIAL"/>
                <w:sz w:val="16"/>
              </w:rPr>
            </w:pPr>
            <w:r>
              <w:rPr>
                <w:rFonts w:ascii="ARIAL" w:hAnsi="ARIAL"/>
                <w:sz w:val="16"/>
              </w:rPr>
              <w:t>Application Software</w:t>
            </w:r>
          </w:p>
        </w:tc>
      </w:tr>
      <w:tr>
        <w:trPr/>
        <w:tc>
          <w:tcPr>
            <w:tcW w:w="1340" w:type="dxa"/>
            <w:tcBorders/>
            <w:shd w:fill="E5EEF8" w:val="clear"/>
            <w:vAlign w:val="center"/>
          </w:tcPr>
          <w:p>
            <w:pPr>
              <w:pStyle w:val="TableContents"/>
              <w:spacing w:lineRule="atLeast" w:line="240" w:before="0" w:after="0"/>
              <w:rPr/>
            </w:pPr>
            <w:r>
              <w:rPr/>
              <w:t>  </w:t>
            </w:r>
            <w:r>
              <w:rPr>
                <w:rFonts w:ascii="ARIAL" w:hAnsi="ARIAL"/>
                <w:sz w:val="16"/>
              </w:rPr>
              <w:t>ServiceNow, Inc.</w:t>
            </w:r>
          </w:p>
        </w:tc>
        <w:tc>
          <w:tcPr>
            <w:tcW w:w="60" w:type="dxa"/>
            <w:tcBorders/>
            <w:shd w:fill="E5EEF8" w:val="clear"/>
            <w:vAlign w:val="center"/>
          </w:tcPr>
          <w:p>
            <w:pPr>
              <w:pStyle w:val="TableContents"/>
              <w:spacing w:before="0" w:after="283"/>
              <w:rPr/>
            </w:pPr>
            <w:r>
              <w:rPr/>
              <w:t> </w:t>
            </w:r>
          </w:p>
        </w:tc>
        <w:tc>
          <w:tcPr>
            <w:tcW w:w="635"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NOW</w:t>
            </w:r>
          </w:p>
        </w:tc>
        <w:tc>
          <w:tcPr>
            <w:tcW w:w="60" w:type="dxa"/>
            <w:tcBorders/>
            <w:shd w:fill="E5EEF8" w:val="clear"/>
            <w:vAlign w:val="center"/>
          </w:tcPr>
          <w:p>
            <w:pPr>
              <w:pStyle w:val="TableContents"/>
              <w:spacing w:before="0" w:after="283"/>
              <w:rPr/>
            </w:pPr>
            <w:r>
              <w:rPr/>
              <w:t> </w:t>
            </w:r>
          </w:p>
        </w:tc>
        <w:tc>
          <w:tcPr>
            <w:tcW w:w="860" w:type="dxa"/>
            <w:tcBorders/>
            <w:shd w:fill="E5EEF8" w:val="clear"/>
            <w:vAlign w:val="center"/>
          </w:tcPr>
          <w:p>
            <w:pPr>
              <w:pStyle w:val="TableContents"/>
              <w:spacing w:lineRule="atLeast" w:line="240" w:before="0" w:after="0"/>
              <w:rPr/>
            </w:pPr>
            <w:r>
              <w:rPr/>
              <w:t>            </w:t>
            </w:r>
            <w:r>
              <w:rPr>
                <w:rFonts w:ascii="ARIAL" w:hAnsi="ARIAL"/>
                <w:sz w:val="16"/>
              </w:rPr>
              <w:t>$</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78,586</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500" w:type="dxa"/>
            <w:tcBorders/>
            <w:shd w:fill="E5EEF8" w:val="clear"/>
            <w:vAlign w:val="center"/>
          </w:tcPr>
          <w:p>
            <w:pPr>
              <w:pStyle w:val="TableContents"/>
              <w:spacing w:lineRule="atLeast" w:line="240" w:before="0" w:after="0"/>
              <w:rPr/>
            </w:pPr>
            <w:r>
              <w:rPr/>
              <w:t>      </w:t>
            </w:r>
            <w:r>
              <w:rPr>
                <w:rFonts w:ascii="ARIAL" w:hAnsi="ARIAL"/>
                <w:sz w:val="16"/>
              </w:rPr>
              <w:t>$</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76,749</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20" w:type="dxa"/>
            <w:tcBorders/>
            <w:shd w:fill="E5EEF8" w:val="clear"/>
            <w:vAlign w:val="center"/>
          </w:tcPr>
          <w:p>
            <w:pPr>
              <w:pStyle w:val="TableContents"/>
              <w:spacing w:lineRule="atLeast" w:line="240" w:before="0" w:after="0"/>
              <w:rPr/>
            </w:pPr>
            <w:r>
              <w:rPr/>
              <w:t>        </w:t>
            </w:r>
            <w:r>
              <w:rPr>
                <w:rFonts w:ascii="ARIAL" w:hAnsi="ARIAL"/>
                <w:sz w:val="16"/>
              </w:rPr>
              <w:t>$</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6,919</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740" w:type="dxa"/>
            <w:tcBorders/>
            <w:shd w:fill="E5EEF8" w:val="clear"/>
            <w:vAlign w:val="center"/>
          </w:tcPr>
          <w:p>
            <w:pPr>
              <w:pStyle w:val="TableContents"/>
              <w:spacing w:lineRule="atLeast" w:line="240" w:before="0" w:after="0"/>
              <w:rPr/>
            </w:pPr>
            <w:r>
              <w:rPr/>
              <w:t>          </w:t>
            </w:r>
            <w:r>
              <w:rPr>
                <w:rFonts w:ascii="ARIAL" w:hAnsi="ARIAL"/>
                <w:sz w:val="16"/>
              </w:rPr>
              <w:t>$</w:t>
            </w:r>
          </w:p>
        </w:tc>
        <w:tc>
          <w:tcPr>
            <w:tcW w:w="56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201</w:t>
            </w:r>
          </w:p>
        </w:tc>
        <w:tc>
          <w:tcPr>
            <w:tcW w:w="125"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2245" w:type="dxa"/>
            <w:tcBorders/>
            <w:shd w:fill="E5EEF8" w:val="clear"/>
            <w:vAlign w:val="center"/>
          </w:tcPr>
          <w:p>
            <w:pPr>
              <w:pStyle w:val="TableContents"/>
              <w:spacing w:lineRule="atLeast" w:line="240" w:before="0" w:after="0"/>
              <w:rPr>
                <w:rFonts w:ascii="ARIAL" w:hAnsi="ARIAL"/>
                <w:sz w:val="16"/>
              </w:rPr>
            </w:pPr>
            <w:r>
              <w:rPr>
                <w:rFonts w:ascii="ARIAL" w:hAnsi="ARIAL"/>
                <w:sz w:val="16"/>
              </w:rPr>
              <w:t>Systems Software</w:t>
            </w:r>
          </w:p>
        </w:tc>
      </w:tr>
      <w:tr>
        <w:trPr/>
        <w:tc>
          <w:tcPr>
            <w:tcW w:w="1340" w:type="dxa"/>
            <w:tcBorders/>
            <w:shd w:fill="auto" w:val="clear"/>
            <w:vAlign w:val="center"/>
          </w:tcPr>
          <w:p>
            <w:pPr>
              <w:pStyle w:val="TableContents"/>
              <w:spacing w:before="0" w:after="283"/>
              <w:rPr/>
            </w:pPr>
            <w:r>
              <w:rPr/>
              <w:t>  </w:t>
            </w:r>
            <w:r>
              <w:rPr/>
              <w:t>VMware, Inc.</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VMW</w:t>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rPr/>
            </w:pPr>
            <w:r>
              <w:rPr/>
              <w:t>            </w:t>
            </w:r>
            <w:r>
              <w:rPr/>
              <w:t>$</w:t>
            </w:r>
          </w:p>
        </w:tc>
        <w:tc>
          <w:tcPr>
            <w:tcW w:w="680" w:type="dxa"/>
            <w:tcBorders/>
            <w:shd w:fill="auto" w:val="clear"/>
            <w:vAlign w:val="center"/>
          </w:tcPr>
          <w:p>
            <w:pPr>
              <w:pStyle w:val="TableContents"/>
              <w:spacing w:before="0" w:after="283"/>
              <w:jc w:val="right"/>
              <w:rPr/>
            </w:pPr>
            <w:r>
              <w:rPr/>
              <w:t>52,225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rPr/>
            </w:pPr>
            <w:r>
              <w:rPr/>
              <w:t>      </w:t>
            </w:r>
            <w:r>
              <w:rPr/>
              <w:t>$</w:t>
            </w:r>
          </w:p>
        </w:tc>
        <w:tc>
          <w:tcPr>
            <w:tcW w:w="680" w:type="dxa"/>
            <w:tcBorders/>
            <w:shd w:fill="auto" w:val="clear"/>
            <w:vAlign w:val="center"/>
          </w:tcPr>
          <w:p>
            <w:pPr>
              <w:pStyle w:val="TableContents"/>
              <w:spacing w:before="0" w:after="283"/>
              <w:jc w:val="right"/>
              <w:rPr/>
            </w:pPr>
            <w:r>
              <w:rPr/>
              <w:t>59,944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r>
              <w:rPr/>
              <w:t>$</w:t>
            </w:r>
          </w:p>
        </w:tc>
        <w:tc>
          <w:tcPr>
            <w:tcW w:w="680" w:type="dxa"/>
            <w:tcBorders/>
            <w:shd w:fill="auto" w:val="clear"/>
            <w:vAlign w:val="center"/>
          </w:tcPr>
          <w:p>
            <w:pPr>
              <w:pStyle w:val="TableContents"/>
              <w:spacing w:before="0" w:after="283"/>
              <w:jc w:val="right"/>
              <w:rPr/>
            </w:pPr>
            <w:r>
              <w:rPr/>
              <w:t>13,166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rPr/>
            </w:pPr>
            <w:r>
              <w:rPr/>
              <w:t>          </w:t>
            </w:r>
            <w:r>
              <w:rPr/>
              <w:t>$</w:t>
            </w:r>
          </w:p>
        </w:tc>
        <w:tc>
          <w:tcPr>
            <w:tcW w:w="560" w:type="dxa"/>
            <w:tcBorders/>
            <w:shd w:fill="auto" w:val="clear"/>
            <w:vAlign w:val="center"/>
          </w:tcPr>
          <w:p>
            <w:pPr>
              <w:pStyle w:val="TableContents"/>
              <w:spacing w:before="0" w:after="283"/>
              <w:jc w:val="right"/>
              <w:rPr/>
            </w:pPr>
            <w:r>
              <w:rPr/>
              <w:t>1,406</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45" w:type="dxa"/>
            <w:tcBorders/>
            <w:shd w:fill="auto" w:val="clear"/>
            <w:vAlign w:val="center"/>
          </w:tcPr>
          <w:p>
            <w:pPr>
              <w:pStyle w:val="TableContents"/>
              <w:spacing w:before="0" w:after="283"/>
              <w:rPr/>
            </w:pPr>
            <w:r>
              <w:rPr/>
              <w:t>Systems Software</w:t>
            </w:r>
          </w:p>
        </w:tc>
      </w:tr>
      <w:tr>
        <w:trPr/>
        <w:tc>
          <w:tcPr>
            <w:tcW w:w="1340" w:type="dxa"/>
            <w:tcBorders/>
            <w:shd w:fill="E5EEF8" w:val="clear"/>
            <w:vAlign w:val="center"/>
          </w:tcPr>
          <w:p>
            <w:pPr>
              <w:pStyle w:val="TableContents"/>
              <w:spacing w:lineRule="atLeast" w:line="240" w:before="0" w:after="0"/>
              <w:rPr/>
            </w:pPr>
            <w:r>
              <w:rPr/>
              <w:t>  </w:t>
            </w:r>
            <w:r>
              <w:rPr>
                <w:rFonts w:ascii="ARIAL" w:hAnsi="ARIAL"/>
                <w:sz w:val="16"/>
              </w:rPr>
              <w:t>Blackstone Inc.</w:t>
            </w:r>
          </w:p>
        </w:tc>
        <w:tc>
          <w:tcPr>
            <w:tcW w:w="60" w:type="dxa"/>
            <w:tcBorders/>
            <w:shd w:fill="E5EEF8" w:val="clear"/>
            <w:vAlign w:val="center"/>
          </w:tcPr>
          <w:p>
            <w:pPr>
              <w:pStyle w:val="TableContents"/>
              <w:spacing w:before="0" w:after="283"/>
              <w:rPr/>
            </w:pPr>
            <w:r>
              <w:rPr/>
              <w:t> </w:t>
            </w:r>
          </w:p>
        </w:tc>
        <w:tc>
          <w:tcPr>
            <w:tcW w:w="635"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BX</w:t>
            </w:r>
          </w:p>
        </w:tc>
        <w:tc>
          <w:tcPr>
            <w:tcW w:w="60" w:type="dxa"/>
            <w:tcBorders/>
            <w:shd w:fill="E5EEF8" w:val="clear"/>
            <w:vAlign w:val="center"/>
          </w:tcPr>
          <w:p>
            <w:pPr>
              <w:pStyle w:val="TableContents"/>
              <w:spacing w:before="0" w:after="283"/>
              <w:rPr/>
            </w:pPr>
            <w:r>
              <w:rPr/>
              <w:t> </w:t>
            </w:r>
          </w:p>
        </w:tc>
        <w:tc>
          <w:tcPr>
            <w:tcW w:w="860" w:type="dxa"/>
            <w:tcBorders/>
            <w:shd w:fill="E5EEF8" w:val="clear"/>
            <w:vAlign w:val="center"/>
          </w:tcPr>
          <w:p>
            <w:pPr>
              <w:pStyle w:val="TableContents"/>
              <w:spacing w:lineRule="atLeast" w:line="240" w:before="0" w:after="0"/>
              <w:rPr/>
            </w:pPr>
            <w:r>
              <w:rPr/>
              <w:t>            </w:t>
            </w:r>
            <w:r>
              <w:rPr>
                <w:rFonts w:ascii="ARIAL" w:hAnsi="ARIAL"/>
                <w:sz w:val="16"/>
              </w:rPr>
              <w:t>$</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52,065</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500" w:type="dxa"/>
            <w:tcBorders/>
            <w:shd w:fill="E5EEF8" w:val="clear"/>
            <w:vAlign w:val="center"/>
          </w:tcPr>
          <w:p>
            <w:pPr>
              <w:pStyle w:val="TableContents"/>
              <w:spacing w:lineRule="atLeast" w:line="240" w:before="0" w:after="0"/>
              <w:rPr/>
            </w:pPr>
            <w:r>
              <w:rPr/>
              <w:t>      </w:t>
            </w:r>
            <w:r>
              <w:rPr>
                <w:rFonts w:ascii="ARIAL" w:hAnsi="ARIAL"/>
                <w:sz w:val="16"/>
              </w:rPr>
              <w:t>$</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108,112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20" w:type="dxa"/>
            <w:tcBorders/>
            <w:shd w:fill="E5EEF8" w:val="clear"/>
            <w:vAlign w:val="center"/>
          </w:tcPr>
          <w:p>
            <w:pPr>
              <w:pStyle w:val="TableContents"/>
              <w:spacing w:lineRule="atLeast" w:line="240" w:before="0" w:after="0"/>
              <w:rPr/>
            </w:pPr>
            <w:r>
              <w:rPr/>
              <w:t>        </w:t>
            </w:r>
            <w:r>
              <w:rPr>
                <w:rFonts w:ascii="ARIAL" w:hAnsi="ARIAL"/>
                <w:sz w:val="16"/>
              </w:rPr>
              <w:t>$</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16,100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740" w:type="dxa"/>
            <w:tcBorders/>
            <w:shd w:fill="E5EEF8" w:val="clear"/>
            <w:vAlign w:val="center"/>
          </w:tcPr>
          <w:p>
            <w:pPr>
              <w:pStyle w:val="TableContents"/>
              <w:spacing w:lineRule="atLeast" w:line="240" w:before="0" w:after="0"/>
              <w:rPr/>
            </w:pPr>
            <w:r>
              <w:rPr/>
              <w:t>          </w:t>
            </w:r>
            <w:r>
              <w:rPr>
                <w:rFonts w:ascii="ARIAL" w:hAnsi="ARIAL"/>
                <w:sz w:val="16"/>
              </w:rPr>
              <w:t>$</w:t>
            </w:r>
          </w:p>
        </w:tc>
        <w:tc>
          <w:tcPr>
            <w:tcW w:w="56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2,588</w:t>
            </w:r>
          </w:p>
        </w:tc>
        <w:tc>
          <w:tcPr>
            <w:tcW w:w="125"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2245" w:type="dxa"/>
            <w:tcBorders/>
            <w:shd w:fill="E5EEF8" w:val="clear"/>
            <w:vAlign w:val="center"/>
          </w:tcPr>
          <w:p>
            <w:pPr>
              <w:pStyle w:val="TableContents"/>
              <w:spacing w:lineRule="atLeast" w:line="240" w:before="0" w:after="0"/>
              <w:rPr>
                <w:rFonts w:ascii="ARIAL" w:hAnsi="ARIAL"/>
                <w:sz w:val="16"/>
              </w:rPr>
            </w:pPr>
            <w:r>
              <w:rPr>
                <w:rFonts w:ascii="ARIAL" w:hAnsi="ARIAL"/>
                <w:sz w:val="16"/>
              </w:rPr>
              <w:t>Asset Management and</w:t>
              <w:br/>
              <w:t>Custody Banks</w:t>
            </w:r>
          </w:p>
        </w:tc>
      </w:tr>
      <w:tr>
        <w:trPr/>
        <w:tc>
          <w:tcPr>
            <w:tcW w:w="1340" w:type="dxa"/>
            <w:tcBorders/>
            <w:shd w:fill="auto" w:val="clear"/>
            <w:vAlign w:val="center"/>
          </w:tcPr>
          <w:p>
            <w:pPr>
              <w:pStyle w:val="TableContents"/>
              <w:spacing w:lineRule="atLeast" w:line="240" w:before="0" w:after="0"/>
              <w:rPr/>
            </w:pPr>
            <w:r>
              <w:rPr/>
              <w:t>  </w:t>
            </w:r>
            <w:r>
              <w:rPr>
                <w:rFonts w:ascii="ARIAL" w:hAnsi="ARIAL"/>
                <w:sz w:val="16"/>
              </w:rPr>
              <w:t>KKR &amp; Co. Inc.</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KKR</w:t>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lineRule="atLeast" w:line="240" w:before="0" w:after="0"/>
              <w:rPr/>
            </w:pPr>
            <w:r>
              <w:rPr/>
              <w:t>            </w:t>
            </w:r>
            <w:r>
              <w:rPr>
                <w:rFonts w:ascii="ARIAL" w:hAnsi="ARIAL"/>
                <w:sz w:val="16"/>
              </w:rPr>
              <w:t>$</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39,973</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lineRule="atLeast" w:line="240" w:before="0" w:after="0"/>
              <w:rPr/>
            </w:pPr>
            <w:r>
              <w:rPr/>
              <w:t>      </w:t>
            </w:r>
            <w:r>
              <w:rPr>
                <w:rFonts w:ascii="ARIAL" w:hAnsi="ARIAL"/>
                <w:sz w:val="16"/>
              </w:rPr>
              <w:t>$</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105,577</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lineRule="atLeast" w:line="240" w:before="0" w:after="0"/>
              <w:rPr/>
            </w:pPr>
            <w:r>
              <w:rPr/>
              <w:t>        </w:t>
            </w:r>
            <w:r>
              <w:rPr>
                <w:rFonts w:ascii="ARIAL" w:hAnsi="ARIAL"/>
                <w:sz w:val="16"/>
              </w:rPr>
              <w:t>$</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7,359</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lineRule="atLeast" w:line="240" w:before="0" w:after="0"/>
              <w:rPr/>
            </w:pPr>
            <w:r>
              <w:rPr/>
              <w:t> </w:t>
            </w:r>
          </w:p>
        </w:tc>
        <w:tc>
          <w:tcPr>
            <w:tcW w:w="56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($417</w:t>
            </w:r>
          </w:p>
        </w:tc>
        <w:tc>
          <w:tcPr>
            <w:tcW w:w="125" w:type="dxa"/>
            <w:tcBorders/>
            <w:shd w:fill="auto" w:val="clear"/>
            <w:vAlign w:val="center"/>
          </w:tcPr>
          <w:p>
            <w:pPr>
              <w:pStyle w:val="TableContents"/>
              <w:spacing w:lineRule="atLeast" w:line="240" w:before="0" w:after="0"/>
              <w:rPr>
                <w:rFonts w:ascii="ARIAL" w:hAnsi="ARIAL"/>
                <w:sz w:val="16"/>
              </w:rPr>
            </w:pPr>
            <w:r>
              <w:rPr>
                <w:rFonts w:ascii="ARIAL" w:hAnsi="ARIAL"/>
                <w:sz w:val="16"/>
              </w:rPr>
              <w:t>) </w:t>
            </w:r>
          </w:p>
        </w:tc>
        <w:tc>
          <w:tcPr>
            <w:tcW w:w="60" w:type="dxa"/>
            <w:tcBorders/>
            <w:shd w:fill="auto" w:val="clear"/>
            <w:vAlign w:val="center"/>
          </w:tcPr>
          <w:p>
            <w:pPr>
              <w:pStyle w:val="TableContents"/>
              <w:spacing w:before="0" w:after="283"/>
              <w:rPr/>
            </w:pPr>
            <w:r>
              <w:rPr/>
              <w:t> </w:t>
            </w:r>
          </w:p>
        </w:tc>
        <w:tc>
          <w:tcPr>
            <w:tcW w:w="2245" w:type="dxa"/>
            <w:tcBorders/>
            <w:shd w:fill="auto" w:val="clear"/>
            <w:vAlign w:val="center"/>
          </w:tcPr>
          <w:p>
            <w:pPr>
              <w:pStyle w:val="TableContents"/>
              <w:spacing w:lineRule="atLeast" w:line="240" w:before="0" w:after="0"/>
              <w:rPr>
                <w:rFonts w:ascii="ARIAL" w:hAnsi="ARIAL"/>
                <w:sz w:val="16"/>
              </w:rPr>
            </w:pPr>
            <w:r>
              <w:rPr>
                <w:rFonts w:ascii="ARIAL" w:hAnsi="ARIAL"/>
                <w:sz w:val="16"/>
              </w:rPr>
              <w:t>Asset Management and</w:t>
              <w:br/>
              <w:t>Custody Banks</w:t>
            </w:r>
          </w:p>
        </w:tc>
      </w:tr>
      <w:tr>
        <w:trPr/>
        <w:tc>
          <w:tcPr>
            <w:tcW w:w="134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r>
              <w:rPr>
                <w:rFonts w:ascii="ARIAL" w:hAnsi="ARIAL"/>
                <w:sz w:val="16"/>
              </w:rPr>
              <w:t>Motorola Solutions, Inc.</w:t>
            </w:r>
          </w:p>
        </w:tc>
        <w:tc>
          <w:tcPr>
            <w:tcW w:w="60" w:type="dxa"/>
            <w:tcBorders>
              <w:bottom w:val="single" w:sz="6" w:space="0" w:color="005CB9"/>
            </w:tcBorders>
            <w:shd w:fill="E5EEF8" w:val="clear"/>
            <w:tcMar>
              <w:bottom w:w="28" w:type="dxa"/>
            </w:tcMar>
            <w:vAlign w:val="center"/>
          </w:tcPr>
          <w:p>
            <w:pPr>
              <w:pStyle w:val="TableContents"/>
              <w:spacing w:before="0" w:after="283"/>
              <w:rPr/>
            </w:pPr>
            <w:r>
              <w:rPr/>
              <w:t> </w:t>
            </w:r>
          </w:p>
        </w:tc>
        <w:tc>
          <w:tcPr>
            <w:tcW w:w="635" w:type="dxa"/>
            <w:tcBorders>
              <w:bottom w:val="single" w:sz="6" w:space="0" w:color="005CB9"/>
            </w:tcBorders>
            <w:shd w:fill="E5EEF8" w:val="clear"/>
            <w:tcMar>
              <w:bottom w:w="28" w:type="dxa"/>
            </w:tcMar>
            <w:vAlign w:val="center"/>
          </w:tcPr>
          <w:p>
            <w:pPr>
              <w:pStyle w:val="TableContents"/>
              <w:spacing w:lineRule="atLeast" w:line="240" w:before="0" w:after="0"/>
              <w:jc w:val="right"/>
              <w:rPr>
                <w:rFonts w:ascii="ARIAL" w:hAnsi="ARIAL"/>
                <w:sz w:val="16"/>
              </w:rPr>
            </w:pPr>
            <w:r>
              <w:rPr>
                <w:rFonts w:ascii="ARIAL" w:hAnsi="ARIAL"/>
                <w:sz w:val="16"/>
              </w:rPr>
              <w:t>MSI</w:t>
            </w:r>
          </w:p>
        </w:tc>
        <w:tc>
          <w:tcPr>
            <w:tcW w:w="60" w:type="dxa"/>
            <w:tcBorders>
              <w:bottom w:val="single" w:sz="6" w:space="0" w:color="005CB9"/>
            </w:tcBorders>
            <w:shd w:fill="E5EEF8" w:val="clear"/>
            <w:tcMar>
              <w:bottom w:w="28" w:type="dxa"/>
            </w:tcMar>
            <w:vAlign w:val="center"/>
          </w:tcPr>
          <w:p>
            <w:pPr>
              <w:pStyle w:val="TableContents"/>
              <w:spacing w:before="0" w:after="283"/>
              <w:rPr/>
            </w:pPr>
            <w:r>
              <w:rPr/>
              <w:t> </w:t>
            </w:r>
          </w:p>
        </w:tc>
        <w:tc>
          <w:tcPr>
            <w:tcW w:w="86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r>
              <w:rPr>
                <w:rFonts w:ascii="ARIAL" w:hAnsi="ARIAL"/>
                <w:sz w:val="16"/>
              </w:rPr>
              <w:t>$</w:t>
            </w:r>
          </w:p>
        </w:tc>
        <w:tc>
          <w:tcPr>
            <w:tcW w:w="680" w:type="dxa"/>
            <w:tcBorders>
              <w:bottom w:val="single" w:sz="6" w:space="0" w:color="005CB9"/>
            </w:tcBorders>
            <w:shd w:fill="E5EEF8" w:val="clear"/>
            <w:tcMar>
              <w:bottom w:w="28" w:type="dxa"/>
            </w:tcMar>
            <w:vAlign w:val="center"/>
          </w:tcPr>
          <w:p>
            <w:pPr>
              <w:pStyle w:val="TableContents"/>
              <w:spacing w:lineRule="atLeast" w:line="240" w:before="0" w:after="0"/>
              <w:jc w:val="right"/>
              <w:rPr>
                <w:rFonts w:ascii="ARIAL" w:hAnsi="ARIAL"/>
                <w:sz w:val="16"/>
              </w:rPr>
            </w:pPr>
            <w:r>
              <w:rPr>
                <w:rFonts w:ascii="ARIAL" w:hAnsi="ARIAL"/>
                <w:sz w:val="16"/>
              </w:rPr>
              <w:t>43,090</w:t>
            </w:r>
          </w:p>
        </w:tc>
        <w:tc>
          <w:tcPr>
            <w:tcW w:w="6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p>
        </w:tc>
        <w:tc>
          <w:tcPr>
            <w:tcW w:w="60" w:type="dxa"/>
            <w:tcBorders>
              <w:bottom w:val="single" w:sz="6" w:space="0" w:color="005CB9"/>
            </w:tcBorders>
            <w:shd w:fill="E5EEF8" w:val="clear"/>
            <w:tcMar>
              <w:bottom w:w="28" w:type="dxa"/>
            </w:tcMar>
            <w:vAlign w:val="center"/>
          </w:tcPr>
          <w:p>
            <w:pPr>
              <w:pStyle w:val="TableContents"/>
              <w:spacing w:before="0" w:after="283"/>
              <w:rPr/>
            </w:pPr>
            <w:r>
              <w:rPr/>
              <w:t> </w:t>
            </w:r>
          </w:p>
        </w:tc>
        <w:tc>
          <w:tcPr>
            <w:tcW w:w="50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r>
              <w:rPr>
                <w:rFonts w:ascii="ARIAL" w:hAnsi="ARIAL"/>
                <w:sz w:val="16"/>
              </w:rPr>
              <w:t>$</w:t>
            </w:r>
          </w:p>
        </w:tc>
        <w:tc>
          <w:tcPr>
            <w:tcW w:w="680" w:type="dxa"/>
            <w:tcBorders>
              <w:bottom w:val="single" w:sz="6" w:space="0" w:color="005CB9"/>
            </w:tcBorders>
            <w:shd w:fill="E5EEF8" w:val="clear"/>
            <w:tcMar>
              <w:bottom w:w="28" w:type="dxa"/>
            </w:tcMar>
            <w:vAlign w:val="center"/>
          </w:tcPr>
          <w:p>
            <w:pPr>
              <w:pStyle w:val="TableContents"/>
              <w:spacing w:lineRule="atLeast" w:line="240" w:before="0" w:after="0"/>
              <w:jc w:val="right"/>
              <w:rPr>
                <w:rFonts w:ascii="ARIAL" w:hAnsi="ARIAL"/>
                <w:sz w:val="16"/>
              </w:rPr>
            </w:pPr>
            <w:r>
              <w:rPr>
                <w:rFonts w:ascii="ARIAL" w:hAnsi="ARIAL"/>
                <w:sz w:val="16"/>
              </w:rPr>
              <w:t>48,674</w:t>
            </w:r>
          </w:p>
        </w:tc>
        <w:tc>
          <w:tcPr>
            <w:tcW w:w="6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p>
        </w:tc>
        <w:tc>
          <w:tcPr>
            <w:tcW w:w="60" w:type="dxa"/>
            <w:tcBorders>
              <w:bottom w:val="single" w:sz="6" w:space="0" w:color="005CB9"/>
            </w:tcBorders>
            <w:shd w:fill="E5EEF8" w:val="clear"/>
            <w:tcMar>
              <w:bottom w:w="28" w:type="dxa"/>
            </w:tcMar>
            <w:vAlign w:val="center"/>
          </w:tcPr>
          <w:p>
            <w:pPr>
              <w:pStyle w:val="TableContents"/>
              <w:spacing w:before="0" w:after="283"/>
              <w:rPr/>
            </w:pPr>
            <w:r>
              <w:rPr/>
              <w:t> </w:t>
            </w:r>
          </w:p>
        </w:tc>
        <w:tc>
          <w:tcPr>
            <w:tcW w:w="62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r>
              <w:rPr>
                <w:rFonts w:ascii="ARIAL" w:hAnsi="ARIAL"/>
                <w:sz w:val="16"/>
              </w:rPr>
              <w:t>$</w:t>
            </w:r>
          </w:p>
        </w:tc>
        <w:tc>
          <w:tcPr>
            <w:tcW w:w="680" w:type="dxa"/>
            <w:tcBorders>
              <w:bottom w:val="single" w:sz="6" w:space="0" w:color="005CB9"/>
            </w:tcBorders>
            <w:shd w:fill="E5EEF8" w:val="clear"/>
            <w:tcMar>
              <w:bottom w:w="28" w:type="dxa"/>
            </w:tcMar>
            <w:vAlign w:val="center"/>
          </w:tcPr>
          <w:p>
            <w:pPr>
              <w:pStyle w:val="TableContents"/>
              <w:spacing w:lineRule="atLeast" w:line="240" w:before="0" w:after="0"/>
              <w:jc w:val="right"/>
              <w:rPr>
                <w:rFonts w:ascii="ARIAL" w:hAnsi="ARIAL"/>
                <w:sz w:val="16"/>
              </w:rPr>
            </w:pPr>
            <w:r>
              <w:rPr>
                <w:rFonts w:ascii="ARIAL" w:hAnsi="ARIAL"/>
                <w:sz w:val="16"/>
              </w:rPr>
              <w:t>8,725</w:t>
            </w:r>
          </w:p>
        </w:tc>
        <w:tc>
          <w:tcPr>
            <w:tcW w:w="6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p>
        </w:tc>
        <w:tc>
          <w:tcPr>
            <w:tcW w:w="60" w:type="dxa"/>
            <w:tcBorders>
              <w:bottom w:val="single" w:sz="6" w:space="0" w:color="005CB9"/>
            </w:tcBorders>
            <w:shd w:fill="E5EEF8" w:val="clear"/>
            <w:tcMar>
              <w:bottom w:w="28" w:type="dxa"/>
            </w:tcMar>
            <w:vAlign w:val="center"/>
          </w:tcPr>
          <w:p>
            <w:pPr>
              <w:pStyle w:val="TableContents"/>
              <w:spacing w:before="0" w:after="283"/>
              <w:rPr/>
            </w:pPr>
            <w:r>
              <w:rPr/>
              <w:t> </w:t>
            </w:r>
          </w:p>
        </w:tc>
        <w:tc>
          <w:tcPr>
            <w:tcW w:w="74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r>
              <w:rPr>
                <w:rFonts w:ascii="ARIAL" w:hAnsi="ARIAL"/>
                <w:sz w:val="16"/>
              </w:rPr>
              <w:t>$</w:t>
            </w:r>
          </w:p>
        </w:tc>
        <w:tc>
          <w:tcPr>
            <w:tcW w:w="560" w:type="dxa"/>
            <w:tcBorders>
              <w:bottom w:val="single" w:sz="6" w:space="0" w:color="005CB9"/>
            </w:tcBorders>
            <w:shd w:fill="E5EEF8" w:val="clear"/>
            <w:tcMar>
              <w:bottom w:w="28" w:type="dxa"/>
            </w:tcMar>
            <w:vAlign w:val="center"/>
          </w:tcPr>
          <w:p>
            <w:pPr>
              <w:pStyle w:val="TableContents"/>
              <w:spacing w:lineRule="atLeast" w:line="240" w:before="0" w:after="0"/>
              <w:jc w:val="right"/>
              <w:rPr>
                <w:rFonts w:ascii="ARIAL" w:hAnsi="ARIAL"/>
                <w:sz w:val="16"/>
              </w:rPr>
            </w:pPr>
            <w:r>
              <w:rPr>
                <w:rFonts w:ascii="ARIAL" w:hAnsi="ARIAL"/>
                <w:sz w:val="16"/>
              </w:rPr>
              <w:t>1,175</w:t>
            </w:r>
          </w:p>
        </w:tc>
        <w:tc>
          <w:tcPr>
            <w:tcW w:w="125" w:type="dxa"/>
            <w:tcBorders>
              <w:bottom w:val="single" w:sz="6" w:space="0" w:color="005CB9"/>
            </w:tcBorders>
            <w:shd w:fill="E5EEF8" w:val="clear"/>
            <w:tcMar>
              <w:bottom w:w="28" w:type="dxa"/>
            </w:tcMar>
            <w:vAlign w:val="center"/>
          </w:tcPr>
          <w:p>
            <w:pPr>
              <w:pStyle w:val="TableContents"/>
              <w:spacing w:lineRule="atLeast" w:line="240" w:before="0" w:after="0"/>
              <w:rPr/>
            </w:pPr>
            <w:r>
              <w:rPr/>
              <w:t> </w:t>
            </w:r>
          </w:p>
        </w:tc>
        <w:tc>
          <w:tcPr>
            <w:tcW w:w="60" w:type="dxa"/>
            <w:tcBorders>
              <w:bottom w:val="single" w:sz="6" w:space="0" w:color="005CB9"/>
            </w:tcBorders>
            <w:shd w:fill="E5EEF8" w:val="clear"/>
            <w:tcMar>
              <w:bottom w:w="28" w:type="dxa"/>
            </w:tcMar>
            <w:vAlign w:val="center"/>
          </w:tcPr>
          <w:p>
            <w:pPr>
              <w:pStyle w:val="TableContents"/>
              <w:spacing w:before="0" w:after="283"/>
              <w:rPr/>
            </w:pPr>
            <w:r>
              <w:rPr/>
              <w:t> </w:t>
            </w:r>
          </w:p>
        </w:tc>
        <w:tc>
          <w:tcPr>
            <w:tcW w:w="2245" w:type="dxa"/>
            <w:tcBorders>
              <w:bottom w:val="single" w:sz="6" w:space="0" w:color="005CB9"/>
            </w:tcBorders>
            <w:shd w:fill="E5EEF8" w:val="clear"/>
            <w:tcMar>
              <w:bottom w:w="28" w:type="dxa"/>
            </w:tcMar>
            <w:vAlign w:val="center"/>
          </w:tcPr>
          <w:p>
            <w:pPr>
              <w:pStyle w:val="TableContents"/>
              <w:spacing w:lineRule="atLeast" w:line="240" w:before="0" w:after="0"/>
              <w:rPr>
                <w:rFonts w:ascii="ARIAL" w:hAnsi="ARIAL"/>
                <w:sz w:val="16"/>
              </w:rPr>
            </w:pPr>
            <w:r>
              <w:rPr>
                <w:rFonts w:ascii="ARIAL" w:hAnsi="ARIAL"/>
                <w:sz w:val="16"/>
              </w:rPr>
              <w:t>Communications Equipment    </w:t>
            </w:r>
          </w:p>
        </w:tc>
      </w:tr>
      <w:tr>
        <w:trPr/>
        <w:tc>
          <w:tcPr>
            <w:tcW w:w="1340" w:type="dxa"/>
            <w:tcBorders/>
            <w:shd w:fill="auto" w:val="clear"/>
            <w:vAlign w:val="center"/>
          </w:tcPr>
          <w:p>
            <w:pPr>
              <w:pStyle w:val="TableContents"/>
              <w:spacing w:lineRule="atLeast" w:line="240" w:before="0" w:after="0"/>
              <w:rPr/>
            </w:pPr>
            <w:r>
              <w:rPr/>
              <w:t>  </w:t>
            </w:r>
            <w:r>
              <w:rPr>
                <w:rFonts w:ascii="ARIAL" w:hAnsi="ARIAL"/>
                <w:b/>
                <w:sz w:val="16"/>
              </w:rPr>
              <w:t>Median</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lineRule="atLeast" w:line="240" w:before="0" w:after="0"/>
              <w:rPr/>
            </w:pPr>
            <w:r>
              <w:rPr/>
              <w:t>            </w:t>
            </w:r>
            <w:r>
              <w:rPr>
                <w:rFonts w:ascii="ARIAL" w:hAnsi="ARIAL"/>
                <w:b/>
                <w:sz w:val="16"/>
              </w:rPr>
              <w:t>$</w:t>
            </w:r>
          </w:p>
        </w:tc>
        <w:tc>
          <w:tcPr>
            <w:tcW w:w="680" w:type="dxa"/>
            <w:tcBorders/>
            <w:shd w:fill="auto" w:val="clear"/>
            <w:vAlign w:val="center"/>
          </w:tcPr>
          <w:p>
            <w:pPr>
              <w:pStyle w:val="TableContents"/>
              <w:spacing w:lineRule="atLeast" w:line="240" w:before="0" w:after="0"/>
              <w:jc w:val="right"/>
              <w:rPr>
                <w:rFonts w:ascii="ARIAL" w:hAnsi="ARIAL"/>
                <w:b/>
                <w:sz w:val="16"/>
              </w:rPr>
            </w:pPr>
            <w:r>
              <w:rPr>
                <w:rFonts w:ascii="ARIAL" w:hAnsi="ARIAL"/>
                <w:b/>
                <w:sz w:val="16"/>
              </w:rPr>
              <w:t>52,225</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lineRule="atLeast" w:line="240" w:before="0" w:after="0"/>
              <w:rPr/>
            </w:pPr>
            <w:r>
              <w:rPr/>
              <w:t>      </w:t>
            </w:r>
            <w:r>
              <w:rPr>
                <w:rFonts w:ascii="ARIAL" w:hAnsi="ARIAL"/>
                <w:b/>
                <w:sz w:val="16"/>
              </w:rPr>
              <w:t>$</w:t>
            </w:r>
          </w:p>
        </w:tc>
        <w:tc>
          <w:tcPr>
            <w:tcW w:w="680" w:type="dxa"/>
            <w:tcBorders/>
            <w:shd w:fill="auto" w:val="clear"/>
            <w:vAlign w:val="center"/>
          </w:tcPr>
          <w:p>
            <w:pPr>
              <w:pStyle w:val="TableContents"/>
              <w:spacing w:lineRule="atLeast" w:line="240" w:before="0" w:after="0"/>
              <w:jc w:val="right"/>
              <w:rPr>
                <w:rFonts w:ascii="ARIAL" w:hAnsi="ARIAL"/>
                <w:b/>
                <w:sz w:val="16"/>
              </w:rPr>
            </w:pPr>
            <w:r>
              <w:rPr>
                <w:rFonts w:ascii="ARIAL" w:hAnsi="ARIAL"/>
                <w:b/>
                <w:sz w:val="16"/>
              </w:rPr>
              <w:t>105,577</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lineRule="atLeast" w:line="240" w:before="0" w:after="0"/>
              <w:rPr/>
            </w:pPr>
            <w:r>
              <w:rPr/>
              <w:t>        </w:t>
            </w:r>
            <w:r>
              <w:rPr>
                <w:rFonts w:ascii="ARIAL" w:hAnsi="ARIAL"/>
                <w:b/>
                <w:sz w:val="16"/>
              </w:rPr>
              <w:t>$</w:t>
            </w:r>
          </w:p>
        </w:tc>
        <w:tc>
          <w:tcPr>
            <w:tcW w:w="680" w:type="dxa"/>
            <w:tcBorders/>
            <w:shd w:fill="auto" w:val="clear"/>
            <w:vAlign w:val="center"/>
          </w:tcPr>
          <w:p>
            <w:pPr>
              <w:pStyle w:val="TableContents"/>
              <w:spacing w:lineRule="atLeast" w:line="240" w:before="0" w:after="0"/>
              <w:jc w:val="right"/>
              <w:rPr>
                <w:rFonts w:ascii="ARIAL" w:hAnsi="ARIAL"/>
                <w:b/>
                <w:sz w:val="16"/>
              </w:rPr>
            </w:pPr>
            <w:r>
              <w:rPr>
                <w:rFonts w:ascii="ARIAL" w:hAnsi="ARIAL"/>
                <w:b/>
                <w:sz w:val="16"/>
              </w:rPr>
              <w:t>13,166</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lineRule="atLeast" w:line="240" w:before="0" w:after="0"/>
              <w:rPr/>
            </w:pPr>
            <w:r>
              <w:rPr/>
              <w:t>          </w:t>
            </w:r>
            <w:r>
              <w:rPr>
                <w:rFonts w:ascii="ARIAL" w:hAnsi="ARIAL"/>
                <w:b/>
                <w:sz w:val="16"/>
              </w:rPr>
              <w:t>$</w:t>
            </w:r>
          </w:p>
        </w:tc>
        <w:tc>
          <w:tcPr>
            <w:tcW w:w="560" w:type="dxa"/>
            <w:tcBorders/>
            <w:shd w:fill="auto" w:val="clear"/>
            <w:vAlign w:val="center"/>
          </w:tcPr>
          <w:p>
            <w:pPr>
              <w:pStyle w:val="TableContents"/>
              <w:spacing w:lineRule="atLeast" w:line="240" w:before="0" w:after="0"/>
              <w:jc w:val="right"/>
              <w:rPr>
                <w:rFonts w:ascii="ARIAL" w:hAnsi="ARIAL"/>
                <w:b/>
                <w:sz w:val="16"/>
              </w:rPr>
            </w:pPr>
            <w:r>
              <w:rPr>
                <w:rFonts w:ascii="ARIAL" w:hAnsi="ARIAL"/>
                <w:b/>
                <w:sz w:val="16"/>
              </w:rPr>
              <w:t>1,175</w:t>
            </w:r>
          </w:p>
        </w:tc>
        <w:tc>
          <w:tcPr>
            <w:tcW w:w="125"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2245" w:type="dxa"/>
            <w:tcBorders/>
            <w:shd w:fill="auto" w:val="clear"/>
            <w:vAlign w:val="center"/>
          </w:tcPr>
          <w:p>
            <w:pPr>
              <w:pStyle w:val="TableContents"/>
              <w:spacing w:before="0" w:after="283"/>
              <w:rPr>
                <w:sz w:val="4"/>
                <w:szCs w:val="4"/>
              </w:rPr>
            </w:pPr>
            <w:r>
              <w:rPr>
                <w:sz w:val="4"/>
                <w:szCs w:val="4"/>
              </w:rPr>
            </w:r>
          </w:p>
        </w:tc>
      </w:tr>
      <w:tr>
        <w:trPr/>
        <w:tc>
          <w:tcPr>
            <w:tcW w:w="134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r>
              <w:rPr>
                <w:rFonts w:ascii="ARIAL" w:hAnsi="ARIAL"/>
                <w:b/>
                <w:sz w:val="16"/>
              </w:rPr>
              <w:t>Roper</w:t>
            </w:r>
          </w:p>
        </w:tc>
        <w:tc>
          <w:tcPr>
            <w:tcW w:w="60" w:type="dxa"/>
            <w:tcBorders>
              <w:bottom w:val="single" w:sz="6" w:space="0" w:color="005CB9"/>
            </w:tcBorders>
            <w:shd w:fill="E5EEF8" w:val="clear"/>
            <w:tcMar>
              <w:bottom w:w="28" w:type="dxa"/>
            </w:tcMar>
            <w:vAlign w:val="center"/>
          </w:tcPr>
          <w:p>
            <w:pPr>
              <w:pStyle w:val="TableContents"/>
              <w:spacing w:before="0" w:after="283"/>
              <w:rPr/>
            </w:pPr>
            <w:r>
              <w:rPr/>
              <w:t> </w:t>
            </w:r>
          </w:p>
        </w:tc>
        <w:tc>
          <w:tcPr>
            <w:tcW w:w="635" w:type="dxa"/>
            <w:tcBorders>
              <w:bottom w:val="single" w:sz="6" w:space="0" w:color="005CB9"/>
            </w:tcBorders>
            <w:shd w:fill="E5EEF8" w:val="clear"/>
            <w:tcMar>
              <w:bottom w:w="28" w:type="dxa"/>
            </w:tcMar>
            <w:vAlign w:val="center"/>
          </w:tcPr>
          <w:p>
            <w:pPr>
              <w:pStyle w:val="TableContents"/>
              <w:spacing w:lineRule="atLeast" w:line="240" w:before="0" w:after="0"/>
              <w:jc w:val="right"/>
              <w:rPr>
                <w:rFonts w:ascii="ARIAL" w:hAnsi="ARIAL"/>
                <w:b/>
                <w:sz w:val="16"/>
              </w:rPr>
            </w:pPr>
            <w:r>
              <w:rPr>
                <w:rFonts w:ascii="ARIAL" w:hAnsi="ARIAL"/>
                <w:b/>
                <w:sz w:val="16"/>
              </w:rPr>
              <w:t>ROP</w:t>
            </w:r>
          </w:p>
        </w:tc>
        <w:tc>
          <w:tcPr>
            <w:tcW w:w="60" w:type="dxa"/>
            <w:tcBorders>
              <w:bottom w:val="single" w:sz="6" w:space="0" w:color="005CB9"/>
            </w:tcBorders>
            <w:shd w:fill="E5EEF8" w:val="clear"/>
            <w:tcMar>
              <w:bottom w:w="28" w:type="dxa"/>
            </w:tcMar>
            <w:vAlign w:val="center"/>
          </w:tcPr>
          <w:p>
            <w:pPr>
              <w:pStyle w:val="TableContents"/>
              <w:spacing w:before="0" w:after="283"/>
              <w:rPr/>
            </w:pPr>
            <w:r>
              <w:rPr/>
              <w:t> </w:t>
            </w:r>
          </w:p>
        </w:tc>
        <w:tc>
          <w:tcPr>
            <w:tcW w:w="86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r>
              <w:rPr>
                <w:rFonts w:ascii="ARIAL" w:hAnsi="ARIAL"/>
                <w:b/>
                <w:sz w:val="16"/>
              </w:rPr>
              <w:t>$</w:t>
            </w:r>
          </w:p>
        </w:tc>
        <w:tc>
          <w:tcPr>
            <w:tcW w:w="680" w:type="dxa"/>
            <w:tcBorders>
              <w:bottom w:val="single" w:sz="6" w:space="0" w:color="005CB9"/>
            </w:tcBorders>
            <w:shd w:fill="E5EEF8" w:val="clear"/>
            <w:tcMar>
              <w:bottom w:w="28" w:type="dxa"/>
            </w:tcMar>
            <w:vAlign w:val="center"/>
          </w:tcPr>
          <w:p>
            <w:pPr>
              <w:pStyle w:val="TableContents"/>
              <w:spacing w:lineRule="atLeast" w:line="240" w:before="0" w:after="0"/>
              <w:jc w:val="right"/>
              <w:rPr>
                <w:rFonts w:ascii="ARIAL" w:hAnsi="ARIAL"/>
                <w:b/>
                <w:sz w:val="16"/>
              </w:rPr>
            </w:pPr>
            <w:r>
              <w:rPr>
                <w:rFonts w:ascii="ARIAL" w:hAnsi="ARIAL"/>
                <w:b/>
                <w:sz w:val="16"/>
              </w:rPr>
              <w:t>45,824</w:t>
            </w:r>
          </w:p>
        </w:tc>
        <w:tc>
          <w:tcPr>
            <w:tcW w:w="6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p>
        </w:tc>
        <w:tc>
          <w:tcPr>
            <w:tcW w:w="60" w:type="dxa"/>
            <w:tcBorders>
              <w:bottom w:val="single" w:sz="6" w:space="0" w:color="005CB9"/>
            </w:tcBorders>
            <w:shd w:fill="E5EEF8" w:val="clear"/>
            <w:tcMar>
              <w:bottom w:w="28" w:type="dxa"/>
            </w:tcMar>
            <w:vAlign w:val="center"/>
          </w:tcPr>
          <w:p>
            <w:pPr>
              <w:pStyle w:val="TableContents"/>
              <w:spacing w:before="0" w:after="283"/>
              <w:rPr/>
            </w:pPr>
            <w:r>
              <w:rPr/>
              <w:t> </w:t>
            </w:r>
          </w:p>
        </w:tc>
        <w:tc>
          <w:tcPr>
            <w:tcW w:w="50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r>
              <w:rPr>
                <w:rFonts w:ascii="ARIAL" w:hAnsi="ARIAL"/>
                <w:b/>
                <w:sz w:val="16"/>
              </w:rPr>
              <w:t>$</w:t>
            </w:r>
          </w:p>
        </w:tc>
        <w:tc>
          <w:tcPr>
            <w:tcW w:w="680" w:type="dxa"/>
            <w:tcBorders>
              <w:bottom w:val="single" w:sz="6" w:space="0" w:color="005CB9"/>
            </w:tcBorders>
            <w:shd w:fill="E5EEF8" w:val="clear"/>
            <w:tcMar>
              <w:bottom w:w="28" w:type="dxa"/>
            </w:tcMar>
            <w:vAlign w:val="center"/>
          </w:tcPr>
          <w:p>
            <w:pPr>
              <w:pStyle w:val="TableContents"/>
              <w:spacing w:lineRule="atLeast" w:line="240" w:before="0" w:after="0"/>
              <w:jc w:val="right"/>
              <w:rPr>
                <w:rFonts w:ascii="ARIAL" w:hAnsi="ARIAL"/>
                <w:b/>
                <w:sz w:val="16"/>
              </w:rPr>
            </w:pPr>
            <w:r>
              <w:rPr>
                <w:rFonts w:ascii="ARIAL" w:hAnsi="ARIAL"/>
                <w:b/>
                <w:sz w:val="16"/>
              </w:rPr>
              <w:t>50,589</w:t>
            </w:r>
          </w:p>
        </w:tc>
        <w:tc>
          <w:tcPr>
            <w:tcW w:w="6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p>
        </w:tc>
        <w:tc>
          <w:tcPr>
            <w:tcW w:w="60" w:type="dxa"/>
            <w:tcBorders>
              <w:bottom w:val="single" w:sz="6" w:space="0" w:color="005CB9"/>
            </w:tcBorders>
            <w:shd w:fill="E5EEF8" w:val="clear"/>
            <w:tcMar>
              <w:bottom w:w="28" w:type="dxa"/>
            </w:tcMar>
            <w:vAlign w:val="center"/>
          </w:tcPr>
          <w:p>
            <w:pPr>
              <w:pStyle w:val="TableContents"/>
              <w:spacing w:before="0" w:after="283"/>
              <w:rPr/>
            </w:pPr>
            <w:r>
              <w:rPr/>
              <w:t> </w:t>
            </w:r>
          </w:p>
        </w:tc>
        <w:tc>
          <w:tcPr>
            <w:tcW w:w="62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r>
              <w:rPr>
                <w:rFonts w:ascii="ARIAL" w:hAnsi="ARIAL"/>
                <w:b/>
                <w:sz w:val="16"/>
              </w:rPr>
              <w:t>$</w:t>
            </w:r>
          </w:p>
        </w:tc>
        <w:tc>
          <w:tcPr>
            <w:tcW w:w="680" w:type="dxa"/>
            <w:tcBorders>
              <w:bottom w:val="single" w:sz="6" w:space="0" w:color="005CB9"/>
            </w:tcBorders>
            <w:shd w:fill="E5EEF8" w:val="clear"/>
            <w:tcMar>
              <w:bottom w:w="28" w:type="dxa"/>
            </w:tcMar>
            <w:vAlign w:val="center"/>
          </w:tcPr>
          <w:p>
            <w:pPr>
              <w:pStyle w:val="TableContents"/>
              <w:spacing w:lineRule="atLeast" w:line="240" w:before="0" w:after="0"/>
              <w:jc w:val="right"/>
              <w:rPr>
                <w:rFonts w:ascii="ARIAL" w:hAnsi="ARIAL"/>
                <w:b/>
                <w:sz w:val="16"/>
              </w:rPr>
            </w:pPr>
            <w:r>
              <w:rPr>
                <w:rFonts w:ascii="ARIAL" w:hAnsi="ARIAL"/>
                <w:b/>
                <w:sz w:val="16"/>
              </w:rPr>
              <w:t>5,700</w:t>
            </w:r>
          </w:p>
        </w:tc>
        <w:tc>
          <w:tcPr>
            <w:tcW w:w="6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p>
        </w:tc>
        <w:tc>
          <w:tcPr>
            <w:tcW w:w="60" w:type="dxa"/>
            <w:tcBorders>
              <w:bottom w:val="single" w:sz="6" w:space="0" w:color="005CB9"/>
            </w:tcBorders>
            <w:shd w:fill="E5EEF8" w:val="clear"/>
            <w:tcMar>
              <w:bottom w:w="28" w:type="dxa"/>
            </w:tcMar>
            <w:vAlign w:val="center"/>
          </w:tcPr>
          <w:p>
            <w:pPr>
              <w:pStyle w:val="TableContents"/>
              <w:spacing w:before="0" w:after="283"/>
              <w:rPr/>
            </w:pPr>
            <w:r>
              <w:rPr/>
              <w:t> </w:t>
            </w:r>
          </w:p>
        </w:tc>
        <w:tc>
          <w:tcPr>
            <w:tcW w:w="740" w:type="dxa"/>
            <w:tcBorders>
              <w:bottom w:val="single" w:sz="6" w:space="0" w:color="005CB9"/>
            </w:tcBorders>
            <w:shd w:fill="E5EEF8" w:val="clear"/>
            <w:tcMar>
              <w:bottom w:w="28" w:type="dxa"/>
            </w:tcMar>
            <w:vAlign w:val="center"/>
          </w:tcPr>
          <w:p>
            <w:pPr>
              <w:pStyle w:val="TableContents"/>
              <w:spacing w:lineRule="atLeast" w:line="240" w:before="0" w:after="0"/>
              <w:rPr/>
            </w:pPr>
            <w:r>
              <w:rPr/>
              <w:t>          </w:t>
            </w:r>
            <w:r>
              <w:rPr>
                <w:rFonts w:ascii="ARIAL" w:hAnsi="ARIAL"/>
                <w:b/>
                <w:sz w:val="16"/>
              </w:rPr>
              <w:t>$</w:t>
            </w:r>
          </w:p>
        </w:tc>
        <w:tc>
          <w:tcPr>
            <w:tcW w:w="560" w:type="dxa"/>
            <w:tcBorders>
              <w:bottom w:val="single" w:sz="6" w:space="0" w:color="005CB9"/>
            </w:tcBorders>
            <w:shd w:fill="E5EEF8" w:val="clear"/>
            <w:tcMar>
              <w:bottom w:w="28" w:type="dxa"/>
            </w:tcMar>
            <w:vAlign w:val="center"/>
          </w:tcPr>
          <w:p>
            <w:pPr>
              <w:pStyle w:val="TableContents"/>
              <w:spacing w:lineRule="atLeast" w:line="240" w:before="0" w:after="0"/>
              <w:jc w:val="right"/>
              <w:rPr>
                <w:rFonts w:ascii="ARIAL" w:hAnsi="ARIAL"/>
                <w:b/>
                <w:sz w:val="16"/>
              </w:rPr>
            </w:pPr>
            <w:r>
              <w:rPr>
                <w:rFonts w:ascii="ARIAL" w:hAnsi="ARIAL"/>
                <w:b/>
                <w:sz w:val="16"/>
              </w:rPr>
              <w:t>989</w:t>
            </w:r>
          </w:p>
        </w:tc>
        <w:tc>
          <w:tcPr>
            <w:tcW w:w="125" w:type="dxa"/>
            <w:tcBorders>
              <w:bottom w:val="single" w:sz="6" w:space="0" w:color="005CB9"/>
            </w:tcBorders>
            <w:shd w:fill="E5EEF8" w:val="clear"/>
            <w:tcMar>
              <w:bottom w:w="28" w:type="dxa"/>
            </w:tcMar>
            <w:vAlign w:val="center"/>
          </w:tcPr>
          <w:p>
            <w:pPr>
              <w:pStyle w:val="TableContents"/>
              <w:spacing w:lineRule="atLeast" w:line="240" w:before="0" w:after="0"/>
              <w:rPr/>
            </w:pPr>
            <w:r>
              <w:rPr/>
              <w:t> </w:t>
            </w:r>
          </w:p>
        </w:tc>
        <w:tc>
          <w:tcPr>
            <w:tcW w:w="60" w:type="dxa"/>
            <w:tcBorders>
              <w:bottom w:val="single" w:sz="6" w:space="0" w:color="005CB9"/>
            </w:tcBorders>
            <w:shd w:fill="E5EEF8" w:val="clear"/>
            <w:tcMar>
              <w:bottom w:w="28" w:type="dxa"/>
            </w:tcMar>
            <w:vAlign w:val="center"/>
          </w:tcPr>
          <w:p>
            <w:pPr>
              <w:pStyle w:val="TableContents"/>
              <w:spacing w:before="0" w:after="283"/>
              <w:rPr/>
            </w:pPr>
            <w:r>
              <w:rPr/>
              <w:t> </w:t>
            </w:r>
          </w:p>
        </w:tc>
        <w:tc>
          <w:tcPr>
            <w:tcW w:w="2245" w:type="dxa"/>
            <w:tcBorders>
              <w:bottom w:val="single" w:sz="6" w:space="0" w:color="005CB9"/>
            </w:tcBorders>
            <w:shd w:fill="E5EEF8" w:val="clear"/>
            <w:tcMar>
              <w:bottom w:w="28" w:type="dxa"/>
            </w:tcMar>
            <w:vAlign w:val="center"/>
          </w:tcPr>
          <w:p>
            <w:pPr>
              <w:pStyle w:val="TableContents"/>
              <w:spacing w:lineRule="atLeast" w:line="240" w:before="0" w:after="0"/>
              <w:rPr>
                <w:rFonts w:ascii="ARIAL" w:hAnsi="ARIAL"/>
                <w:b/>
                <w:sz w:val="16"/>
              </w:rPr>
            </w:pPr>
            <w:r>
              <w:rPr>
                <w:rFonts w:ascii="ARIAL" w:hAnsi="ARIAL"/>
                <w:b/>
                <w:sz w:val="16"/>
              </w:rPr>
              <w:t>Application Software</w:t>
            </w:r>
          </w:p>
        </w:tc>
      </w:tr>
    </w:tbl>
    <w:p>
      <w:pPr>
        <w:pStyle w:val="TextBody"/>
        <w:spacing w:before="80" w:after="0"/>
        <w:jc w:val="left"/>
        <w:rPr>
          <w:rFonts w:ascii="ARIAL" w:hAnsi="ARIAL"/>
          <w:sz w:val="16"/>
        </w:rPr>
      </w:pPr>
      <w:r>
        <w:rPr>
          <w:rFonts w:ascii="ARIAL" w:hAnsi="ARIAL"/>
          <w:sz w:val="16"/>
        </w:rPr>
        <w:t xml:space="preserve">Source: FactSet </w:t>
      </w:r>
    </w:p>
    <w:tbl>
      <w:tblPr>
        <w:tblW w:w="1435" w:type="dxa"/>
        <w:jc w:val="left"/>
        <w:tblInd w:w="0" w:type="dxa"/>
        <w:tblCellMar>
          <w:top w:w="0" w:type="dxa"/>
          <w:left w:w="0" w:type="dxa"/>
          <w:bottom w:w="0" w:type="dxa"/>
          <w:right w:w="0" w:type="dxa"/>
        </w:tblCellMar>
      </w:tblPr>
      <w:tblGrid>
        <w:gridCol w:w="305"/>
        <w:gridCol w:w="1130"/>
      </w:tblGrid>
      <w:tr>
        <w:trPr/>
        <w:tc>
          <w:tcPr>
            <w:tcW w:w="305" w:type="dxa"/>
            <w:tcBorders/>
            <w:shd w:fill="auto" w:val="clear"/>
            <w:vAlign w:val="center"/>
          </w:tcPr>
          <w:p>
            <w:pPr>
              <w:pStyle w:val="TableContents"/>
              <w:spacing w:before="0" w:after="283"/>
              <w:jc w:val="left"/>
              <w:rPr/>
            </w:pPr>
            <w:r>
              <w:rPr/>
              <w:t>(1)</w:t>
            </w:r>
          </w:p>
        </w:tc>
        <w:tc>
          <w:tcPr>
            <w:tcW w:w="1130" w:type="dxa"/>
            <w:tcBorders/>
            <w:shd w:fill="auto" w:val="clear"/>
            <w:vAlign w:val="center"/>
          </w:tcPr>
          <w:p>
            <w:pPr>
              <w:pStyle w:val="TableContents"/>
              <w:spacing w:before="0" w:after="0"/>
              <w:jc w:val="left"/>
              <w:rPr>
                <w:rFonts w:ascii="ARIAL" w:hAnsi="ARIAL"/>
                <w:sz w:val="16"/>
              </w:rPr>
            </w:pPr>
            <w:r>
              <w:rPr>
                <w:rFonts w:ascii="ARIAL" w:hAnsi="ARIAL"/>
                <w:sz w:val="16"/>
              </w:rPr>
              <w:t xml:space="preserve">As of 12/31/22 </w:t>
            </w:r>
          </w:p>
        </w:tc>
      </w:tr>
    </w:tbl>
    <w:tbl>
      <w:tblPr>
        <w:tblW w:w="3445" w:type="dxa"/>
        <w:jc w:val="left"/>
        <w:tblInd w:w="0" w:type="dxa"/>
        <w:tblCellMar>
          <w:top w:w="0" w:type="dxa"/>
          <w:left w:w="0" w:type="dxa"/>
          <w:bottom w:w="0" w:type="dxa"/>
          <w:right w:w="0" w:type="dxa"/>
        </w:tblCellMar>
      </w:tblPr>
      <w:tblGrid>
        <w:gridCol w:w="305"/>
        <w:gridCol w:w="3140"/>
      </w:tblGrid>
      <w:tr>
        <w:trPr/>
        <w:tc>
          <w:tcPr>
            <w:tcW w:w="305" w:type="dxa"/>
            <w:tcBorders/>
            <w:shd w:fill="auto" w:val="clear"/>
            <w:vAlign w:val="center"/>
          </w:tcPr>
          <w:p>
            <w:pPr>
              <w:pStyle w:val="TableContents"/>
              <w:spacing w:before="0" w:after="283"/>
              <w:jc w:val="left"/>
              <w:rPr/>
            </w:pPr>
            <w:r>
              <w:rPr/>
              <w:t>(2)</w:t>
            </w:r>
          </w:p>
        </w:tc>
        <w:tc>
          <w:tcPr>
            <w:tcW w:w="3140" w:type="dxa"/>
            <w:tcBorders/>
            <w:shd w:fill="auto" w:val="clear"/>
            <w:vAlign w:val="center"/>
          </w:tcPr>
          <w:p>
            <w:pPr>
              <w:pStyle w:val="TableContents"/>
              <w:spacing w:before="0" w:after="0"/>
              <w:jc w:val="left"/>
              <w:rPr>
                <w:rFonts w:ascii="ARIAL" w:hAnsi="ARIAL"/>
                <w:sz w:val="16"/>
              </w:rPr>
            </w:pPr>
            <w:r>
              <w:rPr>
                <w:rFonts w:ascii="ARIAL" w:hAnsi="ARIAL"/>
                <w:sz w:val="16"/>
              </w:rPr>
              <w:t xml:space="preserve">Last four quarters available as of 12/31/22 </w:t>
            </w:r>
          </w:p>
        </w:tc>
      </w:tr>
    </w:tbl>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32</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1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2" descr=""/>
                          <pic:cNvPicPr>
                            <a:picLocks noChangeAspect="1" noChangeArrowheads="1"/>
                          </pic:cNvPicPr>
                        </pic:nvPicPr>
                        <pic:blipFill>
                          <a:blip r:embed="rId83"/>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i/>
          <w:color w:val="005CB9"/>
          <w:sz w:val="20"/>
        </w:rPr>
      </w:pPr>
      <w:r>
        <w:rPr>
          <w:rFonts w:ascii="ARIAL" w:hAnsi="ARIAL"/>
          <w:b/>
          <w:i/>
          <w:color w:val="005CB9"/>
          <w:sz w:val="20"/>
        </w:rPr>
        <w:t xml:space="preserve">Long-Term Measurement Period </w:t>
      </w:r>
    </w:p>
    <w:p>
      <w:pPr>
        <w:pStyle w:val="TextBody"/>
        <w:spacing w:before="120" w:after="0"/>
        <w:jc w:val="left"/>
        <w:rPr>
          <w:rFonts w:ascii="ARIAL" w:hAnsi="ARIAL"/>
          <w:sz w:val="19"/>
        </w:rPr>
      </w:pPr>
      <w:r>
        <w:rPr>
          <w:rFonts w:ascii="ARIAL" w:hAnsi="ARIAL"/>
          <w:sz w:val="19"/>
        </w:rPr>
        <w:t xml:space="preserve">A long-term performance period most accurately portrays Roper’s relative performance. Over shorter periods, performance comparisons can be skewed by temporary or volatile market dynamics and relative over- or underperformance by Roper’s peers in any particular period. In contrast, Roper has historically delivered consistently strong performance with less volatility than many of its peers, thus comparing other companies’ short-term performance to that of Roper can generate misleading or distorted results. </w:t>
      </w:r>
    </w:p>
    <w:p>
      <w:pPr>
        <w:pStyle w:val="TextBody"/>
        <w:spacing w:before="240" w:after="0"/>
        <w:jc w:val="left"/>
        <w:rPr>
          <w:rFonts w:ascii="ARIAL" w:hAnsi="ARIAL"/>
          <w:b/>
          <w:color w:val="005CB9"/>
          <w:sz w:val="20"/>
        </w:rPr>
      </w:pPr>
      <w:r>
        <w:rPr>
          <w:rFonts w:ascii="ARIAL" w:hAnsi="ARIAL"/>
          <w:b/>
          <w:color w:val="005CB9"/>
          <w:sz w:val="20"/>
        </w:rPr>
        <w:t xml:space="preserve">CEO Compensation </w:t>
      </w:r>
    </w:p>
    <w:p>
      <w:pPr>
        <w:pStyle w:val="TextBody"/>
        <w:spacing w:before="120" w:after="0"/>
        <w:jc w:val="left"/>
        <w:rPr>
          <w:rFonts w:ascii="ARIAL" w:hAnsi="ARIAL"/>
          <w:sz w:val="19"/>
        </w:rPr>
      </w:pPr>
      <w:r>
        <w:rPr>
          <w:rFonts w:ascii="ARIAL" w:hAnsi="ARIAL"/>
          <w:sz w:val="19"/>
        </w:rPr>
        <w:t xml:space="preserve">The Compensation Committee considers many factors in determining the compensation of Roper’s CEO, and believes the compensation for the position is reasonable, appropriate, and aligned with shareholders’ best interests.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3110230" cy="4847590"/>
                <wp:effectExtent l="0" t="0" r="0" b="0"/>
                <wp:wrapSquare wrapText="largest"/>
                <wp:docPr id="112" name="Frame29"/>
                <a:graphic xmlns:a="http://schemas.openxmlformats.org/drawingml/2006/main">
                  <a:graphicData uri="http://schemas.microsoft.com/office/word/2010/wordprocessingShape">
                    <wps:wsp>
                      <wps:cNvSpPr txBox="1"/>
                      <wps:spPr>
                        <a:xfrm>
                          <a:off x="0" y="0"/>
                          <a:ext cx="3110230" cy="4847590"/>
                        </a:xfrm>
                        <a:prstGeom prst="rect"/>
                      </wps:spPr>
                      <wps:txbx>
                        <w:txbxContent>
                          <w:p>
                            <w:pPr>
                              <w:pStyle w:val="TextBody"/>
                              <w:spacing w:before="0" w:after="0"/>
                              <w:rPr>
                                <w:rFonts w:ascii="ARIAL" w:hAnsi="ARIAL"/>
                                <w:b/>
                                <w:i/>
                                <w:color w:val="005CB9"/>
                                <w:sz w:val="20"/>
                              </w:rPr>
                            </w:pPr>
                            <w:r>
                              <w:rPr>
                                <w:rFonts w:ascii="ARIAL" w:hAnsi="ARIAL"/>
                                <w:b/>
                                <w:i/>
                                <w:color w:val="005CB9"/>
                                <w:sz w:val="20"/>
                              </w:rPr>
                              <w:t xml:space="preserve">Broad Responsibilities and Effective Leadership </w:t>
                            </w:r>
                          </w:p>
                          <w:p>
                            <w:pPr>
                              <w:pStyle w:val="TextBody"/>
                              <w:spacing w:before="120" w:after="0"/>
                              <w:rPr>
                                <w:rFonts w:ascii="ARIAL" w:hAnsi="ARIAL"/>
                                <w:sz w:val="19"/>
                              </w:rPr>
                            </w:pPr>
                            <w:r>
                              <w:rPr>
                                <w:rFonts w:ascii="ARIAL" w:hAnsi="ARIAL"/>
                                <w:sz w:val="19"/>
                              </w:rPr>
                              <w:t xml:space="preserve">Mr. Hunn joined Roper in 2011, and worked closely with our prior CEO and President, Brian D. Jellison, to develop and implement the capital deployment process under which Roper has invested billions of dollars in acquisitions that have generated sustained superior returns for shareholders. Following his appointment as CEO and President in September 2018, Mr. Hunn has led the Company’s capital deployment efforts and has continued to build and champion Roper’s sustainable high-performance and entrepreneurial culture as well as led Roper’s portfolio transformation over the past three years. Prior to his appointment as CEO, Mr. Hunn served as the Company’s first Chief Operating Officer. </w:t>
                            </w:r>
                          </w:p>
                          <w:p>
                            <w:pPr>
                              <w:pStyle w:val="TextBody"/>
                              <w:spacing w:before="240" w:after="0"/>
                              <w:rPr>
                                <w:rFonts w:ascii="ARIAL" w:hAnsi="ARIAL"/>
                                <w:b/>
                                <w:i/>
                                <w:color w:val="005CB9"/>
                                <w:sz w:val="20"/>
                              </w:rPr>
                            </w:pPr>
                            <w:r>
                              <w:rPr>
                                <w:rFonts w:ascii="ARIAL" w:hAnsi="ARIAL"/>
                                <w:b/>
                                <w:i/>
                                <w:color w:val="005CB9"/>
                                <w:sz w:val="20"/>
                              </w:rPr>
                              <w:t xml:space="preserve">Outstanding Performance and Value Creation </w:t>
                            </w:r>
                          </w:p>
                          <w:p>
                            <w:pPr>
                              <w:pStyle w:val="TextBody"/>
                              <w:spacing w:before="120" w:after="0"/>
                              <w:rPr>
                                <w:rFonts w:ascii="ARIAL" w:hAnsi="ARIAL"/>
                                <w:sz w:val="19"/>
                              </w:rPr>
                            </w:pPr>
                            <w:r>
                              <w:rPr>
                                <w:rFonts w:ascii="ARIAL" w:hAnsi="ARIAL"/>
                                <w:sz w:val="19"/>
                              </w:rPr>
                              <w:t xml:space="preserve">Beginning in 2003, Roper has undergone a business transformation with increasing cash return on investment and increasing margins, providing a platform for continuing growth and future value creation for shareholders. Mr. Hunn made significant contributions to this effort since joining the Company. During the five years Mr. Hunn has served as the Chief Executive Officer, Roper’s shareholders have earned a 11.4% compound annual return and a total shareholder return of 71.6%, compared to the S&amp;P 500’s total shareholder return of 56.9% over the same period. </w:t>
                            </w:r>
                          </w:p>
                          <w:p>
                            <w:pPr>
                              <w:pStyle w:val="TextBody"/>
                              <w:spacing w:before="240" w:after="0"/>
                              <w:rPr>
                                <w:rFonts w:ascii="ARIAL" w:hAnsi="ARIAL"/>
                                <w:b/>
                                <w:i/>
                                <w:color w:val="005CB9"/>
                                <w:sz w:val="20"/>
                              </w:rPr>
                            </w:pPr>
                            <w:r>
                              <w:rPr>
                                <w:rFonts w:ascii="ARIAL" w:hAnsi="ARIAL"/>
                                <w:b/>
                                <w:i/>
                                <w:color w:val="005CB9"/>
                                <w:sz w:val="20"/>
                              </w:rPr>
                              <w:t xml:space="preserve">Alignment with Shareholder Value Creation </w:t>
                            </w:r>
                          </w:p>
                          <w:p>
                            <w:pPr>
                              <w:pStyle w:val="TextBody"/>
                              <w:spacing w:before="120" w:after="0"/>
                              <w:rPr>
                                <w:rFonts w:ascii="ARIAL" w:hAnsi="ARIAL"/>
                                <w:sz w:val="19"/>
                              </w:rPr>
                            </w:pPr>
                            <w:r>
                              <w:rPr>
                                <w:rFonts w:ascii="ARIAL" w:hAnsi="ARIAL"/>
                                <w:sz w:val="19"/>
                              </w:rPr>
                              <w:t xml:space="preserve">Mr. Hunn’s compensation is closely tied to the performance of the Company. In 2022, approximately 86% of his total direct compensation was tied to equity awards. This tight alignment between compensation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81.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i/>
                          <w:color w:val="005CB9"/>
                          <w:sz w:val="20"/>
                        </w:rPr>
                      </w:pPr>
                      <w:r>
                        <w:rPr>
                          <w:rFonts w:ascii="ARIAL" w:hAnsi="ARIAL"/>
                          <w:b/>
                          <w:i/>
                          <w:color w:val="005CB9"/>
                          <w:sz w:val="20"/>
                        </w:rPr>
                        <w:t xml:space="preserve">Broad Responsibilities and Effective Leadership </w:t>
                      </w:r>
                    </w:p>
                    <w:p>
                      <w:pPr>
                        <w:pStyle w:val="TextBody"/>
                        <w:spacing w:before="120" w:after="0"/>
                        <w:rPr>
                          <w:rFonts w:ascii="ARIAL" w:hAnsi="ARIAL"/>
                          <w:sz w:val="19"/>
                        </w:rPr>
                      </w:pPr>
                      <w:r>
                        <w:rPr>
                          <w:rFonts w:ascii="ARIAL" w:hAnsi="ARIAL"/>
                          <w:sz w:val="19"/>
                        </w:rPr>
                        <w:t xml:space="preserve">Mr. Hunn joined Roper in 2011, and worked closely with our prior CEO and President, Brian D. Jellison, to develop and implement the capital deployment process under which Roper has invested billions of dollars in acquisitions that have generated sustained superior returns for shareholders. Following his appointment as CEO and President in September 2018, Mr. Hunn has led the Company’s capital deployment efforts and has continued to build and champion Roper’s sustainable high-performance and entrepreneurial culture as well as led Roper’s portfolio transformation over the past three years. Prior to his appointment as CEO, Mr. Hunn served as the Company’s first Chief Operating Officer. </w:t>
                      </w:r>
                    </w:p>
                    <w:p>
                      <w:pPr>
                        <w:pStyle w:val="TextBody"/>
                        <w:spacing w:before="240" w:after="0"/>
                        <w:rPr>
                          <w:rFonts w:ascii="ARIAL" w:hAnsi="ARIAL"/>
                          <w:b/>
                          <w:i/>
                          <w:color w:val="005CB9"/>
                          <w:sz w:val="20"/>
                        </w:rPr>
                      </w:pPr>
                      <w:r>
                        <w:rPr>
                          <w:rFonts w:ascii="ARIAL" w:hAnsi="ARIAL"/>
                          <w:b/>
                          <w:i/>
                          <w:color w:val="005CB9"/>
                          <w:sz w:val="20"/>
                        </w:rPr>
                        <w:t xml:space="preserve">Outstanding Performance and Value Creation </w:t>
                      </w:r>
                    </w:p>
                    <w:p>
                      <w:pPr>
                        <w:pStyle w:val="TextBody"/>
                        <w:spacing w:before="120" w:after="0"/>
                        <w:rPr>
                          <w:rFonts w:ascii="ARIAL" w:hAnsi="ARIAL"/>
                          <w:sz w:val="19"/>
                        </w:rPr>
                      </w:pPr>
                      <w:r>
                        <w:rPr>
                          <w:rFonts w:ascii="ARIAL" w:hAnsi="ARIAL"/>
                          <w:sz w:val="19"/>
                        </w:rPr>
                        <w:t xml:space="preserve">Beginning in 2003, Roper has undergone a business transformation with increasing cash return on investment and increasing margins, providing a platform for continuing growth and future value creation for shareholders. Mr. Hunn made significant contributions to this effort since joining the Company. During the five years Mr. Hunn has served as the Chief Executive Officer, Roper’s shareholders have earned a 11.4% compound annual return and a total shareholder return of 71.6%, compared to the S&amp;P 500’s total shareholder return of 56.9% over the same period. </w:t>
                      </w:r>
                    </w:p>
                    <w:p>
                      <w:pPr>
                        <w:pStyle w:val="TextBody"/>
                        <w:spacing w:before="240" w:after="0"/>
                        <w:rPr>
                          <w:rFonts w:ascii="ARIAL" w:hAnsi="ARIAL"/>
                          <w:b/>
                          <w:i/>
                          <w:color w:val="005CB9"/>
                          <w:sz w:val="20"/>
                        </w:rPr>
                      </w:pPr>
                      <w:r>
                        <w:rPr>
                          <w:rFonts w:ascii="ARIAL" w:hAnsi="ARIAL"/>
                          <w:b/>
                          <w:i/>
                          <w:color w:val="005CB9"/>
                          <w:sz w:val="20"/>
                        </w:rPr>
                        <w:t xml:space="preserve">Alignment with Shareholder Value Creation </w:t>
                      </w:r>
                    </w:p>
                    <w:p>
                      <w:pPr>
                        <w:pStyle w:val="TextBody"/>
                        <w:spacing w:before="120" w:after="0"/>
                        <w:rPr>
                          <w:rFonts w:ascii="ARIAL" w:hAnsi="ARIAL"/>
                          <w:sz w:val="19"/>
                        </w:rPr>
                      </w:pPr>
                      <w:r>
                        <w:rPr>
                          <w:rFonts w:ascii="ARIAL" w:hAnsi="ARIAL"/>
                          <w:sz w:val="19"/>
                        </w:rPr>
                        <w:t xml:space="preserve">Mr. Hunn’s compensation is closely tied to the performance of the Company. In 2022, approximately 86% of his total direct compensation was tied to equity awards. This tight alignment between compensation </w:t>
                      </w:r>
                    </w:p>
                  </w:txbxContent>
                </v:textbox>
                <w10:wrap type="square" side="right"/>
              </v:rect>
            </w:pict>
          </mc:Fallback>
        </mc:AlternateConten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3175000" cy="4326890"/>
                <wp:effectExtent l="0" t="0" r="0" b="0"/>
                <wp:wrapSquare wrapText="largest"/>
                <wp:docPr id="113" name="Frame30"/>
                <a:graphic xmlns:a="http://schemas.openxmlformats.org/drawingml/2006/main">
                  <a:graphicData uri="http://schemas.microsoft.com/office/word/2010/wordprocessingShape">
                    <wps:wsp>
                      <wps:cNvSpPr txBox="1"/>
                      <wps:spPr>
                        <a:xfrm>
                          <a:off x="0" y="0"/>
                          <a:ext cx="3175000" cy="4326890"/>
                        </a:xfrm>
                        <a:prstGeom prst="rect"/>
                      </wps:spPr>
                      <wps:txbx>
                        <w:txbxContent>
                          <w:p>
                            <w:pPr>
                              <w:pStyle w:val="TextBody"/>
                              <w:spacing w:before="0" w:after="0"/>
                              <w:rPr>
                                <w:rFonts w:ascii="ARIAL" w:hAnsi="ARIAL"/>
                                <w:sz w:val="19"/>
                              </w:rPr>
                            </w:pPr>
                            <w:r>
                              <w:rPr>
                                <w:rFonts w:ascii="ARIAL" w:hAnsi="ARIAL"/>
                                <w:sz w:val="19"/>
                              </w:rPr>
                              <w:t xml:space="preserve">and share price creates a strong incentive to profitably grow the enterprise. In recognition of Mr. Hunn’s heightened responsibilities upon his succession as CEO following Mr. Jellison’s untimely death, in 2019 the Committee also determined to provide Mr. Hunn with a long-term cash incentive to emphasize the importance of attaining continuing and sustainable growth over a five-year term and to protect the continuity of leadership during the period of transition. For additional information on the long-term cash incentive see “CEO Special Long-Term Cash Incentive” below. </w:t>
                            </w:r>
                          </w:p>
                          <w:p>
                            <w:pPr>
                              <w:pStyle w:val="TextBody"/>
                              <w:spacing w:before="240" w:after="0"/>
                              <w:rPr>
                                <w:rFonts w:ascii="ARIAL" w:hAnsi="ARIAL"/>
                                <w:b/>
                                <w:i/>
                                <w:color w:val="005CB9"/>
                                <w:sz w:val="20"/>
                              </w:rPr>
                            </w:pPr>
                            <w:r>
                              <w:rPr>
                                <w:rFonts w:ascii="ARIAL" w:hAnsi="ARIAL"/>
                                <w:b/>
                                <w:i/>
                                <w:color w:val="005CB9"/>
                                <w:sz w:val="20"/>
                              </w:rPr>
                              <w:t xml:space="preserve">External Comparisons </w:t>
                            </w:r>
                          </w:p>
                          <w:p>
                            <w:pPr>
                              <w:pStyle w:val="TextBody"/>
                              <w:spacing w:before="120" w:after="0"/>
                              <w:rPr>
                                <w:rFonts w:ascii="ARIAL" w:hAnsi="ARIAL"/>
                                <w:sz w:val="19"/>
                              </w:rPr>
                            </w:pPr>
                            <w:r>
                              <w:rPr>
                                <w:rFonts w:ascii="ARIAL" w:hAnsi="ARIAL"/>
                                <w:sz w:val="19"/>
                              </w:rPr>
                              <w:t xml:space="preserve">Compensation for Roper’s CEO is within the range for Roper’s self-selected peers and high-performing chief executive officers of publicly traded companies. Among private equity firms, compensation for Roper’s CEO is below levels that would be expected for commensurate levels of performance. Further, we believe that compensation for our CEO has been reasonable and reflects the value created for shareholders over both the short and long-term. </w:t>
                            </w:r>
                          </w:p>
                          <w:p>
                            <w:pPr>
                              <w:pStyle w:val="TextBody"/>
                              <w:spacing w:before="120" w:after="0"/>
                              <w:rPr>
                                <w:rFonts w:ascii="ARIAL" w:hAnsi="ARIAL"/>
                                <w:sz w:val="19"/>
                              </w:rPr>
                            </w:pPr>
                            <w:r>
                              <w:rPr>
                                <w:rFonts w:ascii="ARIAL" w:hAnsi="ARIAL"/>
                                <w:sz w:val="19"/>
                              </w:rPr>
                              <w:t xml:space="preserve">In early 2022, the Compensation Committee reviewed Mr. Hunn’s compensation compared to similarly situated CEOs and decided to maintain his salary and his annual bonus opportunity at $1,000,000, and 200% of his base salary, respectively. The Committee did increase Mr. Hunn’s total target direct compensation by 4.0%, with the increase allocated entirely to long-term equity compensation.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40.7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and share price creates a strong incentive to profitably grow the enterprise. In recognition of Mr. Hunn’s heightened responsibilities upon his succession as CEO following Mr. Jellison’s untimely death, in 2019 the Committee also determined to provide Mr. Hunn with a long-term cash incentive to emphasize the importance of attaining continuing and sustainable growth over a five-year term and to protect the continuity of leadership during the period of transition. For additional information on the long-term cash incentive see “CEO Special Long-Term Cash Incentive” below. </w:t>
                      </w:r>
                    </w:p>
                    <w:p>
                      <w:pPr>
                        <w:pStyle w:val="TextBody"/>
                        <w:spacing w:before="240" w:after="0"/>
                        <w:rPr>
                          <w:rFonts w:ascii="ARIAL" w:hAnsi="ARIAL"/>
                          <w:b/>
                          <w:i/>
                          <w:color w:val="005CB9"/>
                          <w:sz w:val="20"/>
                        </w:rPr>
                      </w:pPr>
                      <w:r>
                        <w:rPr>
                          <w:rFonts w:ascii="ARIAL" w:hAnsi="ARIAL"/>
                          <w:b/>
                          <w:i/>
                          <w:color w:val="005CB9"/>
                          <w:sz w:val="20"/>
                        </w:rPr>
                        <w:t xml:space="preserve">External Comparisons </w:t>
                      </w:r>
                    </w:p>
                    <w:p>
                      <w:pPr>
                        <w:pStyle w:val="TextBody"/>
                        <w:spacing w:before="120" w:after="0"/>
                        <w:rPr>
                          <w:rFonts w:ascii="ARIAL" w:hAnsi="ARIAL"/>
                          <w:sz w:val="19"/>
                        </w:rPr>
                      </w:pPr>
                      <w:r>
                        <w:rPr>
                          <w:rFonts w:ascii="ARIAL" w:hAnsi="ARIAL"/>
                          <w:sz w:val="19"/>
                        </w:rPr>
                        <w:t xml:space="preserve">Compensation for Roper’s CEO is within the range for Roper’s self-selected peers and high-performing chief executive officers of publicly traded companies. Among private equity firms, compensation for Roper’s CEO is below levels that would be expected for commensurate levels of performance. Further, we believe that compensation for our CEO has been reasonable and reflects the value created for shareholders over both the short and long-term. </w:t>
                      </w:r>
                    </w:p>
                    <w:p>
                      <w:pPr>
                        <w:pStyle w:val="TextBody"/>
                        <w:spacing w:before="120" w:after="0"/>
                        <w:rPr>
                          <w:rFonts w:ascii="ARIAL" w:hAnsi="ARIAL"/>
                          <w:sz w:val="19"/>
                        </w:rPr>
                      </w:pPr>
                      <w:r>
                        <w:rPr>
                          <w:rFonts w:ascii="ARIAL" w:hAnsi="ARIAL"/>
                          <w:sz w:val="19"/>
                        </w:rPr>
                        <w:t xml:space="preserve">In early 2022, the Compensation Committee reviewed Mr. Hunn’s compensation compared to similarly situated CEOs and decided to maintain his salary and his annual bonus opportunity at $1,000,000, and 200% of his base salary, respectively. The Committee did increase Mr. Hunn’s total target direct compensation by 4.0%, with the increase allocated entirely to long-term equity compensation. </w:t>
                      </w:r>
                    </w:p>
                  </w:txbxContent>
                </v:textbox>
                <w10:wrap type="square" side="right"/>
              </v:rect>
            </w:pict>
          </mc:Fallback>
        </mc:AlternateConten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1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3" descr=""/>
                          <pic:cNvPicPr>
                            <a:picLocks noChangeAspect="1" noChangeArrowheads="1"/>
                          </pic:cNvPicPr>
                        </pic:nvPicPr>
                        <pic:blipFill>
                          <a:blip r:embed="rId84"/>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33</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3110230" cy="1744980"/>
                <wp:effectExtent l="0" t="0" r="0" b="0"/>
                <wp:wrapSquare wrapText="largest"/>
                <wp:docPr id="115" name="Frame31"/>
                <a:graphic xmlns:a="http://schemas.openxmlformats.org/drawingml/2006/main">
                  <a:graphicData uri="http://schemas.microsoft.com/office/word/2010/wordprocessingShape">
                    <wps:wsp>
                      <wps:cNvSpPr txBox="1"/>
                      <wps:spPr>
                        <a:xfrm>
                          <a:off x="0" y="0"/>
                          <a:ext cx="3110230" cy="1744980"/>
                        </a:xfrm>
                        <a:prstGeom prst="rect"/>
                      </wps:spPr>
                      <wps:txbx>
                        <w:txbxContent>
                          <w:p>
                            <w:pPr>
                              <w:pStyle w:val="TextBody"/>
                              <w:spacing w:before="0" w:after="0"/>
                              <w:rPr>
                                <w:rFonts w:ascii="ARIAL" w:hAnsi="ARIAL"/>
                                <w:b/>
                                <w:i/>
                                <w:color w:val="005CB9"/>
                                <w:sz w:val="20"/>
                              </w:rPr>
                            </w:pPr>
                            <w:r>
                              <w:rPr>
                                <w:rFonts w:ascii="ARIAL" w:hAnsi="ARIAL"/>
                                <w:b/>
                                <w:i/>
                                <w:color w:val="005CB9"/>
                                <w:sz w:val="20"/>
                              </w:rPr>
                              <w:t xml:space="preserve">Internal Pay Equity </w:t>
                            </w:r>
                          </w:p>
                          <w:p>
                            <w:pPr>
                              <w:pStyle w:val="TextBody"/>
                              <w:spacing w:before="120" w:after="0"/>
                              <w:rPr>
                                <w:rFonts w:ascii="ARIAL" w:hAnsi="ARIAL"/>
                                <w:sz w:val="19"/>
                              </w:rPr>
                            </w:pPr>
                            <w:r>
                              <w:rPr>
                                <w:rFonts w:ascii="ARIAL" w:hAnsi="ARIAL"/>
                                <w:sz w:val="19"/>
                              </w:rPr>
                              <w:t xml:space="preserve">The Compensation Committee considers the scope of responsibilities, experience, and performance of our executive officers and believes all named executive officers are appropriately compensated from an internal pay equity perspective. Specific considerations in regard to the CEO’s compensation include the breadth of his responsibilities and his leadership role in developing and executing Roper’s business strategy. Consistent with Roper’s lean organization, we made a conscious decision to not have many traditional corporate staff positions and levels. In addition to low corporate overhead, Roper’s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7.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i/>
                          <w:color w:val="005CB9"/>
                          <w:sz w:val="20"/>
                        </w:rPr>
                      </w:pPr>
                      <w:r>
                        <w:rPr>
                          <w:rFonts w:ascii="ARIAL" w:hAnsi="ARIAL"/>
                          <w:b/>
                          <w:i/>
                          <w:color w:val="005CB9"/>
                          <w:sz w:val="20"/>
                        </w:rPr>
                        <w:t xml:space="preserve">Internal Pay Equity </w:t>
                      </w:r>
                    </w:p>
                    <w:p>
                      <w:pPr>
                        <w:pStyle w:val="TextBody"/>
                        <w:spacing w:before="120" w:after="0"/>
                        <w:rPr>
                          <w:rFonts w:ascii="ARIAL" w:hAnsi="ARIAL"/>
                          <w:sz w:val="19"/>
                        </w:rPr>
                      </w:pPr>
                      <w:r>
                        <w:rPr>
                          <w:rFonts w:ascii="ARIAL" w:hAnsi="ARIAL"/>
                          <w:sz w:val="19"/>
                        </w:rPr>
                        <w:t xml:space="preserve">The Compensation Committee considers the scope of responsibilities, experience, and performance of our executive officers and believes all named executive officers are appropriately compensated from an internal pay equity perspective. Specific considerations in regard to the CEO’s compensation include the breadth of his responsibilities and his leadership role in developing and executing Roper’s business strategy. Consistent with Roper’s lean organization, we made a conscious decision to not have many traditional corporate staff positions and levels. In addition to low corporate overhead, Roper’s </w:t>
                      </w:r>
                    </w:p>
                  </w:txbxContent>
                </v:textbox>
                <w10:wrap type="square" side="right"/>
              </v:rect>
            </w:pict>
          </mc:Fallback>
        </mc:AlternateConten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3175000" cy="1522730"/>
                <wp:effectExtent l="0" t="0" r="0" b="0"/>
                <wp:wrapSquare wrapText="largest"/>
                <wp:docPr id="116" name="Frame32"/>
                <a:graphic xmlns:a="http://schemas.openxmlformats.org/drawingml/2006/main">
                  <a:graphicData uri="http://schemas.microsoft.com/office/word/2010/wordprocessingShape">
                    <wps:wsp>
                      <wps:cNvSpPr txBox="1"/>
                      <wps:spPr>
                        <a:xfrm>
                          <a:off x="0" y="0"/>
                          <a:ext cx="3175000" cy="1522730"/>
                        </a:xfrm>
                        <a:prstGeom prst="rect"/>
                      </wps:spPr>
                      <wps:txbx>
                        <w:txbxContent>
                          <w:p>
                            <w:pPr>
                              <w:pStyle w:val="TextBody"/>
                              <w:spacing w:before="0" w:after="0"/>
                              <w:rPr>
                                <w:rFonts w:ascii="ARIAL" w:hAnsi="ARIAL"/>
                                <w:sz w:val="19"/>
                              </w:rPr>
                            </w:pPr>
                            <w:r>
                              <w:rPr>
                                <w:rFonts w:ascii="ARIAL" w:hAnsi="ARIAL"/>
                                <w:sz w:val="19"/>
                              </w:rPr>
                              <w:t xml:space="preserve">decentralized model results in operating business leaders who are highly compensated but are not currently named executive officers. In addition to rigorous executive development programs for key employees who may become executive officers, the Compensation Committee monitors compensation of other key Company leaders against external and internal standards. This supports our succession planning process and ensures its continuing effectiveness, as evidenced by the Company’s performance since Mr. Hunn’s succession of Mr. Jellison as President and CEO in September 2018.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19.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decentralized model results in operating business leaders who are highly compensated but are not currently named executive officers. In addition to rigorous executive development programs for key employees who may become executive officers, the Compensation Committee monitors compensation of other key Company leaders against external and internal standards. This supports our succession planning process and ensures its continuing effectiveness, as evidenced by the Company’s performance since Mr. Hunn’s succession of Mr. Jellison as President and CEO in September 2018. </w:t>
                      </w:r>
                    </w:p>
                  </w:txbxContent>
                </v:textbox>
                <w10:wrap type="square" side="right"/>
              </v:rect>
            </w:pict>
          </mc:Fallback>
        </mc:AlternateConten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3110230" cy="4268470"/>
                <wp:effectExtent l="0" t="0" r="0" b="0"/>
                <wp:wrapSquare wrapText="largest"/>
                <wp:docPr id="117" name="Frame33"/>
                <a:graphic xmlns:a="http://schemas.openxmlformats.org/drawingml/2006/main">
                  <a:graphicData uri="http://schemas.microsoft.com/office/word/2010/wordprocessingShape">
                    <wps:wsp>
                      <wps:cNvSpPr txBox="1"/>
                      <wps:spPr>
                        <a:xfrm>
                          <a:off x="0" y="0"/>
                          <a:ext cx="3110230" cy="4268470"/>
                        </a:xfrm>
                        <a:prstGeom prst="rect"/>
                      </wps:spPr>
                      <wps:txbx>
                        <w:txbxContent>
                          <w:p>
                            <w:pPr>
                              <w:pStyle w:val="TextBody"/>
                              <w:spacing w:before="0" w:after="0"/>
                              <w:rPr>
                                <w:rFonts w:ascii="ARIAL" w:hAnsi="ARIAL"/>
                                <w:b/>
                                <w:sz w:val="24"/>
                              </w:rPr>
                            </w:pPr>
                            <w:bookmarkStart w:id="18" w:name="toc356364_16"/>
                            <w:bookmarkEnd w:id="18"/>
                            <w:r>
                              <w:rPr>
                                <w:rFonts w:ascii="ARIAL" w:hAnsi="ARIAL"/>
                                <w:b/>
                                <w:sz w:val="24"/>
                              </w:rPr>
                              <w:t xml:space="preserve">ANALYSIS OF 2022 COMPENSATION </w:t>
                            </w:r>
                          </w:p>
                          <w:p>
                            <w:pPr>
                              <w:pStyle w:val="TextBody"/>
                              <w:spacing w:before="120" w:after="0"/>
                              <w:rPr>
                                <w:rFonts w:ascii="ARIAL" w:hAnsi="ARIAL"/>
                                <w:sz w:val="19"/>
                              </w:rPr>
                            </w:pPr>
                            <w:r>
                              <w:rPr>
                                <w:rFonts w:ascii="ARIAL" w:hAnsi="ARIAL"/>
                                <w:sz w:val="19"/>
                              </w:rPr>
                              <w:t xml:space="preserve">This section discusses compensation actions taken in 2022 for our named executive officers, as reported in the “Executive Compensation” section below. </w:t>
                            </w:r>
                          </w:p>
                          <w:p>
                            <w:pPr>
                              <w:pStyle w:val="TextBody"/>
                              <w:spacing w:before="240" w:after="0"/>
                              <w:rPr>
                                <w:rFonts w:ascii="ARIAL" w:hAnsi="ARIAL"/>
                                <w:b/>
                                <w:color w:val="005CB9"/>
                                <w:sz w:val="20"/>
                              </w:rPr>
                            </w:pPr>
                            <w:r>
                              <w:rPr>
                                <w:rFonts w:ascii="ARIAL" w:hAnsi="ARIAL"/>
                                <w:b/>
                                <w:color w:val="005CB9"/>
                                <w:sz w:val="20"/>
                              </w:rPr>
                              <w:t xml:space="preserve">Base Salary </w:t>
                            </w:r>
                          </w:p>
                          <w:p>
                            <w:pPr>
                              <w:pStyle w:val="TextBody"/>
                              <w:spacing w:before="120" w:after="0"/>
                              <w:rPr>
                                <w:rFonts w:ascii="ARIAL" w:hAnsi="ARIAL"/>
                                <w:sz w:val="19"/>
                              </w:rPr>
                            </w:pPr>
                            <w:r>
                              <w:rPr>
                                <w:rFonts w:ascii="ARIAL" w:hAnsi="ARIAL"/>
                                <w:sz w:val="19"/>
                              </w:rPr>
                              <w:t xml:space="preserve">In early 2022, the Compensation Committee increased the salaries of three of our named executive officers to reflect market practice and continued superior performance: Mr. Conley from $565,000 to $605,000, Mr. Crisci from $690,000 to $710,000, and Mr. Stipancich from $750,000 to $770,000. Mr. Hunn’s salary remained unchanged at $1,000,000. </w:t>
                            </w:r>
                          </w:p>
                          <w:p>
                            <w:pPr>
                              <w:pStyle w:val="TextBody"/>
                              <w:spacing w:before="240" w:after="0"/>
                              <w:rPr>
                                <w:rFonts w:ascii="ARIAL" w:hAnsi="ARIAL"/>
                                <w:b/>
                                <w:color w:val="005CB9"/>
                                <w:sz w:val="20"/>
                              </w:rPr>
                            </w:pPr>
                            <w:r>
                              <w:rPr>
                                <w:rFonts w:ascii="ARIAL" w:hAnsi="ARIAL"/>
                                <w:b/>
                                <w:color w:val="005CB9"/>
                                <w:sz w:val="20"/>
                              </w:rPr>
                              <w:t xml:space="preserve">Annual Cash Incentive </w:t>
                            </w:r>
                          </w:p>
                          <w:p>
                            <w:pPr>
                              <w:pStyle w:val="TextBody"/>
                              <w:spacing w:before="120" w:after="0"/>
                              <w:rPr>
                                <w:rFonts w:ascii="ARIAL" w:hAnsi="ARIAL"/>
                                <w:b/>
                                <w:i/>
                                <w:color w:val="005CB9"/>
                                <w:sz w:val="20"/>
                              </w:rPr>
                            </w:pPr>
                            <w:r>
                              <w:rPr>
                                <w:rFonts w:ascii="ARIAL" w:hAnsi="ARIAL"/>
                                <w:b/>
                                <w:i/>
                                <w:color w:val="005CB9"/>
                                <w:sz w:val="20"/>
                              </w:rPr>
                              <w:t xml:space="preserve">Incentive Opportunities </w:t>
                            </w:r>
                          </w:p>
                          <w:p>
                            <w:pPr>
                              <w:pStyle w:val="TextBody"/>
                              <w:spacing w:before="120" w:after="0"/>
                              <w:rPr>
                                <w:rFonts w:ascii="ARIAL" w:hAnsi="ARIAL"/>
                                <w:sz w:val="19"/>
                              </w:rPr>
                            </w:pPr>
                            <w:r>
                              <w:rPr>
                                <w:rFonts w:ascii="ARIAL" w:hAnsi="ARIAL"/>
                                <w:sz w:val="19"/>
                              </w:rPr>
                              <w:t xml:space="preserve">Annual cash incentive opportunities for 2022 for our named executive officers, expressed as a percentage of base salary (as established in early 2022) were set as follows: Mr. Hunn (200%), Mr. Crisci (125%), Mr. Conley (125%) and Mr. Stipancich (125%). Opportunities are reflective of market practice and, except for Mr. Conley whose percentage was raised from 100%, were maintained at the same percentages as 2021. Except for 2021, when our named executive officers had the one-time opportunity to earn an incremental cash opportunity of up to 50% of their respective target bonuses, our practice has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36.1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b/>
                          <w:sz w:val="24"/>
                        </w:rPr>
                      </w:pPr>
                      <w:bookmarkStart w:id="19" w:name="toc356364_16"/>
                      <w:bookmarkEnd w:id="19"/>
                      <w:r>
                        <w:rPr>
                          <w:rFonts w:ascii="ARIAL" w:hAnsi="ARIAL"/>
                          <w:b/>
                          <w:sz w:val="24"/>
                        </w:rPr>
                        <w:t xml:space="preserve">ANALYSIS OF 2022 COMPENSATION </w:t>
                      </w:r>
                    </w:p>
                    <w:p>
                      <w:pPr>
                        <w:pStyle w:val="TextBody"/>
                        <w:spacing w:before="120" w:after="0"/>
                        <w:rPr>
                          <w:rFonts w:ascii="ARIAL" w:hAnsi="ARIAL"/>
                          <w:sz w:val="19"/>
                        </w:rPr>
                      </w:pPr>
                      <w:r>
                        <w:rPr>
                          <w:rFonts w:ascii="ARIAL" w:hAnsi="ARIAL"/>
                          <w:sz w:val="19"/>
                        </w:rPr>
                        <w:t xml:space="preserve">This section discusses compensation actions taken in 2022 for our named executive officers, as reported in the “Executive Compensation” section below. </w:t>
                      </w:r>
                    </w:p>
                    <w:p>
                      <w:pPr>
                        <w:pStyle w:val="TextBody"/>
                        <w:spacing w:before="240" w:after="0"/>
                        <w:rPr>
                          <w:rFonts w:ascii="ARIAL" w:hAnsi="ARIAL"/>
                          <w:b/>
                          <w:color w:val="005CB9"/>
                          <w:sz w:val="20"/>
                        </w:rPr>
                      </w:pPr>
                      <w:r>
                        <w:rPr>
                          <w:rFonts w:ascii="ARIAL" w:hAnsi="ARIAL"/>
                          <w:b/>
                          <w:color w:val="005CB9"/>
                          <w:sz w:val="20"/>
                        </w:rPr>
                        <w:t xml:space="preserve">Base Salary </w:t>
                      </w:r>
                    </w:p>
                    <w:p>
                      <w:pPr>
                        <w:pStyle w:val="TextBody"/>
                        <w:spacing w:before="120" w:after="0"/>
                        <w:rPr>
                          <w:rFonts w:ascii="ARIAL" w:hAnsi="ARIAL"/>
                          <w:sz w:val="19"/>
                        </w:rPr>
                      </w:pPr>
                      <w:r>
                        <w:rPr>
                          <w:rFonts w:ascii="ARIAL" w:hAnsi="ARIAL"/>
                          <w:sz w:val="19"/>
                        </w:rPr>
                        <w:t xml:space="preserve">In early 2022, the Compensation Committee increased the salaries of three of our named executive officers to reflect market practice and continued superior performance: Mr. Conley from $565,000 to $605,000, Mr. Crisci from $690,000 to $710,000, and Mr. Stipancich from $750,000 to $770,000. Mr. Hunn’s salary remained unchanged at $1,000,000. </w:t>
                      </w:r>
                    </w:p>
                    <w:p>
                      <w:pPr>
                        <w:pStyle w:val="TextBody"/>
                        <w:spacing w:before="240" w:after="0"/>
                        <w:rPr>
                          <w:rFonts w:ascii="ARIAL" w:hAnsi="ARIAL"/>
                          <w:b/>
                          <w:color w:val="005CB9"/>
                          <w:sz w:val="20"/>
                        </w:rPr>
                      </w:pPr>
                      <w:r>
                        <w:rPr>
                          <w:rFonts w:ascii="ARIAL" w:hAnsi="ARIAL"/>
                          <w:b/>
                          <w:color w:val="005CB9"/>
                          <w:sz w:val="20"/>
                        </w:rPr>
                        <w:t xml:space="preserve">Annual Cash Incentive </w:t>
                      </w:r>
                    </w:p>
                    <w:p>
                      <w:pPr>
                        <w:pStyle w:val="TextBody"/>
                        <w:spacing w:before="120" w:after="0"/>
                        <w:rPr>
                          <w:rFonts w:ascii="ARIAL" w:hAnsi="ARIAL"/>
                          <w:b/>
                          <w:i/>
                          <w:color w:val="005CB9"/>
                          <w:sz w:val="20"/>
                        </w:rPr>
                      </w:pPr>
                      <w:r>
                        <w:rPr>
                          <w:rFonts w:ascii="ARIAL" w:hAnsi="ARIAL"/>
                          <w:b/>
                          <w:i/>
                          <w:color w:val="005CB9"/>
                          <w:sz w:val="20"/>
                        </w:rPr>
                        <w:t xml:space="preserve">Incentive Opportunities </w:t>
                      </w:r>
                    </w:p>
                    <w:p>
                      <w:pPr>
                        <w:pStyle w:val="TextBody"/>
                        <w:spacing w:before="120" w:after="0"/>
                        <w:rPr>
                          <w:rFonts w:ascii="ARIAL" w:hAnsi="ARIAL"/>
                          <w:sz w:val="19"/>
                        </w:rPr>
                      </w:pPr>
                      <w:r>
                        <w:rPr>
                          <w:rFonts w:ascii="ARIAL" w:hAnsi="ARIAL"/>
                          <w:sz w:val="19"/>
                        </w:rPr>
                        <w:t xml:space="preserve">Annual cash incentive opportunities for 2022 for our named executive officers, expressed as a percentage of base salary (as established in early 2022) were set as follows: Mr. Hunn (200%), Mr. Crisci (125%), Mr. Conley (125%) and Mr. Stipancich (125%). Opportunities are reflective of market practice and, except for Mr. Conley whose percentage was raised from 100%, were maintained at the same percentages as 2021. Except for 2021, when our named executive officers had the one-time opportunity to earn an incremental cash opportunity of up to 50% of their respective target bonuses, our practice has </w:t>
                      </w:r>
                    </w:p>
                  </w:txbxContent>
                </v:textbox>
                <w10:wrap type="square" side="right"/>
              </v:rect>
            </w:pict>
          </mc:Fallback>
        </mc:AlternateConten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3175000" cy="4126230"/>
                <wp:effectExtent l="0" t="0" r="0" b="0"/>
                <wp:wrapSquare wrapText="largest"/>
                <wp:docPr id="118" name="Frame34"/>
                <a:graphic xmlns:a="http://schemas.openxmlformats.org/drawingml/2006/main">
                  <a:graphicData uri="http://schemas.microsoft.com/office/word/2010/wordprocessingShape">
                    <wps:wsp>
                      <wps:cNvSpPr txBox="1"/>
                      <wps:spPr>
                        <a:xfrm>
                          <a:off x="0" y="0"/>
                          <a:ext cx="3175000" cy="4126230"/>
                        </a:xfrm>
                        <a:prstGeom prst="rect"/>
                      </wps:spPr>
                      <wps:txbx>
                        <w:txbxContent>
                          <w:p>
                            <w:pPr>
                              <w:pStyle w:val="TextBody"/>
                              <w:spacing w:before="0" w:after="0"/>
                              <w:rPr>
                                <w:rFonts w:ascii="ARIAL" w:hAnsi="ARIAL"/>
                                <w:sz w:val="19"/>
                              </w:rPr>
                            </w:pPr>
                            <w:r>
                              <w:rPr>
                                <w:rFonts w:ascii="ARIAL" w:hAnsi="ARIAL"/>
                                <w:sz w:val="19"/>
                              </w:rPr>
                              <w:t xml:space="preserve">been to cap our annual incentive bonuses at the percentages above in the interest of risk mitigation and avoidance of a short-term focus to decision-making. The one-time incremental opportunity applied only to 2021 and was not continued in 2022. </w:t>
                            </w:r>
                          </w:p>
                          <w:p>
                            <w:pPr>
                              <w:pStyle w:val="TextBody"/>
                              <w:spacing w:before="240" w:after="0"/>
                              <w:rPr>
                                <w:rFonts w:ascii="ARIAL" w:hAnsi="ARIAL"/>
                                <w:b/>
                                <w:i/>
                                <w:color w:val="005CB9"/>
                                <w:sz w:val="20"/>
                              </w:rPr>
                            </w:pPr>
                            <w:r>
                              <w:rPr>
                                <w:rFonts w:ascii="ARIAL" w:hAnsi="ARIAL"/>
                                <w:b/>
                                <w:i/>
                                <w:color w:val="005CB9"/>
                                <w:sz w:val="20"/>
                              </w:rPr>
                              <w:t xml:space="preserve">Funding Schedule </w:t>
                            </w:r>
                          </w:p>
                          <w:p>
                            <w:pPr>
                              <w:pStyle w:val="TextBody"/>
                              <w:spacing w:before="120" w:after="0"/>
                              <w:rPr>
                                <w:rFonts w:ascii="ARIAL" w:hAnsi="ARIAL"/>
                                <w:sz w:val="19"/>
                              </w:rPr>
                            </w:pPr>
                            <w:r>
                              <w:rPr>
                                <w:rFonts w:ascii="ARIAL" w:hAnsi="ARIAL"/>
                                <w:sz w:val="19"/>
                              </w:rPr>
                              <w:t xml:space="preserve">Similar to prior years, the annual cash incentive was determined based on the growth in adjusted net earnings. In response to investor feedback, for 2022, the Committee increased the threshold for earning the minimum bonus from flat growth in adjusted net earnings to an increase of 2.5% over prior year. </w:t>
                            </w:r>
                          </w:p>
                          <w:p>
                            <w:pPr>
                              <w:pStyle w:val="TextBody"/>
                              <w:spacing w:before="240" w:after="0"/>
                              <w:rPr>
                                <w:rFonts w:ascii="ARIAL" w:hAnsi="ARIAL"/>
                                <w:sz w:val="19"/>
                              </w:rPr>
                            </w:pPr>
                            <w:r>
                              <w:rPr>
                                <w:rFonts w:ascii="ARIAL" w:hAnsi="ARIAL"/>
                                <w:sz w:val="19"/>
                              </w:rPr>
                              <w:t xml:space="preserve">As a result of the successful implementation of the Company’s divestiture strategy the Committee determined to use adjusted net earnings on a continuing operations basis as the relevant performance metric for the annual cash incentive. The 2022 adjusted net earnings were required to reach at least $1.352 billion (representing a 2.5% increase over 2021 adjusted net earnings, continuing operations) for any bonus to be earned. At $1.352 billion of adjusted net earnings, 25% of the full bonus opportunity would be earned. If adjusted net earnings increased 10% to $1.451 billion, then 100% of the full bonus amount would be earned. If between $1.352 billion and $1.451 billion, the percentage of the bonus opportunity earned would be determined through straight-line interpolation, as shown in the chart below.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4.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been to cap our annual incentive bonuses at the percentages above in the interest of risk mitigation and avoidance of a short-term focus to decision-making. The one-time incremental opportunity applied only to 2021 and was not continued in 2022. </w:t>
                      </w:r>
                    </w:p>
                    <w:p>
                      <w:pPr>
                        <w:pStyle w:val="TextBody"/>
                        <w:spacing w:before="240" w:after="0"/>
                        <w:rPr>
                          <w:rFonts w:ascii="ARIAL" w:hAnsi="ARIAL"/>
                          <w:b/>
                          <w:i/>
                          <w:color w:val="005CB9"/>
                          <w:sz w:val="20"/>
                        </w:rPr>
                      </w:pPr>
                      <w:r>
                        <w:rPr>
                          <w:rFonts w:ascii="ARIAL" w:hAnsi="ARIAL"/>
                          <w:b/>
                          <w:i/>
                          <w:color w:val="005CB9"/>
                          <w:sz w:val="20"/>
                        </w:rPr>
                        <w:t xml:space="preserve">Funding Schedule </w:t>
                      </w:r>
                    </w:p>
                    <w:p>
                      <w:pPr>
                        <w:pStyle w:val="TextBody"/>
                        <w:spacing w:before="120" w:after="0"/>
                        <w:rPr>
                          <w:rFonts w:ascii="ARIAL" w:hAnsi="ARIAL"/>
                          <w:sz w:val="19"/>
                        </w:rPr>
                      </w:pPr>
                      <w:r>
                        <w:rPr>
                          <w:rFonts w:ascii="ARIAL" w:hAnsi="ARIAL"/>
                          <w:sz w:val="19"/>
                        </w:rPr>
                        <w:t xml:space="preserve">Similar to prior years, the annual cash incentive was determined based on the growth in adjusted net earnings. In response to investor feedback, for 2022, the Committee increased the threshold for earning the minimum bonus from flat growth in adjusted net earnings to an increase of 2.5% over prior year. </w:t>
                      </w:r>
                    </w:p>
                    <w:p>
                      <w:pPr>
                        <w:pStyle w:val="TextBody"/>
                        <w:spacing w:before="240" w:after="0"/>
                        <w:rPr>
                          <w:rFonts w:ascii="ARIAL" w:hAnsi="ARIAL"/>
                          <w:sz w:val="19"/>
                        </w:rPr>
                      </w:pPr>
                      <w:r>
                        <w:rPr>
                          <w:rFonts w:ascii="ARIAL" w:hAnsi="ARIAL"/>
                          <w:sz w:val="19"/>
                        </w:rPr>
                        <w:t xml:space="preserve">As a result of the successful implementation of the Company’s divestiture strategy the Committee determined to use adjusted net earnings on a continuing operations basis as the relevant performance metric for the annual cash incentive. The 2022 adjusted net earnings were required to reach at least $1.352 billion (representing a 2.5% increase over 2021 adjusted net earnings, continuing operations) for any bonus to be earned. At $1.352 billion of adjusted net earnings, 25% of the full bonus opportunity would be earned. If adjusted net earnings increased 10% to $1.451 billion, then 100% of the full bonus amount would be earned. If between $1.352 billion and $1.451 billion, the percentage of the bonus opportunity earned would be determined through straight-line interpolation, as shown in the chart below. </w:t>
                      </w:r>
                    </w:p>
                  </w:txbxContent>
                </v:textbox>
                <w10:wrap type="square" side="right"/>
              </v:rect>
            </w:pict>
          </mc:Fallback>
        </mc:AlternateConten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34</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1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4" descr=""/>
                          <pic:cNvPicPr>
                            <a:picLocks noChangeAspect="1" noChangeArrowheads="1"/>
                          </pic:cNvPicPr>
                        </pic:nvPicPr>
                        <pic:blipFill>
                          <a:blip r:embed="rId85"/>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3110230" cy="1107440"/>
                <wp:effectExtent l="0" t="0" r="0" b="0"/>
                <wp:wrapSquare wrapText="largest"/>
                <wp:docPr id="120" name="Frame35"/>
                <a:graphic xmlns:a="http://schemas.openxmlformats.org/drawingml/2006/main">
                  <a:graphicData uri="http://schemas.microsoft.com/office/word/2010/wordprocessingShape">
                    <wps:wsp>
                      <wps:cNvSpPr txBox="1"/>
                      <wps:spPr>
                        <a:xfrm>
                          <a:off x="0" y="0"/>
                          <a:ext cx="3110230" cy="1107440"/>
                        </a:xfrm>
                        <a:prstGeom prst="rect"/>
                      </wps:spPr>
                      <wps:txbx>
                        <w:txbxContent>
                          <w:p>
                            <w:pPr>
                              <w:pStyle w:val="TextBody"/>
                              <w:spacing w:before="0" w:after="0"/>
                              <w:rPr>
                                <w:rFonts w:ascii="ARIAL" w:hAnsi="ARIAL"/>
                                <w:sz w:val="19"/>
                              </w:rPr>
                            </w:pPr>
                            <w:r>
                              <w:rPr>
                                <w:rFonts w:ascii="ARIAL" w:hAnsi="ARIAL"/>
                                <w:sz w:val="19"/>
                              </w:rPr>
                              <w:t xml:space="preserve">For 2022, the Company’s adjusted net earnings, continuing operations, were $1.525 billion (representing a 15.7% increase over the prior year); accordingly, the Compensation Committee approved payment of 100% of the bonus opportunity. The performance bonuses to our named executive officers for 2022 are shown in the 2022 Summary Compensation Table below under the “Non-Equity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7.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For 2022, the Company’s adjusted net earnings, continuing operations, were $1.525 billion (representing a 15.7% increase over the prior year); accordingly, the Compensation Committee approved payment of 100% of the bonus opportunity. The performance bonuses to our named executive officers for 2022 are shown in the 2022 Summary Compensation Table below under the “Non-Equity </w:t>
                      </w:r>
                    </w:p>
                  </w:txbxContent>
                </v:textbox>
                <w10:wrap type="square" side="right"/>
              </v:rect>
            </w:pict>
          </mc:Fallback>
        </mc:AlternateConten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3175000" cy="830580"/>
                <wp:effectExtent l="0" t="0" r="0" b="0"/>
                <wp:wrapSquare wrapText="largest"/>
                <wp:docPr id="121" name="Frame36"/>
                <a:graphic xmlns:a="http://schemas.openxmlformats.org/drawingml/2006/main">
                  <a:graphicData uri="http://schemas.microsoft.com/office/word/2010/wordprocessingShape">
                    <wps:wsp>
                      <wps:cNvSpPr txBox="1"/>
                      <wps:spPr>
                        <a:xfrm>
                          <a:off x="0" y="0"/>
                          <a:ext cx="3175000" cy="830580"/>
                        </a:xfrm>
                        <a:prstGeom prst="rect"/>
                      </wps:spPr>
                      <wps:txbx>
                        <w:txbxContent>
                          <w:p>
                            <w:pPr>
                              <w:pStyle w:val="TextBody"/>
                              <w:spacing w:before="0" w:after="0"/>
                              <w:rPr>
                                <w:rFonts w:ascii="ARIAL" w:hAnsi="ARIAL"/>
                                <w:sz w:val="19"/>
                              </w:rPr>
                            </w:pPr>
                            <w:r>
                              <w:rPr>
                                <w:rFonts w:ascii="ARIAL" w:hAnsi="ARIAL"/>
                                <w:sz w:val="19"/>
                              </w:rPr>
                              <w:t xml:space="preserve">Incentive Plan Compensation” column. Had the Committee continued to use adjusted net earnings instead of adjusted net earnings, continuing operations as the performance metric for 2022, 100% of the annual cash incentive would have still been earned as the Company’s adjusted net earnings for 2022 met the 10% growth threshold.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5.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Incentive Plan Compensation” column. Had the Committee continued to use adjusted net earnings instead of adjusted net earnings, continuing operations as the performance metric for 2022, 100% of the annual cash incentive would have still been earned as the Company’s adjusted net earnings for 2022 met the 10% growth threshold. </w:t>
                      </w:r>
                    </w:p>
                  </w:txbxContent>
                </v:textbox>
                <w10:wrap type="square" side="right"/>
              </v:rect>
            </w:pict>
          </mc:Fallback>
        </mc:AlternateContent>
      </w:r>
    </w:p>
    <w:p>
      <w:pPr>
        <w:pStyle w:val="TextBody"/>
        <w:spacing w:before="0" w:after="0"/>
        <w:jc w:val="left"/>
        <w:rPr/>
      </w:pPr>
      <w:r>
        <w:rPr/>
        <w:t> </w:t>
      </w:r>
    </w:p>
    <w:p>
      <w:pPr>
        <w:pStyle w:val="TextBody"/>
        <w:spacing w:before="0" w:after="0"/>
        <w:jc w:val="center"/>
        <w:rPr>
          <w:rFonts w:ascii="ARIAL" w:hAnsi="ARIAL"/>
          <w:b/>
          <w:sz w:val="20"/>
        </w:rPr>
      </w:pPr>
      <w:r>
        <w:rPr>
          <w:rFonts w:ascii="ARIAL" w:hAnsi="ARIAL"/>
          <w:b/>
          <w:sz w:val="20"/>
        </w:rPr>
        <w:t xml:space="preserve">2022 Annual Cash Incentive Schedule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353060" cy="187325"/>
            <wp:effectExtent l="0" t="0" r="0" b="0"/>
            <wp:docPr id="12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5" descr=""/>
                    <pic:cNvPicPr>
                      <a:picLocks noChangeAspect="1" noChangeArrowheads="1"/>
                    </pic:cNvPicPr>
                  </pic:nvPicPr>
                  <pic:blipFill>
                    <a:blip r:embed="rId86"/>
                    <a:stretch>
                      <a:fillRect/>
                    </a:stretch>
                  </pic:blipFill>
                  <pic:spPr bwMode="auto">
                    <a:xfrm>
                      <a:off x="0" y="0"/>
                      <a:ext cx="353060" cy="187325"/>
                    </a:xfrm>
                    <a:prstGeom prst="rect">
                      <a:avLst/>
                    </a:prstGeom>
                  </pic:spPr>
                </pic:pic>
              </a:graphicData>
            </a:graphic>
          </wp:inline>
        </w:drawing>
      </w:r>
      <w:r>
        <w:rPr/>
        <w:t xml:space="preserve"> </w:t>
      </w:r>
    </w:p>
    <w:p>
      <w:pPr>
        <w:pStyle w:val="TextBody"/>
        <w:spacing w:before="120" w:after="0"/>
        <w:jc w:val="left"/>
        <w:rPr>
          <w:rFonts w:ascii="ARIAL" w:hAnsi="ARIAL"/>
          <w:sz w:val="16"/>
        </w:rPr>
      </w:pPr>
      <w:r>
        <w:rPr>
          <w:rFonts w:ascii="ARIAL" w:hAnsi="ARIAL"/>
          <w:sz w:val="16"/>
        </w:rPr>
        <w:t xml:space="preserve">Adjusted net earnings is net earnings increased or reduced to eliminate the effects of extraordinary items, accounting changes, income-related taxes related to dispositions, restructuring of debt obligations, asset dispositions, asset write-downs or impairment charges, acquisition-related expenses, acquisition-related intangible amortization, impact of GAAP adjustments to acquired deferred revenue, litigation expenses and settlements, reorganization and restructuring programs, and non-recurring or special items (as discussed in the Company’s quarterly earnings releases). </w: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2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86" descr=""/>
                          <pic:cNvPicPr>
                            <a:picLocks noChangeAspect="1" noChangeArrowheads="1"/>
                          </pic:cNvPicPr>
                        </pic:nvPicPr>
                        <pic:blipFill>
                          <a:blip r:embed="rId87"/>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35</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3110230" cy="3905250"/>
                <wp:effectExtent l="0" t="0" r="0" b="0"/>
                <wp:wrapSquare wrapText="largest"/>
                <wp:docPr id="124" name="Frame37"/>
                <a:graphic xmlns:a="http://schemas.openxmlformats.org/drawingml/2006/main">
                  <a:graphicData uri="http://schemas.microsoft.com/office/word/2010/wordprocessingShape">
                    <wps:wsp>
                      <wps:cNvSpPr txBox="1"/>
                      <wps:spPr>
                        <a:xfrm>
                          <a:off x="0" y="0"/>
                          <a:ext cx="3110230" cy="3905250"/>
                        </a:xfrm>
                        <a:prstGeom prst="rect"/>
                      </wps:spPr>
                      <wps:txbx>
                        <w:txbxContent>
                          <w:p>
                            <w:pPr>
                              <w:pStyle w:val="TextBody"/>
                              <w:spacing w:before="0" w:after="0"/>
                              <w:rPr>
                                <w:rFonts w:ascii="ARIAL" w:hAnsi="ARIAL"/>
                                <w:b/>
                                <w:color w:val="005CB9"/>
                                <w:sz w:val="20"/>
                              </w:rPr>
                            </w:pPr>
                            <w:r>
                              <w:rPr>
                                <w:rFonts w:ascii="ARIAL" w:hAnsi="ARIAL"/>
                                <w:b/>
                                <w:color w:val="005CB9"/>
                                <w:sz w:val="20"/>
                              </w:rPr>
                              <w:t xml:space="preserve">CEO Special Long-Term Cash Incentive </w:t>
                            </w:r>
                          </w:p>
                          <w:p>
                            <w:pPr>
                              <w:pStyle w:val="TextBody"/>
                              <w:spacing w:before="120" w:after="0"/>
                              <w:rPr>
                                <w:rFonts w:ascii="ARIAL" w:hAnsi="ARIAL"/>
                                <w:b/>
                                <w:i/>
                                <w:color w:val="005CB9"/>
                                <w:sz w:val="20"/>
                              </w:rPr>
                            </w:pPr>
                            <w:r>
                              <w:rPr>
                                <w:rFonts w:ascii="ARIAL" w:hAnsi="ARIAL"/>
                                <w:b/>
                                <w:i/>
                                <w:color w:val="005CB9"/>
                                <w:sz w:val="20"/>
                              </w:rPr>
                              <w:t xml:space="preserve">2019-23 Incentive Opportunity </w:t>
                            </w:r>
                          </w:p>
                          <w:p>
                            <w:pPr>
                              <w:pStyle w:val="TextBody"/>
                              <w:spacing w:before="120" w:after="0"/>
                              <w:rPr>
                                <w:rFonts w:ascii="ARIAL" w:hAnsi="ARIAL"/>
                                <w:sz w:val="19"/>
                              </w:rPr>
                            </w:pPr>
                            <w:r>
                              <w:rPr>
                                <w:rFonts w:ascii="ARIAL" w:hAnsi="ARIAL"/>
                                <w:sz w:val="19"/>
                              </w:rPr>
                              <w:t xml:space="preserve">In 2019, the Compensation Committee provided Mr. Hunn with a special long-term cash incentive award in recognition of his heightened responsibility in assuming the CEO role upon Mr. Jellison’s untimely death, to protect continuity of leadership during a period of transition, and to emphasize the importance of long-term sustained earnings and cash flow generation. The Compensation Committee established a five-year performance period commencing January 1, 2019 and concluding December 31, 2023. The maximum amount that may be earned at the end of the five-year period is $18.6 million. The Company’s cumulative adjusted EBITDA over the five-year performance period is required to reach at least $9.880 billion for any portion of the award to be earned. If cumulative adjusted EBITDA is $9.880 billion, then the amount to be awarded will be $6.512 million1. If the cumulative adjusted EBITDA reaches $11.290 billion, then the full award, $18.6 million, will be earned. If between $9.880 billion and $11.290 billion, the percentage of the long-term incentive opportunity earned will be determined through straight-line interpolation, as shown in the chart below. The cumulative adjusted EBITDA target is subject to adjustment on an annual basis to reflect the impact of material acquisitions and divestitures.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05CB9"/>
                          <w:sz w:val="20"/>
                        </w:rPr>
                      </w:pPr>
                      <w:r>
                        <w:rPr>
                          <w:rFonts w:ascii="ARIAL" w:hAnsi="ARIAL"/>
                          <w:b/>
                          <w:color w:val="005CB9"/>
                          <w:sz w:val="20"/>
                        </w:rPr>
                        <w:t xml:space="preserve">CEO Special Long-Term Cash Incentive </w:t>
                      </w:r>
                    </w:p>
                    <w:p>
                      <w:pPr>
                        <w:pStyle w:val="TextBody"/>
                        <w:spacing w:before="120" w:after="0"/>
                        <w:rPr>
                          <w:rFonts w:ascii="ARIAL" w:hAnsi="ARIAL"/>
                          <w:b/>
                          <w:i/>
                          <w:color w:val="005CB9"/>
                          <w:sz w:val="20"/>
                        </w:rPr>
                      </w:pPr>
                      <w:r>
                        <w:rPr>
                          <w:rFonts w:ascii="ARIAL" w:hAnsi="ARIAL"/>
                          <w:b/>
                          <w:i/>
                          <w:color w:val="005CB9"/>
                          <w:sz w:val="20"/>
                        </w:rPr>
                        <w:t xml:space="preserve">2019-23 Incentive Opportunity </w:t>
                      </w:r>
                    </w:p>
                    <w:p>
                      <w:pPr>
                        <w:pStyle w:val="TextBody"/>
                        <w:spacing w:before="120" w:after="0"/>
                        <w:rPr>
                          <w:rFonts w:ascii="ARIAL" w:hAnsi="ARIAL"/>
                          <w:sz w:val="19"/>
                        </w:rPr>
                      </w:pPr>
                      <w:r>
                        <w:rPr>
                          <w:rFonts w:ascii="ARIAL" w:hAnsi="ARIAL"/>
                          <w:sz w:val="19"/>
                        </w:rPr>
                        <w:t xml:space="preserve">In 2019, the Compensation Committee provided Mr. Hunn with a special long-term cash incentive award in recognition of his heightened responsibility in assuming the CEO role upon Mr. Jellison’s untimely death, to protect continuity of leadership during a period of transition, and to emphasize the importance of long-term sustained earnings and cash flow generation. The Compensation Committee established a five-year performance period commencing January 1, 2019 and concluding December 31, 2023. The maximum amount that may be earned at the end of the five-year period is $18.6 million. The Company’s cumulative adjusted EBITDA over the five-year performance period is required to reach at least $9.880 billion for any portion of the award to be earned. If cumulative adjusted EBITDA is $9.880 billion, then the amount to be awarded will be $6.512 million1. If the cumulative adjusted EBITDA reaches $11.290 billion, then the full award, $18.6 million, will be earned. If between $9.880 billion and $11.290 billion, the percentage of the long-term incentive opportunity earned will be determined through straight-line interpolation, as shown in the chart below. The cumulative adjusted EBITDA target is subject to adjustment on an annual basis to reflect the impact of material acquisitions and divestitures. </w:t>
                      </w:r>
                    </w:p>
                  </w:txbxContent>
                </v:textbox>
                <w10:wrap type="square" side="right"/>
              </v:rect>
            </w:pict>
          </mc:Fallback>
        </mc:AlternateConten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3175000" cy="1718310"/>
                <wp:effectExtent l="0" t="0" r="0" b="0"/>
                <wp:wrapSquare wrapText="largest"/>
                <wp:docPr id="125" name="Frame38"/>
                <a:graphic xmlns:a="http://schemas.openxmlformats.org/drawingml/2006/main">
                  <a:graphicData uri="http://schemas.microsoft.com/office/word/2010/wordprocessingShape">
                    <wps:wsp>
                      <wps:cNvSpPr txBox="1"/>
                      <wps:spPr>
                        <a:xfrm>
                          <a:off x="0" y="0"/>
                          <a:ext cx="3175000" cy="1718310"/>
                        </a:xfrm>
                        <a:prstGeom prst="rect"/>
                      </wps:spPr>
                      <wps:txbx>
                        <w:txbxContent>
                          <w:p>
                            <w:pPr>
                              <w:pStyle w:val="TextBody"/>
                              <w:spacing w:before="0" w:after="0"/>
                              <w:rPr>
                                <w:rFonts w:ascii="ARIAL" w:hAnsi="ARIAL"/>
                                <w:sz w:val="19"/>
                              </w:rPr>
                            </w:pPr>
                            <w:r>
                              <w:rPr>
                                <w:rFonts w:ascii="ARIAL" w:hAnsi="ARIAL"/>
                                <w:sz w:val="19"/>
                              </w:rPr>
                              <w:t xml:space="preserve">This special long-term cash incentive award was granted to Mr. Hunn for the reasons stated above and is not intended to be a recurring element of his compensation. Mr. Hunn has elected to defer his receipt of a portion of the long-term incentive amount. As a result, he is expected to receive a match on the amount pursuant to the Company’s Deferred Compensation Plan. </w:t>
                            </w:r>
                          </w:p>
                          <w:p>
                            <w:pPr>
                              <w:pStyle w:val="TextBody"/>
                              <w:pBdr>
                                <w:bottom w:val="single" w:sz="2" w:space="1" w:color="000000"/>
                              </w:pBdr>
                              <w:spacing w:lineRule="atLeast" w:line="160" w:before="0" w:after="40"/>
                              <w:rPr/>
                            </w:pPr>
                            <w:r>
                              <w:rPr/>
                              <w:t> </w:t>
                            </w:r>
                          </w:p>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jc w:val="left"/>
                                    <w:rPr/>
                                  </w:pPr>
                                  <w:r>
                                    <w:rPr/>
                                    <w:t>1 </w:t>
                                  </w:r>
                                </w:p>
                              </w:tc>
                              <w:tc>
                                <w:tcPr>
                                  <w:tcW w:w="9990" w:type="dxa"/>
                                  <w:tcBorders/>
                                  <w:shd w:fill="auto" w:val="clear"/>
                                  <w:vAlign w:val="center"/>
                                </w:tcPr>
                                <w:p>
                                  <w:pPr>
                                    <w:pStyle w:val="TableContents"/>
                                    <w:spacing w:before="0" w:after="0"/>
                                    <w:jc w:val="left"/>
                                    <w:rPr>
                                      <w:rFonts w:ascii="ARIAL" w:hAnsi="ARIAL"/>
                                      <w:sz w:val="16"/>
                                    </w:rPr>
                                  </w:pPr>
                                  <w:r>
                                    <w:rPr>
                                      <w:rFonts w:ascii="ARIAL" w:hAnsi="ARIAL"/>
                                      <w:sz w:val="16"/>
                                    </w:rPr>
                                    <w:t xml:space="preserve">In 2020, the cumulative adjusted EBITDA target was revised to address the impact of the Company’s divestitures of its Gatan and imaging businesses.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5.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This special long-term cash incentive award was granted to Mr. Hunn for the reasons stated above and is not intended to be a recurring element of his compensation. Mr. Hunn has elected to defer his receipt of a portion of the long-term incentive amount. As a result, he is expected to receive a match on the amount pursuant to the Company’s Deferred Compensation Plan. </w:t>
                      </w:r>
                    </w:p>
                    <w:p>
                      <w:pPr>
                        <w:pStyle w:val="TextBody"/>
                        <w:pBdr>
                          <w:bottom w:val="single" w:sz="2" w:space="1" w:color="000000"/>
                        </w:pBdr>
                        <w:spacing w:lineRule="atLeast" w:line="160" w:before="0" w:after="40"/>
                        <w:rPr/>
                      </w:pPr>
                      <w:r>
                        <w:rPr/>
                        <w:t> </w:t>
                      </w:r>
                    </w:p>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jc w:val="left"/>
                              <w:rPr/>
                            </w:pPr>
                            <w:r>
                              <w:rPr/>
                              <w:t>1 </w:t>
                            </w:r>
                          </w:p>
                        </w:tc>
                        <w:tc>
                          <w:tcPr>
                            <w:tcW w:w="9990" w:type="dxa"/>
                            <w:tcBorders/>
                            <w:shd w:fill="auto" w:val="clear"/>
                            <w:vAlign w:val="center"/>
                          </w:tcPr>
                          <w:p>
                            <w:pPr>
                              <w:pStyle w:val="TableContents"/>
                              <w:spacing w:before="0" w:after="0"/>
                              <w:jc w:val="left"/>
                              <w:rPr>
                                <w:rFonts w:ascii="ARIAL" w:hAnsi="ARIAL"/>
                                <w:sz w:val="16"/>
                              </w:rPr>
                            </w:pPr>
                            <w:r>
                              <w:rPr>
                                <w:rFonts w:ascii="ARIAL" w:hAnsi="ARIAL"/>
                                <w:sz w:val="16"/>
                              </w:rPr>
                              <w:t xml:space="preserve">In 2020, the cumulative adjusted EBITDA target was revised to address the impact of the Company’s divestitures of its Gatan and imaging businesses.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center"/>
        <w:rPr>
          <w:rFonts w:ascii="ARIAL" w:hAnsi="ARIAL"/>
          <w:b/>
          <w:sz w:val="20"/>
        </w:rPr>
      </w:pPr>
      <w:r>
        <w:rPr>
          <w:rFonts w:ascii="ARIAL" w:hAnsi="ARIAL"/>
          <w:b/>
          <w:sz w:val="20"/>
        </w:rPr>
        <w:t xml:space="preserve">CEO 2019-23 Special Long-Term Cash Incentive Schedule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353060" cy="144780"/>
            <wp:effectExtent l="0" t="0" r="0" b="0"/>
            <wp:docPr id="12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7" descr=""/>
                    <pic:cNvPicPr>
                      <a:picLocks noChangeAspect="1" noChangeArrowheads="1"/>
                    </pic:cNvPicPr>
                  </pic:nvPicPr>
                  <pic:blipFill>
                    <a:blip r:embed="rId88"/>
                    <a:stretch>
                      <a:fillRect/>
                    </a:stretch>
                  </pic:blipFill>
                  <pic:spPr bwMode="auto">
                    <a:xfrm>
                      <a:off x="0" y="0"/>
                      <a:ext cx="353060" cy="144780"/>
                    </a:xfrm>
                    <a:prstGeom prst="rect">
                      <a:avLst/>
                    </a:prstGeom>
                  </pic:spPr>
                </pic:pic>
              </a:graphicData>
            </a:graphic>
          </wp:inline>
        </w:drawing>
      </w:r>
      <w:r>
        <w:rPr/>
        <w:t xml:space="preserve"> </w:t>
      </w:r>
    </w:p>
    <w:p>
      <w:pPr>
        <w:pStyle w:val="TextBody"/>
        <w:spacing w:before="120" w:after="0"/>
        <w:jc w:val="left"/>
        <w:rPr>
          <w:rFonts w:ascii="ARIAL" w:hAnsi="ARIAL"/>
          <w:sz w:val="16"/>
        </w:rPr>
      </w:pPr>
      <w:r>
        <w:rPr>
          <w:rFonts w:ascii="ARIAL" w:hAnsi="ARIAL"/>
          <w:sz w:val="16"/>
        </w:rPr>
        <w:t xml:space="preserve">Adjusted EBITDA is earnings before interest, income-related taxes, depreciation and amortization, increased or reduced to eliminate the effects of extraordinary items, discontinued operations, restructuring of debt obligations, asset dispositions, asset write-downs or impairment charges, acquisition-related expenses, litigation expenses and settlements, reorganization and restructuring programs, and non-recurring or special items (as discussed in the Company’s quarterly earnings releases). </w: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36</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2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8" descr=""/>
                          <pic:cNvPicPr>
                            <a:picLocks noChangeAspect="1" noChangeArrowheads="1"/>
                          </pic:cNvPicPr>
                        </pic:nvPicPr>
                        <pic:blipFill>
                          <a:blip r:embed="rId89"/>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3110230" cy="1468120"/>
                <wp:effectExtent l="0" t="0" r="0" b="0"/>
                <wp:wrapSquare wrapText="largest"/>
                <wp:docPr id="128" name="Frame39"/>
                <a:graphic xmlns:a="http://schemas.openxmlformats.org/drawingml/2006/main">
                  <a:graphicData uri="http://schemas.microsoft.com/office/word/2010/wordprocessingShape">
                    <wps:wsp>
                      <wps:cNvSpPr txBox="1"/>
                      <wps:spPr>
                        <a:xfrm>
                          <a:off x="0" y="0"/>
                          <a:ext cx="3110230" cy="1468120"/>
                        </a:xfrm>
                        <a:prstGeom prst="rect"/>
                      </wps:spPr>
                      <wps:txbx>
                        <w:txbxContent>
                          <w:p>
                            <w:pPr>
                              <w:pStyle w:val="TextBody"/>
                              <w:spacing w:before="0" w:after="0"/>
                              <w:rPr>
                                <w:rFonts w:ascii="ARIAL" w:hAnsi="ARIAL"/>
                                <w:b/>
                                <w:color w:val="005CB9"/>
                                <w:sz w:val="20"/>
                              </w:rPr>
                            </w:pPr>
                            <w:r>
                              <w:rPr>
                                <w:rFonts w:ascii="ARIAL" w:hAnsi="ARIAL"/>
                                <w:b/>
                                <w:color w:val="005CB9"/>
                                <w:sz w:val="20"/>
                              </w:rPr>
                              <w:t xml:space="preserve">Long-Term Stock Incentives </w:t>
                            </w:r>
                          </w:p>
                          <w:p>
                            <w:pPr>
                              <w:pStyle w:val="TextBody"/>
                              <w:spacing w:before="120" w:after="0"/>
                              <w:rPr>
                                <w:rFonts w:ascii="ARIAL" w:hAnsi="ARIAL"/>
                                <w:sz w:val="19"/>
                              </w:rPr>
                            </w:pPr>
                            <w:r>
                              <w:rPr>
                                <w:rFonts w:ascii="ARIAL" w:hAnsi="ARIAL"/>
                                <w:sz w:val="19"/>
                              </w:rPr>
                              <w:t xml:space="preserve">We award both stock options and performance-based restricted stock to our named executive officers. In combination, we believe these awards provide a balanced focus on sustainable long-term shareholder value creation and retention of key executives. The value of the awards is reflective of market practice within our compensation peer group. We have consistently used adjusted EBITDA and operating cash flow (less capital expenditures and capitalized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5.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005CB9"/>
                          <w:sz w:val="20"/>
                        </w:rPr>
                      </w:pPr>
                      <w:r>
                        <w:rPr>
                          <w:rFonts w:ascii="ARIAL" w:hAnsi="ARIAL"/>
                          <w:b/>
                          <w:color w:val="005CB9"/>
                          <w:sz w:val="20"/>
                        </w:rPr>
                        <w:t xml:space="preserve">Long-Term Stock Incentives </w:t>
                      </w:r>
                    </w:p>
                    <w:p>
                      <w:pPr>
                        <w:pStyle w:val="TextBody"/>
                        <w:spacing w:before="120" w:after="0"/>
                        <w:rPr>
                          <w:rFonts w:ascii="ARIAL" w:hAnsi="ARIAL"/>
                          <w:sz w:val="19"/>
                        </w:rPr>
                      </w:pPr>
                      <w:r>
                        <w:rPr>
                          <w:rFonts w:ascii="ARIAL" w:hAnsi="ARIAL"/>
                          <w:sz w:val="19"/>
                        </w:rPr>
                        <w:t xml:space="preserve">We award both stock options and performance-based restricted stock to our named executive officers. In combination, we believe these awards provide a balanced focus on sustainable long-term shareholder value creation and retention of key executives. The value of the awards is reflective of market practice within our compensation peer group. We have consistently used adjusted EBITDA and operating cash flow (less capital expenditures and capitalized </w:t>
                      </w:r>
                    </w:p>
                  </w:txbxContent>
                </v:textbox>
                <w10:wrap type="square" side="right"/>
              </v:rect>
            </w:pict>
          </mc:Fallback>
        </mc:AlternateConten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3175000" cy="1245870"/>
                <wp:effectExtent l="0" t="0" r="0" b="0"/>
                <wp:wrapSquare wrapText="largest"/>
                <wp:docPr id="129" name="Frame40"/>
                <a:graphic xmlns:a="http://schemas.openxmlformats.org/drawingml/2006/main">
                  <a:graphicData uri="http://schemas.microsoft.com/office/word/2010/wordprocessingShape">
                    <wps:wsp>
                      <wps:cNvSpPr txBox="1"/>
                      <wps:spPr>
                        <a:xfrm>
                          <a:off x="0" y="0"/>
                          <a:ext cx="3175000" cy="1245870"/>
                        </a:xfrm>
                        <a:prstGeom prst="rect"/>
                      </wps:spPr>
                      <wps:txbx>
                        <w:txbxContent>
                          <w:p>
                            <w:pPr>
                              <w:pStyle w:val="TextBody"/>
                              <w:spacing w:before="0" w:after="0"/>
                              <w:rPr>
                                <w:rFonts w:ascii="ARIAL" w:hAnsi="ARIAL"/>
                                <w:sz w:val="19"/>
                              </w:rPr>
                            </w:pPr>
                            <w:r>
                              <w:rPr>
                                <w:rFonts w:ascii="ARIAL" w:hAnsi="ARIAL"/>
                                <w:sz w:val="19"/>
                              </w:rPr>
                              <w:t xml:space="preserve">software) as the metrics for determining the vesting of performance-based restricted stock awards as these two metrics are strongly correlated with the value our shareholders receive from Company performance. The target value of the awards granted to our named executive officers in January 2022 is set forth below. The total target value of awards for 2022 increased over 2021 by 4.7% for Mr. Hunn, 4.4% for Mr. Crisci, 5.0% for Mr. Stipancich, and 4.4% for Mr. Conley.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8.1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software) as the metrics for determining the vesting of performance-based restricted stock awards as these two metrics are strongly correlated with the value our shareholders receive from Company performance. The target value of the awards granted to our named executive officers in January 2022 is set forth below. The total target value of awards for 2022 increased over 2021 by 4.7% for Mr. Hunn, 4.4% for Mr. Crisci, 5.0% for Mr. Stipancich, and 4.4% for Mr. Conley. </w:t>
                      </w:r>
                    </w:p>
                  </w:txbxContent>
                </v:textbox>
                <w10:wrap type="square" side="right"/>
              </v:rect>
            </w:pict>
          </mc:Fallback>
        </mc:AlternateContent>
      </w:r>
    </w:p>
    <w:p>
      <w:pPr>
        <w:pStyle w:val="TextBody"/>
        <w:spacing w:before="0" w:after="0"/>
        <w:jc w:val="left"/>
        <w:rPr/>
      </w:pPr>
      <w:r>
        <w:rPr/>
        <w:t> </w:t>
      </w:r>
    </w:p>
    <w:p>
      <w:pPr>
        <w:pStyle w:val="TextBody"/>
        <w:spacing w:before="0" w:after="0"/>
        <w:jc w:val="center"/>
        <w:rPr>
          <w:rFonts w:ascii="ARIAL" w:hAnsi="ARIAL"/>
          <w:b/>
          <w:sz w:val="20"/>
        </w:rPr>
      </w:pPr>
      <w:r>
        <w:rPr>
          <w:rFonts w:ascii="ARIAL" w:hAnsi="ARIAL"/>
          <w:b/>
          <w:sz w:val="20"/>
        </w:rPr>
        <w:t xml:space="preserve">Fiscal 2022 Long-Term Equity Awards </w:t>
      </w:r>
    </w:p>
    <w:p>
      <w:pPr>
        <w:pStyle w:val="TextBody"/>
        <w:spacing w:before="0" w:after="0"/>
        <w:jc w:val="left"/>
        <w:rPr/>
      </w:pPr>
      <w:r>
        <w:rPr/>
        <w:t> </w:t>
      </w:r>
    </w:p>
    <w:tbl>
      <w:tblPr>
        <w:tblW w:w="5370" w:type="dxa"/>
        <w:jc w:val="left"/>
        <w:tblInd w:w="0" w:type="dxa"/>
        <w:tblCellMar>
          <w:top w:w="0" w:type="dxa"/>
          <w:left w:w="0" w:type="dxa"/>
          <w:bottom w:w="0" w:type="dxa"/>
          <w:right w:w="0" w:type="dxa"/>
        </w:tblCellMar>
      </w:tblPr>
      <w:tblGrid>
        <w:gridCol w:w="1355"/>
        <w:gridCol w:w="120"/>
        <w:gridCol w:w="125"/>
        <w:gridCol w:w="875"/>
        <w:gridCol w:w="60"/>
        <w:gridCol w:w="120"/>
        <w:gridCol w:w="146"/>
        <w:gridCol w:w="1149"/>
        <w:gridCol w:w="60"/>
        <w:gridCol w:w="120"/>
        <w:gridCol w:w="125"/>
        <w:gridCol w:w="1040"/>
        <w:gridCol w:w="75"/>
      </w:tblGrid>
      <w:tr>
        <w:trPr/>
        <w:tc>
          <w:tcPr>
            <w:tcW w:w="13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35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1000" w:type="dxa"/>
            <w:gridSpan w:val="2"/>
            <w:tcBorders/>
            <w:shd w:fill="005CB9" w:val="clear"/>
            <w:vAlign w:val="center"/>
          </w:tcPr>
          <w:p>
            <w:pPr>
              <w:pStyle w:val="TableContents"/>
              <w:spacing w:before="0" w:after="283"/>
              <w:jc w:val="center"/>
              <w:rPr>
                <w:color w:val="FFFFFF"/>
              </w:rPr>
            </w:pPr>
            <w:r>
              <w:rPr>
                <w:color w:val="FFFFFF"/>
              </w:rPr>
              <w:t>Value of</w:t>
              <w:br/>
              <w:t>Stock</w:t>
              <w:br/>
              <w:t>Options</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1295" w:type="dxa"/>
            <w:gridSpan w:val="2"/>
            <w:tcBorders/>
            <w:shd w:fill="005CB9" w:val="clear"/>
            <w:vAlign w:val="center"/>
          </w:tcPr>
          <w:p>
            <w:pPr>
              <w:pStyle w:val="TableContents"/>
              <w:spacing w:before="0" w:after="283"/>
              <w:jc w:val="center"/>
              <w:rPr>
                <w:color w:val="FFFFFF"/>
              </w:rPr>
            </w:pPr>
            <w:r>
              <w:rPr>
                <w:color w:val="FFFFFF"/>
              </w:rPr>
              <w:t>Value of</w:t>
              <w:br/>
              <w:t>Performance-</w:t>
              <w:br/>
              <w:t>Based</w:t>
              <w:br/>
              <w:t>Restricted</w:t>
              <w:br/>
              <w:t>Stock*</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1165" w:type="dxa"/>
            <w:gridSpan w:val="2"/>
            <w:tcBorders/>
            <w:shd w:fill="005CB9" w:val="clear"/>
            <w:vAlign w:val="center"/>
          </w:tcPr>
          <w:p>
            <w:pPr>
              <w:pStyle w:val="TableContents"/>
              <w:spacing w:before="0" w:after="0"/>
              <w:jc w:val="center"/>
              <w:rPr>
                <w:rFonts w:ascii="arial" w:hAnsi="arial"/>
                <w:color w:val="FFFFFF"/>
                <w:sz w:val="16"/>
              </w:rPr>
            </w:pPr>
            <w:r>
              <w:rPr>
                <w:rFonts w:ascii="arial" w:hAnsi="arial"/>
                <w:color w:val="FFFFFF"/>
                <w:sz w:val="16"/>
              </w:rPr>
              <w:t>Total Target </w:t>
            </w:r>
          </w:p>
          <w:p>
            <w:pPr>
              <w:pStyle w:val="TableContents"/>
              <w:spacing w:before="0" w:after="0"/>
              <w:jc w:val="center"/>
              <w:rPr>
                <w:rFonts w:ascii="arial" w:hAnsi="arial"/>
                <w:color w:val="FFFFFF"/>
                <w:sz w:val="16"/>
              </w:rPr>
            </w:pPr>
            <w:r>
              <w:rPr>
                <w:rFonts w:ascii="arial" w:hAnsi="arial"/>
                <w:color w:val="FFFFFF"/>
                <w:sz w:val="16"/>
              </w:rPr>
              <w:t>Value of </w:t>
            </w:r>
          </w:p>
          <w:p>
            <w:pPr>
              <w:pStyle w:val="TableContents"/>
              <w:spacing w:before="0" w:after="20"/>
              <w:jc w:val="center"/>
              <w:rPr>
                <w:rFonts w:ascii="arial" w:hAnsi="arial"/>
                <w:color w:val="FFFFFF"/>
                <w:sz w:val="16"/>
              </w:rPr>
            </w:pPr>
            <w:r>
              <w:rPr>
                <w:rFonts w:ascii="arial" w:hAnsi="arial"/>
                <w:color w:val="FFFFFF"/>
                <w:sz w:val="16"/>
              </w:rPr>
              <w:t>Awards </w:t>
            </w:r>
          </w:p>
        </w:tc>
        <w:tc>
          <w:tcPr>
            <w:tcW w:w="7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r>
      <w:tr>
        <w:trPr/>
        <w:tc>
          <w:tcPr>
            <w:tcW w:w="1355" w:type="dxa"/>
            <w:tcBorders/>
            <w:shd w:fill="CCDEF1" w:val="clear"/>
            <w:vAlign w:val="center"/>
          </w:tcPr>
          <w:p>
            <w:pPr>
              <w:pStyle w:val="TableContents"/>
              <w:spacing w:before="0" w:after="283"/>
              <w:rPr>
                <w:sz w:val="4"/>
                <w:szCs w:val="4"/>
              </w:rPr>
            </w:pPr>
            <w:r>
              <w:rPr>
                <w:sz w:val="4"/>
                <w:szCs w:val="4"/>
              </w:rPr>
            </w:r>
          </w:p>
        </w:tc>
        <w:tc>
          <w:tcPr>
            <w:tcW w:w="1180" w:type="dxa"/>
            <w:gridSpan w:val="4"/>
            <w:tcBorders/>
            <w:shd w:fill="CCDEF1" w:val="clear"/>
            <w:vAlign w:val="center"/>
          </w:tcPr>
          <w:p>
            <w:pPr>
              <w:pStyle w:val="TableContents"/>
              <w:spacing w:before="0" w:after="283"/>
              <w:rPr>
                <w:sz w:val="4"/>
                <w:szCs w:val="4"/>
              </w:rPr>
            </w:pPr>
            <w:r>
              <w:rPr>
                <w:sz w:val="4"/>
                <w:szCs w:val="4"/>
              </w:rPr>
            </w:r>
          </w:p>
        </w:tc>
        <w:tc>
          <w:tcPr>
            <w:tcW w:w="1475" w:type="dxa"/>
            <w:gridSpan w:val="4"/>
            <w:tcBorders/>
            <w:shd w:fill="CCDEF1" w:val="clear"/>
            <w:vAlign w:val="center"/>
          </w:tcPr>
          <w:p>
            <w:pPr>
              <w:pStyle w:val="TableContents"/>
              <w:spacing w:before="0" w:after="283"/>
              <w:rPr>
                <w:sz w:val="4"/>
                <w:szCs w:val="4"/>
              </w:rPr>
            </w:pPr>
            <w:r>
              <w:rPr>
                <w:sz w:val="4"/>
                <w:szCs w:val="4"/>
              </w:rPr>
            </w:r>
          </w:p>
        </w:tc>
        <w:tc>
          <w:tcPr>
            <w:tcW w:w="1360" w:type="dxa"/>
            <w:gridSpan w:val="4"/>
            <w:tcBorders/>
            <w:shd w:fill="CCDEF1" w:val="clear"/>
            <w:vAlign w:val="center"/>
          </w:tcPr>
          <w:p>
            <w:pPr>
              <w:pStyle w:val="TableContents"/>
              <w:spacing w:before="0" w:after="283"/>
              <w:rPr>
                <w:sz w:val="4"/>
                <w:szCs w:val="4"/>
              </w:rPr>
            </w:pPr>
            <w:r>
              <w:rPr>
                <w:sz w:val="4"/>
                <w:szCs w:val="4"/>
              </w:rPr>
            </w:r>
          </w:p>
        </w:tc>
      </w:tr>
      <w:tr>
        <w:trPr/>
        <w:tc>
          <w:tcPr>
            <w:tcW w:w="1355" w:type="dxa"/>
            <w:tcBorders/>
            <w:shd w:fill="CCDEF1" w:val="clear"/>
            <w:vAlign w:val="center"/>
          </w:tcPr>
          <w:p>
            <w:pPr>
              <w:pStyle w:val="TableContents"/>
              <w:spacing w:lineRule="atLeast" w:line="260" w:before="0" w:after="0"/>
              <w:rPr/>
            </w:pPr>
            <w:r>
              <w:rPr/>
              <w:t> </w:t>
            </w:r>
            <w:r>
              <w:rPr>
                <w:rFonts w:ascii="ARIAL" w:hAnsi="ARIAL"/>
                <w:sz w:val="19"/>
              </w:rPr>
              <w:t>Mr. Hunn</w:t>
            </w:r>
          </w:p>
        </w:tc>
        <w:tc>
          <w:tcPr>
            <w:tcW w:w="12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4,632,000</w:t>
            </w:r>
          </w:p>
        </w:tc>
        <w:tc>
          <w:tcPr>
            <w:tcW w:w="60" w:type="dxa"/>
            <w:tcBorders/>
            <w:shd w:fill="CCDEF1" w:val="clear"/>
            <w:vAlign w:val="center"/>
          </w:tcPr>
          <w:p>
            <w:pPr>
              <w:pStyle w:val="TableContents"/>
              <w:spacing w:lineRule="atLeast" w:line="260" w:before="0" w:after="0"/>
              <w:rPr/>
            </w:pPr>
            <w:r>
              <w:rPr/>
              <w:t> </w:t>
            </w:r>
          </w:p>
        </w:tc>
        <w:tc>
          <w:tcPr>
            <w:tcW w:w="120" w:type="dxa"/>
            <w:tcBorders/>
            <w:shd w:fill="CCDEF1" w:val="clear"/>
            <w:vAlign w:val="center"/>
          </w:tcPr>
          <w:p>
            <w:pPr>
              <w:pStyle w:val="TableContents"/>
              <w:spacing w:before="0" w:after="283"/>
              <w:rPr/>
            </w:pPr>
            <w:r>
              <w:rPr/>
              <w:t>  </w:t>
            </w:r>
          </w:p>
        </w:tc>
        <w:tc>
          <w:tcPr>
            <w:tcW w:w="146"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1149"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13,896,000</w:t>
            </w:r>
          </w:p>
        </w:tc>
        <w:tc>
          <w:tcPr>
            <w:tcW w:w="60" w:type="dxa"/>
            <w:tcBorders/>
            <w:shd w:fill="CCDEF1" w:val="clear"/>
            <w:vAlign w:val="center"/>
          </w:tcPr>
          <w:p>
            <w:pPr>
              <w:pStyle w:val="TableContents"/>
              <w:spacing w:lineRule="atLeast" w:line="260" w:before="0" w:after="0"/>
              <w:rPr/>
            </w:pPr>
            <w:r>
              <w:rPr/>
              <w:t> </w:t>
            </w:r>
          </w:p>
        </w:tc>
        <w:tc>
          <w:tcPr>
            <w:tcW w:w="12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104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18,528,000 </w:t>
            </w:r>
          </w:p>
        </w:tc>
        <w:tc>
          <w:tcPr>
            <w:tcW w:w="75" w:type="dxa"/>
            <w:tcBorders/>
            <w:shd w:fill="CCDEF1" w:val="clear"/>
            <w:vAlign w:val="center"/>
          </w:tcPr>
          <w:p>
            <w:pPr>
              <w:pStyle w:val="TableContents"/>
              <w:spacing w:before="0" w:after="283"/>
              <w:rPr>
                <w:sz w:val="4"/>
                <w:szCs w:val="4"/>
              </w:rPr>
            </w:pPr>
            <w:r>
              <w:rPr>
                <w:sz w:val="4"/>
                <w:szCs w:val="4"/>
              </w:rPr>
            </w:r>
          </w:p>
        </w:tc>
      </w:tr>
      <w:tr>
        <w:trPr/>
        <w:tc>
          <w:tcPr>
            <w:tcW w:w="1355" w:type="dxa"/>
            <w:tcBorders/>
            <w:shd w:fill="auto" w:val="clear"/>
            <w:vAlign w:val="center"/>
          </w:tcPr>
          <w:p>
            <w:pPr>
              <w:pStyle w:val="TableContents"/>
              <w:spacing w:before="0" w:after="283"/>
              <w:rPr>
                <w:sz w:val="4"/>
                <w:szCs w:val="4"/>
              </w:rPr>
            </w:pPr>
            <w:r>
              <w:rPr>
                <w:sz w:val="4"/>
                <w:szCs w:val="4"/>
              </w:rPr>
            </w:r>
          </w:p>
        </w:tc>
        <w:tc>
          <w:tcPr>
            <w:tcW w:w="1180" w:type="dxa"/>
            <w:gridSpan w:val="4"/>
            <w:tcBorders/>
            <w:shd w:fill="auto" w:val="clear"/>
            <w:vAlign w:val="center"/>
          </w:tcPr>
          <w:p>
            <w:pPr>
              <w:pStyle w:val="TableContents"/>
              <w:spacing w:before="0" w:after="283"/>
              <w:rPr>
                <w:sz w:val="4"/>
                <w:szCs w:val="4"/>
              </w:rPr>
            </w:pPr>
            <w:r>
              <w:rPr>
                <w:sz w:val="4"/>
                <w:szCs w:val="4"/>
              </w:rPr>
            </w:r>
          </w:p>
        </w:tc>
        <w:tc>
          <w:tcPr>
            <w:tcW w:w="1475"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r>
      <w:tr>
        <w:trPr/>
        <w:tc>
          <w:tcPr>
            <w:tcW w:w="1355" w:type="dxa"/>
            <w:tcBorders/>
            <w:shd w:fill="auto" w:val="clear"/>
            <w:vAlign w:val="center"/>
          </w:tcPr>
          <w:p>
            <w:pPr>
              <w:pStyle w:val="TableContents"/>
              <w:spacing w:lineRule="atLeast" w:line="260" w:before="0" w:after="0"/>
              <w:rPr/>
            </w:pPr>
            <w:r>
              <w:rPr/>
              <w:t> </w:t>
            </w:r>
            <w:r>
              <w:rPr>
                <w:rFonts w:ascii="ARIAL" w:hAnsi="ARIAL"/>
                <w:sz w:val="19"/>
              </w:rPr>
              <w:t>Mr. Crisci</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rFonts w:ascii="ARIAL" w:hAnsi="ARIAL"/>
                <w:sz w:val="19"/>
              </w:rPr>
            </w:pPr>
            <w:r>
              <w:rPr>
                <w:rFonts w:ascii="ARIAL" w:hAnsi="ARIAL"/>
                <w:sz w:val="19"/>
              </w:rPr>
              <w:t>$</w:t>
            </w:r>
          </w:p>
        </w:tc>
        <w:tc>
          <w:tcPr>
            <w:tcW w:w="8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1,500,000</w:t>
            </w:r>
          </w:p>
        </w:tc>
        <w:tc>
          <w:tcPr>
            <w:tcW w:w="60" w:type="dxa"/>
            <w:tcBorders/>
            <w:shd w:fill="auto" w:val="clear"/>
            <w:vAlign w:val="center"/>
          </w:tcPr>
          <w:p>
            <w:pPr>
              <w:pStyle w:val="TableContents"/>
              <w:spacing w:lineRule="atLeast" w:line="260" w:before="0" w:after="0"/>
              <w:rPr/>
            </w:pPr>
            <w:r>
              <w:rPr/>
              <w:t> </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lineRule="atLeast" w:line="260" w:before="0" w:after="0"/>
              <w:rPr>
                <w:rFonts w:ascii="ARIAL" w:hAnsi="ARIAL"/>
                <w:sz w:val="19"/>
              </w:rPr>
            </w:pPr>
            <w:r>
              <w:rPr>
                <w:rFonts w:ascii="ARIAL" w:hAnsi="ARIAL"/>
                <w:sz w:val="19"/>
              </w:rPr>
              <w:t>$</w:t>
            </w:r>
          </w:p>
        </w:tc>
        <w:tc>
          <w:tcPr>
            <w:tcW w:w="1149"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4,400,000</w:t>
            </w:r>
          </w:p>
        </w:tc>
        <w:tc>
          <w:tcPr>
            <w:tcW w:w="60" w:type="dxa"/>
            <w:tcBorders/>
            <w:shd w:fill="auto" w:val="clear"/>
            <w:vAlign w:val="center"/>
          </w:tcPr>
          <w:p>
            <w:pPr>
              <w:pStyle w:val="TableContents"/>
              <w:spacing w:lineRule="atLeast" w:line="260" w:before="0" w:after="0"/>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rFonts w:ascii="ARIAL" w:hAnsi="ARIAL"/>
                <w:sz w:val="19"/>
              </w:rPr>
            </w:pPr>
            <w:r>
              <w:rPr>
                <w:rFonts w:ascii="ARIAL" w:hAnsi="ARIAL"/>
                <w:sz w:val="19"/>
              </w:rPr>
              <w:t>$</w:t>
            </w:r>
          </w:p>
        </w:tc>
        <w:tc>
          <w:tcPr>
            <w:tcW w:w="104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5,900,000 </w:t>
            </w:r>
          </w:p>
        </w:tc>
        <w:tc>
          <w:tcPr>
            <w:tcW w:w="75" w:type="dxa"/>
            <w:tcBorders/>
            <w:shd w:fill="auto" w:val="clear"/>
            <w:vAlign w:val="center"/>
          </w:tcPr>
          <w:p>
            <w:pPr>
              <w:pStyle w:val="TableContents"/>
              <w:spacing w:before="0" w:after="283"/>
              <w:rPr>
                <w:sz w:val="4"/>
                <w:szCs w:val="4"/>
              </w:rPr>
            </w:pPr>
            <w:r>
              <w:rPr>
                <w:sz w:val="4"/>
                <w:szCs w:val="4"/>
              </w:rPr>
            </w:r>
          </w:p>
        </w:tc>
      </w:tr>
      <w:tr>
        <w:trPr/>
        <w:tc>
          <w:tcPr>
            <w:tcW w:w="1355" w:type="dxa"/>
            <w:tcBorders/>
            <w:shd w:fill="CCDEF1" w:val="clear"/>
            <w:vAlign w:val="center"/>
          </w:tcPr>
          <w:p>
            <w:pPr>
              <w:pStyle w:val="TableContents"/>
              <w:spacing w:before="0" w:after="283"/>
              <w:rPr>
                <w:sz w:val="4"/>
                <w:szCs w:val="4"/>
              </w:rPr>
            </w:pPr>
            <w:r>
              <w:rPr>
                <w:sz w:val="4"/>
                <w:szCs w:val="4"/>
              </w:rPr>
            </w:r>
          </w:p>
        </w:tc>
        <w:tc>
          <w:tcPr>
            <w:tcW w:w="1180" w:type="dxa"/>
            <w:gridSpan w:val="4"/>
            <w:tcBorders/>
            <w:shd w:fill="CCDEF1" w:val="clear"/>
            <w:vAlign w:val="center"/>
          </w:tcPr>
          <w:p>
            <w:pPr>
              <w:pStyle w:val="TableContents"/>
              <w:spacing w:before="0" w:after="283"/>
              <w:rPr>
                <w:sz w:val="4"/>
                <w:szCs w:val="4"/>
              </w:rPr>
            </w:pPr>
            <w:r>
              <w:rPr>
                <w:sz w:val="4"/>
                <w:szCs w:val="4"/>
              </w:rPr>
            </w:r>
          </w:p>
        </w:tc>
        <w:tc>
          <w:tcPr>
            <w:tcW w:w="1475" w:type="dxa"/>
            <w:gridSpan w:val="4"/>
            <w:tcBorders/>
            <w:shd w:fill="CCDEF1" w:val="clear"/>
            <w:vAlign w:val="center"/>
          </w:tcPr>
          <w:p>
            <w:pPr>
              <w:pStyle w:val="TableContents"/>
              <w:spacing w:before="0" w:after="283"/>
              <w:rPr>
                <w:sz w:val="4"/>
                <w:szCs w:val="4"/>
              </w:rPr>
            </w:pPr>
            <w:r>
              <w:rPr>
                <w:sz w:val="4"/>
                <w:szCs w:val="4"/>
              </w:rPr>
            </w:r>
          </w:p>
        </w:tc>
        <w:tc>
          <w:tcPr>
            <w:tcW w:w="1360" w:type="dxa"/>
            <w:gridSpan w:val="4"/>
            <w:tcBorders/>
            <w:shd w:fill="CCDEF1" w:val="clear"/>
            <w:vAlign w:val="center"/>
          </w:tcPr>
          <w:p>
            <w:pPr>
              <w:pStyle w:val="TableContents"/>
              <w:spacing w:before="0" w:after="283"/>
              <w:rPr>
                <w:sz w:val="4"/>
                <w:szCs w:val="4"/>
              </w:rPr>
            </w:pPr>
            <w:r>
              <w:rPr>
                <w:sz w:val="4"/>
                <w:szCs w:val="4"/>
              </w:rPr>
            </w:r>
          </w:p>
        </w:tc>
      </w:tr>
      <w:tr>
        <w:trPr/>
        <w:tc>
          <w:tcPr>
            <w:tcW w:w="1355" w:type="dxa"/>
            <w:tcBorders/>
            <w:shd w:fill="CCDEF1" w:val="clear"/>
            <w:vAlign w:val="center"/>
          </w:tcPr>
          <w:p>
            <w:pPr>
              <w:pStyle w:val="TableContents"/>
              <w:spacing w:lineRule="atLeast" w:line="260" w:before="0" w:after="0"/>
              <w:rPr/>
            </w:pPr>
            <w:r>
              <w:rPr/>
              <w:t> </w:t>
            </w:r>
            <w:r>
              <w:rPr>
                <w:rFonts w:ascii="ARIAL" w:hAnsi="ARIAL"/>
                <w:sz w:val="19"/>
              </w:rPr>
              <w:t>Mr. Stipancich</w:t>
            </w:r>
          </w:p>
        </w:tc>
        <w:tc>
          <w:tcPr>
            <w:tcW w:w="12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920,000</w:t>
            </w:r>
          </w:p>
        </w:tc>
        <w:tc>
          <w:tcPr>
            <w:tcW w:w="60" w:type="dxa"/>
            <w:tcBorders/>
            <w:shd w:fill="CCDEF1" w:val="clear"/>
            <w:vAlign w:val="center"/>
          </w:tcPr>
          <w:p>
            <w:pPr>
              <w:pStyle w:val="TableContents"/>
              <w:spacing w:lineRule="atLeast" w:line="260" w:before="0" w:after="0"/>
              <w:rPr/>
            </w:pPr>
            <w:r>
              <w:rPr/>
              <w:t> </w:t>
            </w:r>
          </w:p>
        </w:tc>
        <w:tc>
          <w:tcPr>
            <w:tcW w:w="120" w:type="dxa"/>
            <w:tcBorders/>
            <w:shd w:fill="CCDEF1" w:val="clear"/>
            <w:vAlign w:val="center"/>
          </w:tcPr>
          <w:p>
            <w:pPr>
              <w:pStyle w:val="TableContents"/>
              <w:spacing w:before="0" w:after="283"/>
              <w:rPr/>
            </w:pPr>
            <w:r>
              <w:rPr/>
              <w:t>  </w:t>
            </w:r>
          </w:p>
        </w:tc>
        <w:tc>
          <w:tcPr>
            <w:tcW w:w="146"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1149"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2,650,000</w:t>
            </w:r>
          </w:p>
        </w:tc>
        <w:tc>
          <w:tcPr>
            <w:tcW w:w="60" w:type="dxa"/>
            <w:tcBorders/>
            <w:shd w:fill="CCDEF1" w:val="clear"/>
            <w:vAlign w:val="center"/>
          </w:tcPr>
          <w:p>
            <w:pPr>
              <w:pStyle w:val="TableContents"/>
              <w:spacing w:lineRule="atLeast" w:line="260" w:before="0" w:after="0"/>
              <w:rPr/>
            </w:pPr>
            <w:r>
              <w:rPr/>
              <w:t> </w:t>
            </w:r>
          </w:p>
        </w:tc>
        <w:tc>
          <w:tcPr>
            <w:tcW w:w="12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104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3,570,000 </w:t>
            </w:r>
          </w:p>
        </w:tc>
        <w:tc>
          <w:tcPr>
            <w:tcW w:w="75" w:type="dxa"/>
            <w:tcBorders/>
            <w:shd w:fill="CCDEF1" w:val="clear"/>
            <w:vAlign w:val="center"/>
          </w:tcPr>
          <w:p>
            <w:pPr>
              <w:pStyle w:val="TableContents"/>
              <w:spacing w:before="0" w:after="283"/>
              <w:rPr>
                <w:sz w:val="4"/>
                <w:szCs w:val="4"/>
              </w:rPr>
            </w:pPr>
            <w:r>
              <w:rPr>
                <w:sz w:val="4"/>
                <w:szCs w:val="4"/>
              </w:rPr>
            </w:r>
          </w:p>
        </w:tc>
      </w:tr>
      <w:tr>
        <w:trPr/>
        <w:tc>
          <w:tcPr>
            <w:tcW w:w="1355" w:type="dxa"/>
            <w:tcBorders/>
            <w:shd w:fill="auto" w:val="clear"/>
            <w:vAlign w:val="center"/>
          </w:tcPr>
          <w:p>
            <w:pPr>
              <w:pStyle w:val="TableContents"/>
              <w:spacing w:before="0" w:after="283"/>
              <w:rPr>
                <w:sz w:val="4"/>
                <w:szCs w:val="4"/>
              </w:rPr>
            </w:pPr>
            <w:r>
              <w:rPr>
                <w:sz w:val="4"/>
                <w:szCs w:val="4"/>
              </w:rPr>
            </w:r>
          </w:p>
        </w:tc>
        <w:tc>
          <w:tcPr>
            <w:tcW w:w="1180" w:type="dxa"/>
            <w:gridSpan w:val="4"/>
            <w:tcBorders/>
            <w:shd w:fill="auto" w:val="clear"/>
            <w:vAlign w:val="center"/>
          </w:tcPr>
          <w:p>
            <w:pPr>
              <w:pStyle w:val="TableContents"/>
              <w:spacing w:before="0" w:after="283"/>
              <w:rPr>
                <w:sz w:val="4"/>
                <w:szCs w:val="4"/>
              </w:rPr>
            </w:pPr>
            <w:r>
              <w:rPr>
                <w:sz w:val="4"/>
                <w:szCs w:val="4"/>
              </w:rPr>
            </w:r>
          </w:p>
        </w:tc>
        <w:tc>
          <w:tcPr>
            <w:tcW w:w="1475"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r>
      <w:tr>
        <w:trPr/>
        <w:tc>
          <w:tcPr>
            <w:tcW w:w="1355" w:type="dxa"/>
            <w:tcBorders/>
            <w:shd w:fill="auto" w:val="clear"/>
            <w:vAlign w:val="center"/>
          </w:tcPr>
          <w:p>
            <w:pPr>
              <w:pStyle w:val="TableContents"/>
              <w:spacing w:lineRule="atLeast" w:line="260" w:before="0" w:after="0"/>
              <w:rPr/>
            </w:pPr>
            <w:r>
              <w:rPr/>
              <w:t> </w:t>
            </w:r>
            <w:r>
              <w:rPr>
                <w:rFonts w:ascii="ARIAL" w:hAnsi="ARIAL"/>
                <w:sz w:val="19"/>
              </w:rPr>
              <w:t>Mr. Conley</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rFonts w:ascii="ARIAL" w:hAnsi="ARIAL"/>
                <w:sz w:val="19"/>
              </w:rPr>
            </w:pPr>
            <w:r>
              <w:rPr>
                <w:rFonts w:ascii="ARIAL" w:hAnsi="ARIAL"/>
                <w:sz w:val="19"/>
              </w:rPr>
              <w:t>$</w:t>
            </w:r>
          </w:p>
        </w:tc>
        <w:tc>
          <w:tcPr>
            <w:tcW w:w="8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875,000</w:t>
            </w:r>
          </w:p>
        </w:tc>
        <w:tc>
          <w:tcPr>
            <w:tcW w:w="60" w:type="dxa"/>
            <w:tcBorders/>
            <w:shd w:fill="auto" w:val="clear"/>
            <w:vAlign w:val="center"/>
          </w:tcPr>
          <w:p>
            <w:pPr>
              <w:pStyle w:val="TableContents"/>
              <w:spacing w:lineRule="atLeast" w:line="260" w:before="0" w:after="0"/>
              <w:rPr/>
            </w:pPr>
            <w:r>
              <w:rPr/>
              <w:t> </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lineRule="atLeast" w:line="260" w:before="0" w:after="0"/>
              <w:rPr>
                <w:rFonts w:ascii="ARIAL" w:hAnsi="ARIAL"/>
                <w:sz w:val="19"/>
              </w:rPr>
            </w:pPr>
            <w:r>
              <w:rPr>
                <w:rFonts w:ascii="ARIAL" w:hAnsi="ARIAL"/>
                <w:sz w:val="19"/>
              </w:rPr>
              <w:t>$</w:t>
            </w:r>
          </w:p>
        </w:tc>
        <w:tc>
          <w:tcPr>
            <w:tcW w:w="1149"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2,650,000</w:t>
            </w:r>
          </w:p>
        </w:tc>
        <w:tc>
          <w:tcPr>
            <w:tcW w:w="60" w:type="dxa"/>
            <w:tcBorders/>
            <w:shd w:fill="auto" w:val="clear"/>
            <w:vAlign w:val="center"/>
          </w:tcPr>
          <w:p>
            <w:pPr>
              <w:pStyle w:val="TableContents"/>
              <w:spacing w:lineRule="atLeast" w:line="260" w:before="0" w:after="0"/>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rFonts w:ascii="ARIAL" w:hAnsi="ARIAL"/>
                <w:sz w:val="19"/>
              </w:rPr>
            </w:pPr>
            <w:r>
              <w:rPr>
                <w:rFonts w:ascii="ARIAL" w:hAnsi="ARIAL"/>
                <w:sz w:val="19"/>
              </w:rPr>
              <w:t>$</w:t>
            </w:r>
          </w:p>
        </w:tc>
        <w:tc>
          <w:tcPr>
            <w:tcW w:w="104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3,525,000 </w:t>
            </w:r>
          </w:p>
        </w:tc>
        <w:tc>
          <w:tcPr>
            <w:tcW w:w="7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value of the award granted is based on the weighted average closing price for the Company’s common stock over the 15 trading days ending on the date of grant, which is reflected in the minor discrepancies in the amounts reported under the “Stock Awards” column in the Summary Compensation Table. </w:t>
            </w:r>
          </w:p>
        </w:tc>
      </w:tr>
    </w:tbl>
    <w:p>
      <w:pPr>
        <w:pStyle w:val="TextBody"/>
        <w:spacing w:before="240" w:after="0"/>
        <w:jc w:val="left"/>
        <w:rPr>
          <w:rFonts w:ascii="ARIAL" w:hAnsi="ARIAL"/>
          <w:sz w:val="19"/>
        </w:rPr>
      </w:pPr>
      <w:r>
        <w:rPr>
          <w:rFonts w:ascii="ARIAL" w:hAnsi="ARIAL"/>
          <w:sz w:val="19"/>
        </w:rPr>
        <w:t xml:space="preserve">These awards are shown in the 2022 Grants of Plan-Based Awards table. </w:t>
      </w:r>
    </w:p>
    <w:p>
      <w:pPr>
        <w:pStyle w:val="TextBody"/>
        <w:spacing w:before="240" w:after="0"/>
        <w:jc w:val="left"/>
        <w:rPr>
          <w:rFonts w:ascii="ARIAL" w:hAnsi="ARIAL"/>
          <w:sz w:val="19"/>
        </w:rPr>
      </w:pPr>
      <w:r>
        <w:rPr>
          <w:rFonts w:ascii="ARIAL" w:hAnsi="ARIAL"/>
          <w:sz w:val="19"/>
        </w:rPr>
        <w:t xml:space="preserve">The stock options vest on the third anniversary of the date of grant. </w:t>
      </w:r>
    </w:p>
    <w:p>
      <w:pPr>
        <w:pStyle w:val="TextBody"/>
        <w:spacing w:before="120" w:after="0"/>
        <w:jc w:val="left"/>
        <w:rPr>
          <w:rFonts w:ascii="ARIAL" w:hAnsi="ARIAL"/>
          <w:sz w:val="19"/>
        </w:rPr>
      </w:pPr>
      <w:r>
        <w:rPr>
          <w:rFonts w:ascii="ARIAL" w:hAnsi="ARIAL"/>
          <w:sz w:val="19"/>
        </w:rPr>
        <w:t xml:space="preserve">The 2022 restricted shares vest on the Compensation Committee’s certification of performance against the following performance criteria (with one half of the award assessed against the first criterion and the second half assessed against the second criterion):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9"/>
              </w:rPr>
            </w:pPr>
            <w:r>
              <w:rPr>
                <w:rFonts w:ascii="ARIAL" w:hAnsi="ARIAL"/>
                <w:sz w:val="19"/>
              </w:rPr>
              <w:t xml:space="preserve">Generation of at least $5.635 billion of adjusted EBITDA (as defined above) for the 36-month period of October 2021 through September 2024. At $5.635 billion, 17.5% of the award shall vest, and at $6.035 billion, 50% of the award shall vest, with pro-rated vesting using straight line interpolation between these two points. No portion of this half of the award will vest if the Company fails to achieve $5.635 billion in adjusted EBITDA.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9"/>
              </w:rPr>
            </w:pPr>
            <w:r>
              <w:rPr>
                <w:rFonts w:ascii="ARIAL" w:hAnsi="ARIAL"/>
                <w:sz w:val="19"/>
              </w:rPr>
              <w:t xml:space="preserve">For the 2022 long-term equity awards tied to cumulative EBITDA growth, in response to investor feedback, the Committee changed the methodology used to set the three-year cumulative EBITDA targets required to achieve vesting. This revised methodology resulted in an incremental increase of approximately $536 million of EBITDA, at both the threshold and maximum target levels, required for vesting under the 2022 awards. Such increase due to this methodology change is in addition to the annual increase in baseline EBITDA growth the Committee requires each year for long-term equity awards.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9"/>
              </w:rPr>
            </w:pPr>
            <w:r>
              <w:rPr>
                <w:rFonts w:ascii="ARIAL" w:hAnsi="ARIAL"/>
                <w:sz w:val="19"/>
              </w:rPr>
              <w:t xml:space="preserve">For the 36-month period of October 2021 through September 2024, operating cash flow less capital expenditures and capitalized software (as a percentage of net revenue) must be at the 50th percentile of the S&amp;P 500 (excluding finance, real estate, and utilities) (the “Modified S&amp;P 500”). At the 50th percentile, 17.5% of the award shall vest, and at the 75th percentile, 50% of the award shall vest, with pro-rated vesting using straight-line interpolation between these two points. No portion of this half of the award will vest if the Company fails to reach at least the 50th percentile. </w:t>
            </w:r>
          </w:p>
        </w:tc>
      </w:tr>
    </w:tbl>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3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9" descr=""/>
                          <pic:cNvPicPr>
                            <a:picLocks noChangeAspect="1" noChangeArrowheads="1"/>
                          </pic:cNvPicPr>
                        </pic:nvPicPr>
                        <pic:blipFill>
                          <a:blip r:embed="rId90"/>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37</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i/>
          <w:color w:val="005CB9"/>
          <w:sz w:val="20"/>
        </w:rPr>
      </w:pPr>
      <w:r>
        <w:rPr>
          <w:rFonts w:ascii="ARIAL" w:hAnsi="ARIAL"/>
          <w:b/>
          <w:i/>
          <w:color w:val="005CB9"/>
          <w:sz w:val="20"/>
        </w:rPr>
        <w:t xml:space="preserve">Prior Long-Term Stock Incentive Awards </w:t>
      </w:r>
    </w:p>
    <w:p>
      <w:pPr>
        <w:pStyle w:val="TextBody"/>
        <w:spacing w:before="120" w:after="0"/>
        <w:jc w:val="left"/>
        <w:rPr>
          <w:rFonts w:ascii="ARIAL" w:hAnsi="ARIAL"/>
          <w:b/>
          <w:color w:val="005CB9"/>
          <w:sz w:val="20"/>
        </w:rPr>
      </w:pPr>
      <w:r>
        <w:rPr>
          <w:rFonts w:ascii="ARIAL" w:hAnsi="ARIAL"/>
          <w:b/>
          <w:color w:val="005CB9"/>
          <w:sz w:val="20"/>
        </w:rPr>
        <w:t xml:space="preserve">January 2020 Awards </w:t>
      </w:r>
    </w:p>
    <w:p>
      <w:pPr>
        <w:pStyle w:val="TextBody"/>
        <w:spacing w:before="120" w:after="0"/>
        <w:jc w:val="left"/>
        <w:rPr>
          <w:rFonts w:ascii="ARIAL" w:hAnsi="ARIAL"/>
          <w:sz w:val="20"/>
        </w:rPr>
      </w:pPr>
      <w:r>
        <w:rPr>
          <w:rFonts w:ascii="ARIAL" w:hAnsi="ARIAL"/>
          <w:sz w:val="20"/>
        </w:rPr>
        <w:t xml:space="preserve">In January 2020, Mr. Hunn was awarded 35,136 performance-based restricted shares subject to the below performance criteria for the 36-month performance period of October 2019 through September 2022. Messrs. Crisci, Stipancich and Conley had 5,512, 3,307, and 3,307, performance-based restricted shares remaining from their January 2020 awards, respectively, subject to the same 36-month performance period. These performance-based restricted shares vested in November 2022 following the Compensation Committee’s certification of the satisfaction of both of the performance criteria above the target payout threshold. </w:t>
      </w:r>
    </w:p>
    <w:p>
      <w:pPr>
        <w:pStyle w:val="TextBody"/>
        <w:spacing w:before="0" w:after="0"/>
        <w:jc w:val="left"/>
        <w:rPr/>
      </w:pPr>
      <w:r>
        <w:rPr/>
        <w:t> </w:t>
      </w:r>
    </w:p>
    <w:tbl>
      <w:tblPr>
        <w:tblW w:w="7040" w:type="dxa"/>
        <w:jc w:val="left"/>
        <w:tblInd w:w="0" w:type="dxa"/>
        <w:tblCellMar>
          <w:top w:w="0" w:type="dxa"/>
          <w:left w:w="0" w:type="dxa"/>
          <w:bottom w:w="0" w:type="dxa"/>
          <w:right w:w="0" w:type="dxa"/>
        </w:tblCellMar>
      </w:tblPr>
      <w:tblGrid>
        <w:gridCol w:w="2060"/>
        <w:gridCol w:w="120"/>
        <w:gridCol w:w="1190"/>
        <w:gridCol w:w="120"/>
        <w:gridCol w:w="1685"/>
        <w:gridCol w:w="120"/>
        <w:gridCol w:w="1745"/>
      </w:tblGrid>
      <w:tr>
        <w:trPr/>
        <w:tc>
          <w:tcPr>
            <w:tcW w:w="20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r>
      <w:tr>
        <w:trPr/>
        <w:tc>
          <w:tcPr>
            <w:tcW w:w="2060" w:type="dxa"/>
            <w:tcBorders/>
            <w:shd w:fill="005CB9" w:val="clear"/>
            <w:vAlign w:val="center"/>
          </w:tcPr>
          <w:p>
            <w:pPr>
              <w:pStyle w:val="TableContents"/>
              <w:spacing w:before="0" w:after="283"/>
              <w:jc w:val="center"/>
              <w:rPr>
                <w:color w:val="FFFFFF"/>
              </w:rPr>
            </w:pPr>
            <w:r>
              <w:rPr>
                <w:color w:val="FFFFFF"/>
              </w:rPr>
              <w:t> </w:t>
            </w:r>
            <w:r>
              <w:rPr>
                <w:color w:val="FFFFFF"/>
              </w:rPr>
              <w:t>Performance Criteria</w:t>
            </w:r>
          </w:p>
        </w:tc>
        <w:tc>
          <w:tcPr>
            <w:tcW w:w="120" w:type="dxa"/>
            <w:tcBorders/>
            <w:shd w:fill="005CB9" w:val="clear"/>
            <w:vAlign w:val="center"/>
          </w:tcPr>
          <w:p>
            <w:pPr>
              <w:pStyle w:val="TableContents"/>
              <w:spacing w:before="0" w:after="283"/>
              <w:rPr/>
            </w:pPr>
            <w:r>
              <w:rPr/>
              <w:t>  </w:t>
            </w:r>
          </w:p>
        </w:tc>
        <w:tc>
          <w:tcPr>
            <w:tcW w:w="1190" w:type="dxa"/>
            <w:tcBorders/>
            <w:shd w:fill="005CB9" w:val="clear"/>
            <w:vAlign w:val="center"/>
          </w:tcPr>
          <w:p>
            <w:pPr>
              <w:pStyle w:val="TableContents"/>
              <w:spacing w:before="0" w:after="283"/>
              <w:jc w:val="center"/>
              <w:rPr>
                <w:color w:val="FFFFFF"/>
              </w:rPr>
            </w:pPr>
            <w:r>
              <w:rPr>
                <w:color w:val="FFFFFF"/>
              </w:rPr>
              <w:t>    </w:t>
            </w:r>
            <w:r>
              <w:rPr>
                <w:color w:val="FFFFFF"/>
              </w:rPr>
              <w:t>Weight    </w:t>
            </w:r>
          </w:p>
        </w:tc>
        <w:tc>
          <w:tcPr>
            <w:tcW w:w="120" w:type="dxa"/>
            <w:tcBorders/>
            <w:shd w:fill="005CB9" w:val="clear"/>
            <w:vAlign w:val="center"/>
          </w:tcPr>
          <w:p>
            <w:pPr>
              <w:pStyle w:val="TableContents"/>
              <w:spacing w:before="0" w:after="283"/>
              <w:rPr/>
            </w:pPr>
            <w:r>
              <w:rPr/>
              <w:t>  </w:t>
            </w:r>
          </w:p>
        </w:tc>
        <w:tc>
          <w:tcPr>
            <w:tcW w:w="1685" w:type="dxa"/>
            <w:tcBorders/>
            <w:shd w:fill="005CB9" w:val="clear"/>
            <w:vAlign w:val="center"/>
          </w:tcPr>
          <w:p>
            <w:pPr>
              <w:pStyle w:val="TableContents"/>
              <w:spacing w:before="0" w:after="0"/>
              <w:jc w:val="center"/>
              <w:rPr>
                <w:rFonts w:ascii="arial" w:hAnsi="arial"/>
                <w:color w:val="FFFFFF"/>
                <w:sz w:val="16"/>
              </w:rPr>
            </w:pPr>
            <w:r>
              <w:rPr>
                <w:rFonts w:ascii="arial" w:hAnsi="arial"/>
                <w:color w:val="FFFFFF"/>
                <w:sz w:val="16"/>
              </w:rPr>
              <w:t>Minimum Threshold for</w:t>
            </w:r>
          </w:p>
          <w:p>
            <w:pPr>
              <w:pStyle w:val="TableContents"/>
              <w:spacing w:before="0" w:after="20"/>
              <w:jc w:val="center"/>
              <w:rPr>
                <w:rFonts w:ascii="arial" w:hAnsi="arial"/>
                <w:color w:val="FFFFFF"/>
                <w:sz w:val="16"/>
              </w:rPr>
            </w:pPr>
            <w:r>
              <w:rPr>
                <w:rFonts w:ascii="arial" w:hAnsi="arial"/>
                <w:color w:val="FFFFFF"/>
                <w:sz w:val="16"/>
              </w:rPr>
              <w:t>Payout</w:t>
            </w:r>
          </w:p>
        </w:tc>
        <w:tc>
          <w:tcPr>
            <w:tcW w:w="120" w:type="dxa"/>
            <w:tcBorders/>
            <w:shd w:fill="005CB9" w:val="clear"/>
            <w:vAlign w:val="center"/>
          </w:tcPr>
          <w:p>
            <w:pPr>
              <w:pStyle w:val="TableContents"/>
              <w:spacing w:before="0" w:after="283"/>
              <w:rPr/>
            </w:pPr>
            <w:r>
              <w:rPr/>
              <w:t>  </w:t>
            </w:r>
          </w:p>
        </w:tc>
        <w:tc>
          <w:tcPr>
            <w:tcW w:w="1745" w:type="dxa"/>
            <w:tcBorders/>
            <w:shd w:fill="005CB9" w:val="clear"/>
            <w:vAlign w:val="center"/>
          </w:tcPr>
          <w:p>
            <w:pPr>
              <w:pStyle w:val="TableContents"/>
              <w:spacing w:before="0" w:after="0"/>
              <w:jc w:val="center"/>
              <w:rPr>
                <w:rFonts w:ascii="arial" w:hAnsi="arial"/>
                <w:color w:val="FFFFFF"/>
                <w:sz w:val="16"/>
              </w:rPr>
            </w:pPr>
            <w:r>
              <w:rPr>
                <w:rFonts w:ascii="arial" w:hAnsi="arial"/>
                <w:color w:val="FFFFFF"/>
                <w:sz w:val="16"/>
              </w:rPr>
              <w:t>Performance for Target</w:t>
            </w:r>
          </w:p>
          <w:p>
            <w:pPr>
              <w:pStyle w:val="TableContents"/>
              <w:spacing w:before="0" w:after="20"/>
              <w:jc w:val="center"/>
              <w:rPr>
                <w:rFonts w:ascii="arial" w:hAnsi="arial"/>
                <w:color w:val="FFFFFF"/>
                <w:sz w:val="16"/>
              </w:rPr>
            </w:pPr>
            <w:r>
              <w:rPr>
                <w:rFonts w:ascii="arial" w:hAnsi="arial"/>
                <w:color w:val="FFFFFF"/>
                <w:sz w:val="16"/>
              </w:rPr>
              <w:t>Payout</w:t>
            </w:r>
          </w:p>
        </w:tc>
      </w:tr>
      <w:tr>
        <w:trPr/>
        <w:tc>
          <w:tcPr>
            <w:tcW w:w="2060" w:type="dxa"/>
            <w:tcBorders/>
            <w:shd w:fill="CCDEF1" w:val="clear"/>
            <w:vAlign w:val="center"/>
          </w:tcPr>
          <w:p>
            <w:pPr>
              <w:pStyle w:val="TableContents"/>
              <w:spacing w:before="0" w:after="283"/>
              <w:rPr>
                <w:sz w:val="4"/>
                <w:szCs w:val="4"/>
              </w:rPr>
            </w:pPr>
            <w:r>
              <w:rPr>
                <w:sz w:val="4"/>
                <w:szCs w:val="4"/>
              </w:rPr>
            </w:r>
          </w:p>
        </w:tc>
        <w:tc>
          <w:tcPr>
            <w:tcW w:w="1310" w:type="dxa"/>
            <w:gridSpan w:val="2"/>
            <w:tcBorders/>
            <w:shd w:fill="CCDEF1" w:val="clear"/>
            <w:vAlign w:val="center"/>
          </w:tcPr>
          <w:p>
            <w:pPr>
              <w:pStyle w:val="TableContents"/>
              <w:spacing w:before="0" w:after="283"/>
              <w:rPr>
                <w:sz w:val="4"/>
                <w:szCs w:val="4"/>
              </w:rPr>
            </w:pPr>
            <w:r>
              <w:rPr>
                <w:sz w:val="4"/>
                <w:szCs w:val="4"/>
              </w:rPr>
            </w:r>
          </w:p>
        </w:tc>
        <w:tc>
          <w:tcPr>
            <w:tcW w:w="1805" w:type="dxa"/>
            <w:gridSpan w:val="2"/>
            <w:tcBorders/>
            <w:shd w:fill="CCDEF1" w:val="clear"/>
            <w:vAlign w:val="center"/>
          </w:tcPr>
          <w:p>
            <w:pPr>
              <w:pStyle w:val="TableContents"/>
              <w:spacing w:before="0" w:after="283"/>
              <w:rPr>
                <w:sz w:val="4"/>
                <w:szCs w:val="4"/>
              </w:rPr>
            </w:pPr>
            <w:r>
              <w:rPr>
                <w:sz w:val="4"/>
                <w:szCs w:val="4"/>
              </w:rPr>
            </w:r>
          </w:p>
        </w:tc>
        <w:tc>
          <w:tcPr>
            <w:tcW w:w="1865" w:type="dxa"/>
            <w:gridSpan w:val="2"/>
            <w:tcBorders/>
            <w:shd w:fill="CCDEF1" w:val="clear"/>
            <w:vAlign w:val="center"/>
          </w:tcPr>
          <w:p>
            <w:pPr>
              <w:pStyle w:val="TableContents"/>
              <w:spacing w:before="0" w:after="283"/>
              <w:rPr>
                <w:sz w:val="4"/>
                <w:szCs w:val="4"/>
              </w:rPr>
            </w:pPr>
            <w:r>
              <w:rPr>
                <w:sz w:val="4"/>
                <w:szCs w:val="4"/>
              </w:rPr>
            </w:r>
          </w:p>
        </w:tc>
      </w:tr>
      <w:tr>
        <w:trPr/>
        <w:tc>
          <w:tcPr>
            <w:tcW w:w="2060" w:type="dxa"/>
            <w:tcBorders/>
            <w:shd w:fill="CCDEF1" w:val="clear"/>
            <w:vAlign w:val="center"/>
          </w:tcPr>
          <w:p>
            <w:pPr>
              <w:pStyle w:val="TableContents"/>
              <w:spacing w:lineRule="atLeast" w:line="260" w:before="0" w:after="0"/>
              <w:rPr/>
            </w:pPr>
            <w:r>
              <w:rPr/>
              <w:t> </w:t>
            </w:r>
            <w:r>
              <w:rPr>
                <w:rFonts w:ascii="ARIAL" w:hAnsi="ARIAL"/>
                <w:sz w:val="19"/>
              </w:rPr>
              <w:t>Adjusted EBITDA*</w:t>
            </w:r>
          </w:p>
        </w:tc>
        <w:tc>
          <w:tcPr>
            <w:tcW w:w="120" w:type="dxa"/>
            <w:tcBorders/>
            <w:shd w:fill="CCDEF1" w:val="clear"/>
            <w:vAlign w:val="center"/>
          </w:tcPr>
          <w:p>
            <w:pPr>
              <w:pStyle w:val="TableContents"/>
              <w:spacing w:before="0" w:after="283"/>
              <w:rPr/>
            </w:pPr>
            <w:r>
              <w:rPr/>
              <w:t>  </w:t>
            </w:r>
          </w:p>
        </w:tc>
        <w:tc>
          <w:tcPr>
            <w:tcW w:w="1190" w:type="dxa"/>
            <w:tcBorders/>
            <w:shd w:fill="CCDEF1" w:val="clear"/>
            <w:vAlign w:val="center"/>
          </w:tcPr>
          <w:p>
            <w:pPr>
              <w:pStyle w:val="TableContents"/>
              <w:spacing w:lineRule="atLeast" w:line="260" w:before="0" w:after="0"/>
              <w:jc w:val="center"/>
              <w:rPr>
                <w:rFonts w:ascii="ARIAL" w:hAnsi="ARIAL"/>
                <w:sz w:val="19"/>
              </w:rPr>
            </w:pPr>
            <w:r>
              <w:rPr>
                <w:rFonts w:ascii="ARIAL" w:hAnsi="ARIAL"/>
                <w:sz w:val="19"/>
              </w:rPr>
              <w:t>50%</w:t>
            </w:r>
          </w:p>
        </w:tc>
        <w:tc>
          <w:tcPr>
            <w:tcW w:w="120" w:type="dxa"/>
            <w:tcBorders/>
            <w:shd w:fill="CCDEF1" w:val="clear"/>
            <w:vAlign w:val="center"/>
          </w:tcPr>
          <w:p>
            <w:pPr>
              <w:pStyle w:val="TableContents"/>
              <w:spacing w:before="0" w:after="283"/>
              <w:rPr/>
            </w:pPr>
            <w:r>
              <w:rPr/>
              <w:t>  </w:t>
            </w:r>
          </w:p>
        </w:tc>
        <w:tc>
          <w:tcPr>
            <w:tcW w:w="1685" w:type="dxa"/>
            <w:tcBorders/>
            <w:shd w:fill="CCDEF1" w:val="clear"/>
            <w:vAlign w:val="center"/>
          </w:tcPr>
          <w:p>
            <w:pPr>
              <w:pStyle w:val="TableContents"/>
              <w:spacing w:lineRule="atLeast" w:line="260" w:before="0" w:after="0"/>
              <w:jc w:val="center"/>
              <w:rPr>
                <w:rFonts w:ascii="ARIAL" w:hAnsi="ARIAL"/>
                <w:sz w:val="19"/>
              </w:rPr>
            </w:pPr>
            <w:r>
              <w:rPr>
                <w:rFonts w:ascii="ARIAL" w:hAnsi="ARIAL"/>
                <w:sz w:val="19"/>
              </w:rPr>
              <w:t>$4.646 billion</w:t>
            </w:r>
          </w:p>
        </w:tc>
        <w:tc>
          <w:tcPr>
            <w:tcW w:w="120" w:type="dxa"/>
            <w:tcBorders/>
            <w:shd w:fill="CCDEF1" w:val="clear"/>
            <w:vAlign w:val="center"/>
          </w:tcPr>
          <w:p>
            <w:pPr>
              <w:pStyle w:val="TableContents"/>
              <w:spacing w:before="0" w:after="283"/>
              <w:rPr/>
            </w:pPr>
            <w:r>
              <w:rPr/>
              <w:t>  </w:t>
            </w:r>
          </w:p>
        </w:tc>
        <w:tc>
          <w:tcPr>
            <w:tcW w:w="1745" w:type="dxa"/>
            <w:tcBorders/>
            <w:shd w:fill="CCDEF1" w:val="clear"/>
            <w:vAlign w:val="center"/>
          </w:tcPr>
          <w:p>
            <w:pPr>
              <w:pStyle w:val="TableContents"/>
              <w:spacing w:lineRule="atLeast" w:line="260" w:before="0" w:after="0"/>
              <w:jc w:val="center"/>
              <w:rPr>
                <w:rFonts w:ascii="ARIAL" w:hAnsi="ARIAL"/>
                <w:sz w:val="19"/>
              </w:rPr>
            </w:pPr>
            <w:r>
              <w:rPr>
                <w:rFonts w:ascii="ARIAL" w:hAnsi="ARIAL"/>
                <w:sz w:val="19"/>
              </w:rPr>
              <w:t>$5.046 billion</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1310" w:type="dxa"/>
            <w:gridSpan w:val="2"/>
            <w:tcBorders/>
            <w:shd w:fill="auto" w:val="clear"/>
            <w:vAlign w:val="center"/>
          </w:tcPr>
          <w:p>
            <w:pPr>
              <w:pStyle w:val="TableContents"/>
              <w:spacing w:before="0" w:after="283"/>
              <w:rPr>
                <w:sz w:val="4"/>
                <w:szCs w:val="4"/>
              </w:rPr>
            </w:pPr>
            <w:r>
              <w:rPr>
                <w:sz w:val="4"/>
                <w:szCs w:val="4"/>
              </w:rPr>
            </w:r>
          </w:p>
        </w:tc>
        <w:tc>
          <w:tcPr>
            <w:tcW w:w="1805" w:type="dxa"/>
            <w:gridSpan w:val="2"/>
            <w:tcBorders/>
            <w:shd w:fill="auto" w:val="clear"/>
            <w:vAlign w:val="center"/>
          </w:tcPr>
          <w:p>
            <w:pPr>
              <w:pStyle w:val="TableContents"/>
              <w:spacing w:before="0" w:after="283"/>
              <w:rPr>
                <w:sz w:val="4"/>
                <w:szCs w:val="4"/>
              </w:rPr>
            </w:pPr>
            <w:r>
              <w:rPr>
                <w:sz w:val="4"/>
                <w:szCs w:val="4"/>
              </w:rPr>
            </w:r>
          </w:p>
        </w:tc>
        <w:tc>
          <w:tcPr>
            <w:tcW w:w="1865" w:type="dxa"/>
            <w:gridSpan w:val="2"/>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lineRule="atLeast" w:line="260" w:before="0" w:after="0"/>
              <w:rPr/>
            </w:pPr>
            <w:r>
              <w:rPr/>
              <w:t> </w:t>
            </w:r>
            <w:r>
              <w:rPr>
                <w:rFonts w:ascii="ARIAL" w:hAnsi="ARIAL"/>
                <w:sz w:val="19"/>
              </w:rPr>
              <w:t>Operating Cash Flow*</w:t>
            </w:r>
          </w:p>
        </w:tc>
        <w:tc>
          <w:tcPr>
            <w:tcW w:w="120"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lineRule="atLeast" w:line="260" w:before="0" w:after="0"/>
              <w:jc w:val="center"/>
              <w:rPr>
                <w:rFonts w:ascii="ARIAL" w:hAnsi="ARIAL"/>
                <w:sz w:val="19"/>
              </w:rPr>
            </w:pPr>
            <w:r>
              <w:rPr>
                <w:rFonts w:ascii="ARIAL" w:hAnsi="ARIAL"/>
                <w:sz w:val="19"/>
              </w:rPr>
              <w:t>50%</w:t>
            </w:r>
          </w:p>
        </w:tc>
        <w:tc>
          <w:tcPr>
            <w:tcW w:w="120" w:type="dxa"/>
            <w:tcBorders/>
            <w:shd w:fill="auto" w:val="clear"/>
            <w:vAlign w:val="center"/>
          </w:tcPr>
          <w:p>
            <w:pPr>
              <w:pStyle w:val="TableContents"/>
              <w:spacing w:before="0" w:after="283"/>
              <w:rPr/>
            </w:pPr>
            <w:r>
              <w:rPr/>
              <w:t>  </w:t>
            </w:r>
          </w:p>
        </w:tc>
        <w:tc>
          <w:tcPr>
            <w:tcW w:w="1685" w:type="dxa"/>
            <w:tcBorders/>
            <w:shd w:fill="auto" w:val="clear"/>
            <w:vAlign w:val="center"/>
          </w:tcPr>
          <w:p>
            <w:pPr>
              <w:pStyle w:val="TableContents"/>
              <w:spacing w:lineRule="atLeast" w:line="200" w:before="0" w:after="0"/>
              <w:jc w:val="center"/>
              <w:rPr>
                <w:rFonts w:ascii="ARIAL" w:hAnsi="ARIAL"/>
                <w:sz w:val="19"/>
              </w:rPr>
            </w:pPr>
            <w:r>
              <w:rPr>
                <w:rFonts w:ascii="ARIAL" w:hAnsi="ARIAL"/>
                <w:sz w:val="19"/>
              </w:rPr>
              <w:t>50th Percentile</w:t>
            </w:r>
          </w:p>
        </w:tc>
        <w:tc>
          <w:tcPr>
            <w:tcW w:w="120"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lineRule="atLeast" w:line="200" w:before="0" w:after="0"/>
              <w:jc w:val="center"/>
              <w:rPr>
                <w:rFonts w:ascii="ARIAL" w:hAnsi="ARIAL"/>
                <w:sz w:val="19"/>
              </w:rPr>
            </w:pPr>
            <w:r>
              <w:rPr>
                <w:rFonts w:ascii="ARIAL" w:hAnsi="ARIAL"/>
                <w:sz w:val="19"/>
              </w:rPr>
              <w:t>75th Percentile</w:t>
            </w:r>
          </w:p>
        </w:tc>
      </w:tr>
    </w:tbl>
    <w:tbl>
      <w:tblPr>
        <w:tblW w:w="1735" w:type="dxa"/>
        <w:jc w:val="left"/>
        <w:tblInd w:w="0" w:type="dxa"/>
        <w:tblCellMar>
          <w:top w:w="0" w:type="dxa"/>
          <w:left w:w="0" w:type="dxa"/>
          <w:bottom w:w="0" w:type="dxa"/>
          <w:right w:w="0" w:type="dxa"/>
        </w:tblCellMar>
      </w:tblPr>
      <w:tblGrid>
        <w:gridCol w:w="155"/>
        <w:gridCol w:w="1580"/>
      </w:tblGrid>
      <w:tr>
        <w:trPr/>
        <w:tc>
          <w:tcPr>
            <w:tcW w:w="155" w:type="dxa"/>
            <w:tcBorders/>
            <w:shd w:fill="auto" w:val="clear"/>
            <w:vAlign w:val="center"/>
          </w:tcPr>
          <w:p>
            <w:pPr>
              <w:pStyle w:val="TableContents"/>
              <w:spacing w:before="0" w:after="283"/>
              <w:jc w:val="left"/>
              <w:rPr/>
            </w:pPr>
            <w:r>
              <w:rPr/>
              <w:t>*</w:t>
            </w:r>
          </w:p>
        </w:tc>
        <w:tc>
          <w:tcPr>
            <w:tcW w:w="1580" w:type="dxa"/>
            <w:tcBorders/>
            <w:shd w:fill="auto" w:val="clear"/>
            <w:vAlign w:val="center"/>
          </w:tcPr>
          <w:p>
            <w:pPr>
              <w:pStyle w:val="TableContents"/>
              <w:spacing w:before="0" w:after="0"/>
              <w:jc w:val="left"/>
              <w:rPr>
                <w:rFonts w:ascii="ARIAL" w:hAnsi="ARIAL"/>
                <w:sz w:val="16"/>
              </w:rPr>
            </w:pPr>
            <w:r>
              <w:rPr>
                <w:rFonts w:ascii="ARIAL" w:hAnsi="ARIAL"/>
                <w:sz w:val="16"/>
              </w:rPr>
              <w:t xml:space="preserve">As described above. </w:t>
            </w:r>
          </w:p>
        </w:tc>
      </w:tr>
    </w:tbl>
    <w:p>
      <w:pPr>
        <w:pStyle w:val="TextBody"/>
        <w:spacing w:before="240" w:after="0"/>
        <w:jc w:val="left"/>
        <w:rPr>
          <w:rFonts w:ascii="ARIAL" w:hAnsi="ARIAL"/>
          <w:b/>
          <w:color w:val="005CB9"/>
          <w:sz w:val="20"/>
        </w:rPr>
      </w:pPr>
      <w:r>
        <w:rPr>
          <w:rFonts w:ascii="ARIAL" w:hAnsi="ARIAL"/>
          <w:b/>
          <w:color w:val="005CB9"/>
          <w:sz w:val="20"/>
        </w:rPr>
        <w:t xml:space="preserve">January 2021 Awards </w:t>
      </w:r>
    </w:p>
    <w:p>
      <w:pPr>
        <w:pStyle w:val="TextBody"/>
        <w:spacing w:before="120" w:after="0"/>
        <w:jc w:val="left"/>
        <w:rPr>
          <w:rFonts w:ascii="ARIAL" w:hAnsi="ARIAL"/>
          <w:sz w:val="19"/>
        </w:rPr>
      </w:pPr>
      <w:r>
        <w:rPr>
          <w:rFonts w:ascii="ARIAL" w:hAnsi="ARIAL"/>
          <w:sz w:val="19"/>
        </w:rPr>
        <w:t xml:space="preserve">In January 2021, Messrs. Crisci, Stipancich and Conley were awarded 9,914, 5,901, and 5,960, performance-based restricted shares, respectively. These awards were subject to the below performance criteria for the 24-month performance period of October 2020 through September 2022. Fifty percent of these awards vested in November 2022 following the Compensation Committee’s certification of the satisfaction of both of the performance criteria above the target payout threshold. </w:t>
      </w:r>
    </w:p>
    <w:p>
      <w:pPr>
        <w:pStyle w:val="TextBody"/>
        <w:spacing w:before="0" w:after="0"/>
        <w:jc w:val="left"/>
        <w:rPr/>
      </w:pPr>
      <w:r>
        <w:rPr/>
        <w:t> </w:t>
      </w:r>
    </w:p>
    <w:tbl>
      <w:tblPr>
        <w:tblW w:w="7040" w:type="dxa"/>
        <w:jc w:val="left"/>
        <w:tblInd w:w="0" w:type="dxa"/>
        <w:tblCellMar>
          <w:top w:w="0" w:type="dxa"/>
          <w:left w:w="0" w:type="dxa"/>
          <w:bottom w:w="0" w:type="dxa"/>
          <w:right w:w="0" w:type="dxa"/>
        </w:tblCellMar>
      </w:tblPr>
      <w:tblGrid>
        <w:gridCol w:w="2060"/>
        <w:gridCol w:w="120"/>
        <w:gridCol w:w="1190"/>
        <w:gridCol w:w="120"/>
        <w:gridCol w:w="1685"/>
        <w:gridCol w:w="120"/>
        <w:gridCol w:w="1745"/>
      </w:tblGrid>
      <w:tr>
        <w:trPr/>
        <w:tc>
          <w:tcPr>
            <w:tcW w:w="20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r>
      <w:tr>
        <w:trPr/>
        <w:tc>
          <w:tcPr>
            <w:tcW w:w="2060" w:type="dxa"/>
            <w:tcBorders/>
            <w:shd w:fill="005CB9" w:val="clear"/>
            <w:vAlign w:val="center"/>
          </w:tcPr>
          <w:p>
            <w:pPr>
              <w:pStyle w:val="TableContents"/>
              <w:spacing w:before="0" w:after="283"/>
              <w:jc w:val="center"/>
              <w:rPr>
                <w:color w:val="FFFFFF"/>
              </w:rPr>
            </w:pPr>
            <w:r>
              <w:rPr>
                <w:color w:val="FFFFFF"/>
              </w:rPr>
              <w:t> </w:t>
            </w:r>
            <w:r>
              <w:rPr>
                <w:color w:val="FFFFFF"/>
              </w:rPr>
              <w:t>Performance Criteria</w:t>
            </w:r>
          </w:p>
        </w:tc>
        <w:tc>
          <w:tcPr>
            <w:tcW w:w="120" w:type="dxa"/>
            <w:tcBorders/>
            <w:shd w:fill="005CB9" w:val="clear"/>
            <w:vAlign w:val="center"/>
          </w:tcPr>
          <w:p>
            <w:pPr>
              <w:pStyle w:val="TableContents"/>
              <w:spacing w:before="0" w:after="283"/>
              <w:rPr/>
            </w:pPr>
            <w:r>
              <w:rPr/>
              <w:t>  </w:t>
            </w:r>
          </w:p>
        </w:tc>
        <w:tc>
          <w:tcPr>
            <w:tcW w:w="1190" w:type="dxa"/>
            <w:tcBorders/>
            <w:shd w:fill="005CB9" w:val="clear"/>
            <w:vAlign w:val="center"/>
          </w:tcPr>
          <w:p>
            <w:pPr>
              <w:pStyle w:val="TableContents"/>
              <w:spacing w:before="0" w:after="283"/>
              <w:jc w:val="center"/>
              <w:rPr>
                <w:color w:val="FFFFFF"/>
              </w:rPr>
            </w:pPr>
            <w:r>
              <w:rPr>
                <w:color w:val="FFFFFF"/>
              </w:rPr>
              <w:t>    </w:t>
            </w:r>
            <w:r>
              <w:rPr>
                <w:color w:val="FFFFFF"/>
              </w:rPr>
              <w:t>Weight    </w:t>
            </w:r>
          </w:p>
        </w:tc>
        <w:tc>
          <w:tcPr>
            <w:tcW w:w="120" w:type="dxa"/>
            <w:tcBorders/>
            <w:shd w:fill="005CB9" w:val="clear"/>
            <w:vAlign w:val="center"/>
          </w:tcPr>
          <w:p>
            <w:pPr>
              <w:pStyle w:val="TableContents"/>
              <w:spacing w:before="0" w:after="283"/>
              <w:rPr/>
            </w:pPr>
            <w:r>
              <w:rPr/>
              <w:t>  </w:t>
            </w:r>
          </w:p>
        </w:tc>
        <w:tc>
          <w:tcPr>
            <w:tcW w:w="1685" w:type="dxa"/>
            <w:tcBorders/>
            <w:shd w:fill="005CB9" w:val="clear"/>
            <w:vAlign w:val="center"/>
          </w:tcPr>
          <w:p>
            <w:pPr>
              <w:pStyle w:val="TableContents"/>
              <w:spacing w:before="0" w:after="0"/>
              <w:jc w:val="center"/>
              <w:rPr>
                <w:rFonts w:ascii="arial" w:hAnsi="arial"/>
                <w:color w:val="FFFFFF"/>
                <w:sz w:val="16"/>
              </w:rPr>
            </w:pPr>
            <w:r>
              <w:rPr>
                <w:rFonts w:ascii="arial" w:hAnsi="arial"/>
                <w:color w:val="FFFFFF"/>
                <w:sz w:val="16"/>
              </w:rPr>
              <w:t>Minimum Threshold for</w:t>
            </w:r>
          </w:p>
          <w:p>
            <w:pPr>
              <w:pStyle w:val="TableContents"/>
              <w:spacing w:before="0" w:after="20"/>
              <w:jc w:val="center"/>
              <w:rPr>
                <w:rFonts w:ascii="arial" w:hAnsi="arial"/>
                <w:color w:val="FFFFFF"/>
                <w:sz w:val="16"/>
              </w:rPr>
            </w:pPr>
            <w:r>
              <w:rPr>
                <w:rFonts w:ascii="arial" w:hAnsi="arial"/>
                <w:color w:val="FFFFFF"/>
                <w:sz w:val="16"/>
              </w:rPr>
              <w:t>Payout</w:t>
            </w:r>
          </w:p>
        </w:tc>
        <w:tc>
          <w:tcPr>
            <w:tcW w:w="120" w:type="dxa"/>
            <w:tcBorders/>
            <w:shd w:fill="005CB9" w:val="clear"/>
            <w:vAlign w:val="center"/>
          </w:tcPr>
          <w:p>
            <w:pPr>
              <w:pStyle w:val="TableContents"/>
              <w:spacing w:before="0" w:after="283"/>
              <w:rPr/>
            </w:pPr>
            <w:r>
              <w:rPr/>
              <w:t>  </w:t>
            </w:r>
          </w:p>
        </w:tc>
        <w:tc>
          <w:tcPr>
            <w:tcW w:w="1745" w:type="dxa"/>
            <w:tcBorders/>
            <w:shd w:fill="005CB9" w:val="clear"/>
            <w:vAlign w:val="center"/>
          </w:tcPr>
          <w:p>
            <w:pPr>
              <w:pStyle w:val="TableContents"/>
              <w:spacing w:before="0" w:after="0"/>
              <w:jc w:val="center"/>
              <w:rPr>
                <w:rFonts w:ascii="arial" w:hAnsi="arial"/>
                <w:color w:val="FFFFFF"/>
                <w:sz w:val="16"/>
              </w:rPr>
            </w:pPr>
            <w:r>
              <w:rPr>
                <w:rFonts w:ascii="arial" w:hAnsi="arial"/>
                <w:color w:val="FFFFFF"/>
                <w:sz w:val="16"/>
              </w:rPr>
              <w:t>Performance for Target</w:t>
            </w:r>
          </w:p>
          <w:p>
            <w:pPr>
              <w:pStyle w:val="TableContents"/>
              <w:spacing w:before="0" w:after="20"/>
              <w:jc w:val="center"/>
              <w:rPr>
                <w:rFonts w:ascii="arial" w:hAnsi="arial"/>
                <w:color w:val="FFFFFF"/>
                <w:sz w:val="16"/>
              </w:rPr>
            </w:pPr>
            <w:r>
              <w:rPr>
                <w:rFonts w:ascii="arial" w:hAnsi="arial"/>
                <w:color w:val="FFFFFF"/>
                <w:sz w:val="16"/>
              </w:rPr>
              <w:t>Payout</w:t>
            </w:r>
          </w:p>
        </w:tc>
      </w:tr>
      <w:tr>
        <w:trPr/>
        <w:tc>
          <w:tcPr>
            <w:tcW w:w="2060" w:type="dxa"/>
            <w:tcBorders/>
            <w:shd w:fill="CCDEF1" w:val="clear"/>
            <w:vAlign w:val="center"/>
          </w:tcPr>
          <w:p>
            <w:pPr>
              <w:pStyle w:val="TableContents"/>
              <w:spacing w:before="0" w:after="283"/>
              <w:rPr>
                <w:sz w:val="4"/>
                <w:szCs w:val="4"/>
              </w:rPr>
            </w:pPr>
            <w:r>
              <w:rPr>
                <w:sz w:val="4"/>
                <w:szCs w:val="4"/>
              </w:rPr>
            </w:r>
          </w:p>
        </w:tc>
        <w:tc>
          <w:tcPr>
            <w:tcW w:w="1310" w:type="dxa"/>
            <w:gridSpan w:val="2"/>
            <w:tcBorders/>
            <w:shd w:fill="CCDEF1" w:val="clear"/>
            <w:vAlign w:val="center"/>
          </w:tcPr>
          <w:p>
            <w:pPr>
              <w:pStyle w:val="TableContents"/>
              <w:spacing w:before="0" w:after="283"/>
              <w:rPr>
                <w:sz w:val="4"/>
                <w:szCs w:val="4"/>
              </w:rPr>
            </w:pPr>
            <w:r>
              <w:rPr>
                <w:sz w:val="4"/>
                <w:szCs w:val="4"/>
              </w:rPr>
            </w:r>
          </w:p>
        </w:tc>
        <w:tc>
          <w:tcPr>
            <w:tcW w:w="1805" w:type="dxa"/>
            <w:gridSpan w:val="2"/>
            <w:tcBorders/>
            <w:shd w:fill="CCDEF1" w:val="clear"/>
            <w:vAlign w:val="center"/>
          </w:tcPr>
          <w:p>
            <w:pPr>
              <w:pStyle w:val="TableContents"/>
              <w:spacing w:before="0" w:after="283"/>
              <w:rPr>
                <w:sz w:val="4"/>
                <w:szCs w:val="4"/>
              </w:rPr>
            </w:pPr>
            <w:r>
              <w:rPr>
                <w:sz w:val="4"/>
                <w:szCs w:val="4"/>
              </w:rPr>
            </w:r>
          </w:p>
        </w:tc>
        <w:tc>
          <w:tcPr>
            <w:tcW w:w="1865" w:type="dxa"/>
            <w:gridSpan w:val="2"/>
            <w:tcBorders/>
            <w:shd w:fill="CCDEF1" w:val="clear"/>
            <w:vAlign w:val="center"/>
          </w:tcPr>
          <w:p>
            <w:pPr>
              <w:pStyle w:val="TableContents"/>
              <w:spacing w:before="0" w:after="283"/>
              <w:rPr>
                <w:sz w:val="4"/>
                <w:szCs w:val="4"/>
              </w:rPr>
            </w:pPr>
            <w:r>
              <w:rPr>
                <w:sz w:val="4"/>
                <w:szCs w:val="4"/>
              </w:rPr>
            </w:r>
          </w:p>
        </w:tc>
      </w:tr>
      <w:tr>
        <w:trPr/>
        <w:tc>
          <w:tcPr>
            <w:tcW w:w="2060" w:type="dxa"/>
            <w:tcBorders/>
            <w:shd w:fill="CCDEF1" w:val="clear"/>
            <w:vAlign w:val="center"/>
          </w:tcPr>
          <w:p>
            <w:pPr>
              <w:pStyle w:val="TableContents"/>
              <w:spacing w:lineRule="atLeast" w:line="260" w:before="0" w:after="0"/>
              <w:rPr/>
            </w:pPr>
            <w:r>
              <w:rPr/>
              <w:t> </w:t>
            </w:r>
            <w:r>
              <w:rPr>
                <w:rFonts w:ascii="ARIAL" w:hAnsi="ARIAL"/>
                <w:sz w:val="19"/>
              </w:rPr>
              <w:t>Adjusted EBITDA*</w:t>
            </w:r>
          </w:p>
        </w:tc>
        <w:tc>
          <w:tcPr>
            <w:tcW w:w="120" w:type="dxa"/>
            <w:tcBorders/>
            <w:shd w:fill="CCDEF1" w:val="clear"/>
            <w:vAlign w:val="center"/>
          </w:tcPr>
          <w:p>
            <w:pPr>
              <w:pStyle w:val="TableContents"/>
              <w:spacing w:before="0" w:after="283"/>
              <w:rPr/>
            </w:pPr>
            <w:r>
              <w:rPr/>
              <w:t>  </w:t>
            </w:r>
          </w:p>
        </w:tc>
        <w:tc>
          <w:tcPr>
            <w:tcW w:w="1190" w:type="dxa"/>
            <w:tcBorders/>
            <w:shd w:fill="CCDEF1" w:val="clear"/>
            <w:vAlign w:val="center"/>
          </w:tcPr>
          <w:p>
            <w:pPr>
              <w:pStyle w:val="TableContents"/>
              <w:spacing w:lineRule="atLeast" w:line="260" w:before="0" w:after="0"/>
              <w:jc w:val="center"/>
              <w:rPr>
                <w:rFonts w:ascii="ARIAL" w:hAnsi="ARIAL"/>
                <w:sz w:val="19"/>
              </w:rPr>
            </w:pPr>
            <w:r>
              <w:rPr>
                <w:rFonts w:ascii="ARIAL" w:hAnsi="ARIAL"/>
                <w:sz w:val="19"/>
              </w:rPr>
              <w:t>50%</w:t>
            </w:r>
          </w:p>
        </w:tc>
        <w:tc>
          <w:tcPr>
            <w:tcW w:w="120" w:type="dxa"/>
            <w:tcBorders/>
            <w:shd w:fill="CCDEF1" w:val="clear"/>
            <w:vAlign w:val="center"/>
          </w:tcPr>
          <w:p>
            <w:pPr>
              <w:pStyle w:val="TableContents"/>
              <w:spacing w:before="0" w:after="283"/>
              <w:rPr/>
            </w:pPr>
            <w:r>
              <w:rPr/>
              <w:t>  </w:t>
            </w:r>
          </w:p>
        </w:tc>
        <w:tc>
          <w:tcPr>
            <w:tcW w:w="1685" w:type="dxa"/>
            <w:tcBorders/>
            <w:shd w:fill="CCDEF1" w:val="clear"/>
            <w:vAlign w:val="center"/>
          </w:tcPr>
          <w:p>
            <w:pPr>
              <w:pStyle w:val="TableContents"/>
              <w:spacing w:lineRule="atLeast" w:line="260" w:before="0" w:after="0"/>
              <w:jc w:val="center"/>
              <w:rPr>
                <w:rFonts w:ascii="ARIAL" w:hAnsi="ARIAL"/>
                <w:sz w:val="19"/>
              </w:rPr>
            </w:pPr>
            <w:r>
              <w:rPr>
                <w:rFonts w:ascii="ARIAL" w:hAnsi="ARIAL"/>
                <w:sz w:val="19"/>
              </w:rPr>
              <w:t>$3.366 billion</w:t>
            </w:r>
          </w:p>
        </w:tc>
        <w:tc>
          <w:tcPr>
            <w:tcW w:w="120" w:type="dxa"/>
            <w:tcBorders/>
            <w:shd w:fill="CCDEF1" w:val="clear"/>
            <w:vAlign w:val="center"/>
          </w:tcPr>
          <w:p>
            <w:pPr>
              <w:pStyle w:val="TableContents"/>
              <w:spacing w:before="0" w:after="283"/>
              <w:rPr/>
            </w:pPr>
            <w:r>
              <w:rPr/>
              <w:t>  </w:t>
            </w:r>
          </w:p>
        </w:tc>
        <w:tc>
          <w:tcPr>
            <w:tcW w:w="1745" w:type="dxa"/>
            <w:tcBorders/>
            <w:shd w:fill="CCDEF1" w:val="clear"/>
            <w:vAlign w:val="center"/>
          </w:tcPr>
          <w:p>
            <w:pPr>
              <w:pStyle w:val="TableContents"/>
              <w:spacing w:lineRule="atLeast" w:line="260" w:before="0" w:after="0"/>
              <w:jc w:val="center"/>
              <w:rPr>
                <w:rFonts w:ascii="ARIAL" w:hAnsi="ARIAL"/>
                <w:sz w:val="19"/>
              </w:rPr>
            </w:pPr>
            <w:r>
              <w:rPr>
                <w:rFonts w:ascii="ARIAL" w:hAnsi="ARIAL"/>
                <w:sz w:val="19"/>
              </w:rPr>
              <w:t>$3.633 billion</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1310" w:type="dxa"/>
            <w:gridSpan w:val="2"/>
            <w:tcBorders/>
            <w:shd w:fill="auto" w:val="clear"/>
            <w:vAlign w:val="center"/>
          </w:tcPr>
          <w:p>
            <w:pPr>
              <w:pStyle w:val="TableContents"/>
              <w:spacing w:before="0" w:after="283"/>
              <w:rPr>
                <w:sz w:val="4"/>
                <w:szCs w:val="4"/>
              </w:rPr>
            </w:pPr>
            <w:r>
              <w:rPr>
                <w:sz w:val="4"/>
                <w:szCs w:val="4"/>
              </w:rPr>
            </w:r>
          </w:p>
        </w:tc>
        <w:tc>
          <w:tcPr>
            <w:tcW w:w="1805" w:type="dxa"/>
            <w:gridSpan w:val="2"/>
            <w:tcBorders/>
            <w:shd w:fill="auto" w:val="clear"/>
            <w:vAlign w:val="center"/>
          </w:tcPr>
          <w:p>
            <w:pPr>
              <w:pStyle w:val="TableContents"/>
              <w:spacing w:before="0" w:after="283"/>
              <w:rPr>
                <w:sz w:val="4"/>
                <w:szCs w:val="4"/>
              </w:rPr>
            </w:pPr>
            <w:r>
              <w:rPr>
                <w:sz w:val="4"/>
                <w:szCs w:val="4"/>
              </w:rPr>
            </w:r>
          </w:p>
        </w:tc>
        <w:tc>
          <w:tcPr>
            <w:tcW w:w="1865" w:type="dxa"/>
            <w:gridSpan w:val="2"/>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lineRule="atLeast" w:line="260" w:before="0" w:after="0"/>
              <w:rPr/>
            </w:pPr>
            <w:r>
              <w:rPr/>
              <w:t> </w:t>
            </w:r>
            <w:r>
              <w:rPr>
                <w:rFonts w:ascii="ARIAL" w:hAnsi="ARIAL"/>
                <w:sz w:val="19"/>
              </w:rPr>
              <w:t>Operating Cash Flow*</w:t>
            </w:r>
          </w:p>
        </w:tc>
        <w:tc>
          <w:tcPr>
            <w:tcW w:w="120"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lineRule="atLeast" w:line="260" w:before="0" w:after="0"/>
              <w:jc w:val="center"/>
              <w:rPr>
                <w:rFonts w:ascii="ARIAL" w:hAnsi="ARIAL"/>
                <w:sz w:val="19"/>
              </w:rPr>
            </w:pPr>
            <w:r>
              <w:rPr>
                <w:rFonts w:ascii="ARIAL" w:hAnsi="ARIAL"/>
                <w:sz w:val="19"/>
              </w:rPr>
              <w:t>50%</w:t>
            </w:r>
          </w:p>
        </w:tc>
        <w:tc>
          <w:tcPr>
            <w:tcW w:w="120" w:type="dxa"/>
            <w:tcBorders/>
            <w:shd w:fill="auto" w:val="clear"/>
            <w:vAlign w:val="center"/>
          </w:tcPr>
          <w:p>
            <w:pPr>
              <w:pStyle w:val="TableContents"/>
              <w:spacing w:before="0" w:after="283"/>
              <w:rPr/>
            </w:pPr>
            <w:r>
              <w:rPr/>
              <w:t>  </w:t>
            </w:r>
          </w:p>
        </w:tc>
        <w:tc>
          <w:tcPr>
            <w:tcW w:w="1685" w:type="dxa"/>
            <w:tcBorders/>
            <w:shd w:fill="auto" w:val="clear"/>
            <w:vAlign w:val="center"/>
          </w:tcPr>
          <w:p>
            <w:pPr>
              <w:pStyle w:val="TableContents"/>
              <w:spacing w:lineRule="atLeast" w:line="200" w:before="0" w:after="0"/>
              <w:jc w:val="center"/>
              <w:rPr>
                <w:rFonts w:ascii="ARIAL" w:hAnsi="ARIAL"/>
                <w:sz w:val="19"/>
              </w:rPr>
            </w:pPr>
            <w:r>
              <w:rPr>
                <w:rFonts w:ascii="ARIAL" w:hAnsi="ARIAL"/>
                <w:sz w:val="19"/>
              </w:rPr>
              <w:t>50th Percentile</w:t>
            </w:r>
          </w:p>
        </w:tc>
        <w:tc>
          <w:tcPr>
            <w:tcW w:w="120"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lineRule="atLeast" w:line="200" w:before="0" w:after="0"/>
              <w:jc w:val="center"/>
              <w:rPr>
                <w:rFonts w:ascii="ARIAL" w:hAnsi="ARIAL"/>
                <w:sz w:val="19"/>
              </w:rPr>
            </w:pPr>
            <w:r>
              <w:rPr>
                <w:rFonts w:ascii="ARIAL" w:hAnsi="ARIAL"/>
                <w:sz w:val="19"/>
              </w:rPr>
              <w:t>75th Percentile</w:t>
            </w:r>
          </w:p>
        </w:tc>
      </w:tr>
    </w:tbl>
    <w:tbl>
      <w:tblPr>
        <w:tblW w:w="1735" w:type="dxa"/>
        <w:jc w:val="left"/>
        <w:tblInd w:w="0" w:type="dxa"/>
        <w:tblCellMar>
          <w:top w:w="0" w:type="dxa"/>
          <w:left w:w="0" w:type="dxa"/>
          <w:bottom w:w="0" w:type="dxa"/>
          <w:right w:w="0" w:type="dxa"/>
        </w:tblCellMar>
      </w:tblPr>
      <w:tblGrid>
        <w:gridCol w:w="155"/>
        <w:gridCol w:w="1580"/>
      </w:tblGrid>
      <w:tr>
        <w:trPr/>
        <w:tc>
          <w:tcPr>
            <w:tcW w:w="155" w:type="dxa"/>
            <w:tcBorders/>
            <w:shd w:fill="auto" w:val="clear"/>
            <w:vAlign w:val="center"/>
          </w:tcPr>
          <w:p>
            <w:pPr>
              <w:pStyle w:val="TableContents"/>
              <w:spacing w:before="0" w:after="283"/>
              <w:jc w:val="left"/>
              <w:rPr/>
            </w:pPr>
            <w:r>
              <w:rPr/>
              <w:t>*</w:t>
            </w:r>
          </w:p>
        </w:tc>
        <w:tc>
          <w:tcPr>
            <w:tcW w:w="1580" w:type="dxa"/>
            <w:tcBorders/>
            <w:shd w:fill="auto" w:val="clear"/>
            <w:vAlign w:val="center"/>
          </w:tcPr>
          <w:p>
            <w:pPr>
              <w:pStyle w:val="TableContents"/>
              <w:spacing w:before="0" w:after="0"/>
              <w:jc w:val="left"/>
              <w:rPr>
                <w:rFonts w:ascii="ARIAL" w:hAnsi="ARIAL"/>
                <w:sz w:val="16"/>
              </w:rPr>
            </w:pPr>
            <w:r>
              <w:rPr>
                <w:rFonts w:ascii="ARIAL" w:hAnsi="ARIAL"/>
                <w:sz w:val="16"/>
              </w:rPr>
              <w:t xml:space="preserve">As described above. </w:t>
            </w:r>
          </w:p>
        </w:tc>
      </w:tr>
    </w:tbl>
    <w:p>
      <w:pPr>
        <w:pStyle w:val="TextBody"/>
        <w:spacing w:before="240" w:after="0"/>
        <w:jc w:val="left"/>
        <w:rPr>
          <w:rFonts w:ascii="ARIAL" w:hAnsi="ARIAL"/>
          <w:sz w:val="19"/>
        </w:rPr>
      </w:pPr>
      <w:r>
        <w:rPr>
          <w:rFonts w:ascii="ARIAL" w:hAnsi="ARIAL"/>
          <w:sz w:val="19"/>
        </w:rPr>
        <w:t xml:space="preserve">The remaining 50% of Messrs. Crisci, Stipancich and Conley’s 2021 performance-based restricted share awards will vest in November 2023, subject to attainment of performance criteria applicable to the 36-month performance period of October 2020 through September 2023. </w: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38</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3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0" descr=""/>
                          <pic:cNvPicPr>
                            <a:picLocks noChangeAspect="1" noChangeArrowheads="1"/>
                          </pic:cNvPicPr>
                        </pic:nvPicPr>
                        <pic:blipFill>
                          <a:blip r:embed="rId91"/>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sz w:val="24"/>
        </w:rPr>
      </w:pPr>
      <w:bookmarkStart w:id="20" w:name="toc356364_17"/>
      <w:bookmarkEnd w:id="20"/>
      <w:r>
        <w:rPr>
          <w:rFonts w:ascii="ARIAL" w:hAnsi="ARIAL"/>
          <w:b/>
          <w:sz w:val="24"/>
        </w:rPr>
        <w:t xml:space="preserve">ADDITIONAL INFORMATION ABOUT OUR PROGRAM </w:t>
      </w:r>
    </w:p>
    <w:p>
      <w:pPr>
        <w:pStyle w:val="TextBody"/>
        <w:spacing w:before="120" w:after="0"/>
        <w:jc w:val="left"/>
        <w:rPr>
          <w:rFonts w:ascii="ARIAL" w:hAnsi="ARIAL"/>
          <w:sz w:val="19"/>
        </w:rPr>
      </w:pPr>
      <w:r>
        <w:rPr>
          <w:rFonts w:ascii="ARIAL" w:hAnsi="ARIAL"/>
          <w:sz w:val="19"/>
        </w:rPr>
        <w:t xml:space="preserve">Other arrangements and considerations important to a shareholder’s understanding of our overall executive compensation program are described below. </w:t>
      </w:r>
    </w:p>
    <w:p>
      <w:pPr>
        <w:pStyle w:val="TextBody"/>
        <w:spacing w:before="240" w:after="0"/>
        <w:jc w:val="left"/>
        <w:rPr>
          <w:rFonts w:ascii="ARIAL" w:hAnsi="ARIAL"/>
          <w:b/>
          <w:i/>
          <w:color w:val="005CB9"/>
          <w:sz w:val="20"/>
        </w:rPr>
      </w:pPr>
      <w:r>
        <w:rPr>
          <w:rFonts w:ascii="ARIAL" w:hAnsi="ARIAL"/>
          <w:b/>
          <w:i/>
          <w:color w:val="005CB9"/>
          <w:sz w:val="20"/>
        </w:rPr>
        <w:t xml:space="preserve">Share Ownership and Retention Guidelines </w:t>
      </w:r>
    </w:p>
    <w:p>
      <w:pPr>
        <w:pStyle w:val="TextBody"/>
        <w:spacing w:before="120" w:after="0"/>
        <w:jc w:val="left"/>
        <w:rPr>
          <w:rFonts w:ascii="ARIAL" w:hAnsi="ARIAL"/>
          <w:sz w:val="19"/>
        </w:rPr>
      </w:pPr>
      <w:r>
        <w:rPr>
          <w:rFonts w:ascii="ARIAL" w:hAnsi="ARIAL"/>
          <w:sz w:val="19"/>
        </w:rPr>
        <w:t xml:space="preserve">We believe named executive officers should have a significant equity interest in the Company. To promote equity ownership and further align the interests of our named executive officers with those of our shareholders, we adopted share ownership and retention guidelines for our named executive officers. The guidelines are expected to be achieved within five years. Until the ownership requirements are met, a named executive officer must retain 60% of any applicable shares received (on a net after tax basis) under our equity compensation program. In 2021, the Committee revised the guidelines to exclude the value of any “in the money” vested stock options for purposes of determining compliance with the guidelines. At the end of fiscal 2022, all named executive officers were in compliance with our share ownership guidelines.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3110230" cy="1449070"/>
                <wp:effectExtent l="0" t="0" r="0" b="0"/>
                <wp:wrapSquare wrapText="largest"/>
                <wp:docPr id="132" name="Frame41"/>
                <a:graphic xmlns:a="http://schemas.openxmlformats.org/drawingml/2006/main">
                  <a:graphicData uri="http://schemas.microsoft.com/office/word/2010/wordprocessingShape">
                    <wps:wsp>
                      <wps:cNvSpPr txBox="1"/>
                      <wps:spPr>
                        <a:xfrm>
                          <a:off x="0" y="0"/>
                          <a:ext cx="3110230" cy="1449070"/>
                        </a:xfrm>
                        <a:prstGeom prst="rect"/>
                      </wps:spPr>
                      <wps:txbx>
                        <w:txbxContent>
                          <w:tbl>
                            <w:tblPr>
                              <w:tblW w:w="4960" w:type="dxa"/>
                              <w:jc w:val="left"/>
                              <w:tblInd w:w="0" w:type="dxa"/>
                              <w:tblCellMar>
                                <w:top w:w="0" w:type="dxa"/>
                                <w:left w:w="0" w:type="dxa"/>
                                <w:bottom w:w="0" w:type="dxa"/>
                                <w:right w:w="0" w:type="dxa"/>
                              </w:tblCellMar>
                            </w:tblPr>
                            <w:tblGrid>
                              <w:gridCol w:w="2870"/>
                              <w:gridCol w:w="120"/>
                              <w:gridCol w:w="1970"/>
                            </w:tblGrid>
                            <w:tr>
                              <w:trPr/>
                              <w:tc>
                                <w:tcPr>
                                  <w:tcW w:w="2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70" w:type="dxa"/>
                                  <w:tcBorders/>
                                  <w:shd w:fill="auto" w:val="clear"/>
                                  <w:vAlign w:val="center"/>
                                </w:tcPr>
                                <w:p>
                                  <w:pPr>
                                    <w:pStyle w:val="TableContents"/>
                                    <w:spacing w:before="0" w:after="283"/>
                                    <w:rPr>
                                      <w:sz w:val="4"/>
                                      <w:szCs w:val="4"/>
                                    </w:rPr>
                                  </w:pPr>
                                  <w:r>
                                    <w:rPr>
                                      <w:sz w:val="4"/>
                                      <w:szCs w:val="4"/>
                                    </w:rPr>
                                  </w:r>
                                </w:p>
                              </w:tc>
                            </w:tr>
                            <w:tr>
                              <w:trPr/>
                              <w:tc>
                                <w:tcPr>
                                  <w:tcW w:w="2870" w:type="dxa"/>
                                  <w:tcBorders/>
                                  <w:shd w:fill="005CB9" w:val="clear"/>
                                  <w:vAlign w:val="center"/>
                                </w:tcPr>
                                <w:p>
                                  <w:pPr>
                                    <w:pStyle w:val="TableContents"/>
                                    <w:spacing w:lineRule="atLeast" w:line="260" w:before="0" w:after="20"/>
                                    <w:jc w:val="center"/>
                                    <w:rPr>
                                      <w:rFonts w:ascii="arial" w:hAnsi="arial"/>
                                      <w:color w:val="FFFFFF"/>
                                      <w:sz w:val="16"/>
                                    </w:rPr>
                                  </w:pPr>
                                  <w:r>
                                    <w:rPr>
                                      <w:rFonts w:ascii="arial" w:hAnsi="arial"/>
                                      <w:color w:val="FFFFFF"/>
                                      <w:sz w:val="16"/>
                                    </w:rPr>
                                    <w:t>Position</w:t>
                                  </w:r>
                                </w:p>
                              </w:tc>
                              <w:tc>
                                <w:tcPr>
                                  <w:tcW w:w="120" w:type="dxa"/>
                                  <w:tcBorders/>
                                  <w:shd w:fill="005CB9" w:val="clear"/>
                                  <w:vAlign w:val="center"/>
                                </w:tcPr>
                                <w:p>
                                  <w:pPr>
                                    <w:pStyle w:val="TableContents"/>
                                    <w:spacing w:before="0" w:after="283"/>
                                    <w:rPr/>
                                  </w:pPr>
                                  <w:r>
                                    <w:rPr/>
                                    <w:t>  </w:t>
                                  </w:r>
                                </w:p>
                              </w:tc>
                              <w:tc>
                                <w:tcPr>
                                  <w:tcW w:w="1970" w:type="dxa"/>
                                  <w:tcBorders/>
                                  <w:shd w:fill="005CB9" w:val="clear"/>
                                  <w:vAlign w:val="center"/>
                                </w:tcPr>
                                <w:p>
                                  <w:pPr>
                                    <w:pStyle w:val="TableContents"/>
                                    <w:spacing w:lineRule="atLeast" w:line="260" w:before="0" w:after="0"/>
                                    <w:jc w:val="center"/>
                                    <w:rPr>
                                      <w:rFonts w:ascii="arial" w:hAnsi="arial"/>
                                      <w:color w:val="FFFFFF"/>
                                      <w:sz w:val="16"/>
                                    </w:rPr>
                                  </w:pPr>
                                  <w:r>
                                    <w:rPr>
                                      <w:rFonts w:ascii="arial" w:hAnsi="arial"/>
                                      <w:color w:val="FFFFFF"/>
                                      <w:sz w:val="16"/>
                                    </w:rPr>
                                    <w:t>Stock Ownership Multiple  </w:t>
                                  </w:r>
                                </w:p>
                              </w:tc>
                            </w:tr>
                            <w:tr>
                              <w:trPr/>
                              <w:tc>
                                <w:tcPr>
                                  <w:tcW w:w="2870" w:type="dxa"/>
                                  <w:tcBorders/>
                                  <w:shd w:fill="auto" w:val="clear"/>
                                  <w:vAlign w:val="center"/>
                                </w:tcPr>
                                <w:p>
                                  <w:pPr>
                                    <w:pStyle w:val="TableContents"/>
                                    <w:spacing w:lineRule="atLeast" w:line="260" w:before="0" w:after="0"/>
                                    <w:rPr>
                                      <w:rFonts w:ascii="ARIAL" w:hAnsi="ARIAL"/>
                                      <w:sz w:val="19"/>
                                    </w:rPr>
                                  </w:pPr>
                                  <w:r>
                                    <w:rPr>
                                      <w:rFonts w:ascii="ARIAL" w:hAnsi="ARIAL"/>
                                      <w:sz w:val="19"/>
                                    </w:rPr>
                                    <w:t>CEO</w:t>
                                  </w:r>
                                </w:p>
                              </w:tc>
                              <w:tc>
                                <w:tcPr>
                                  <w:tcW w:w="120" w:type="dxa"/>
                                  <w:tcBorders/>
                                  <w:shd w:fill="auto" w:val="clear"/>
                                  <w:vAlign w:val="center"/>
                                </w:tcPr>
                                <w:p>
                                  <w:pPr>
                                    <w:pStyle w:val="TableContents"/>
                                    <w:spacing w:before="0" w:after="283"/>
                                    <w:rPr/>
                                  </w:pPr>
                                  <w:r>
                                    <w:rPr/>
                                    <w:t>  </w:t>
                                  </w:r>
                                </w:p>
                              </w:tc>
                              <w:tc>
                                <w:tcPr>
                                  <w:tcW w:w="1970" w:type="dxa"/>
                                  <w:tcBorders/>
                                  <w:shd w:fill="auto" w:val="clear"/>
                                  <w:vAlign w:val="center"/>
                                </w:tcPr>
                                <w:p>
                                  <w:pPr>
                                    <w:pStyle w:val="TableContents"/>
                                    <w:spacing w:lineRule="atLeast" w:line="260" w:before="0" w:after="0"/>
                                    <w:jc w:val="center"/>
                                    <w:rPr>
                                      <w:rFonts w:ascii="ARIAL" w:hAnsi="ARIAL"/>
                                      <w:sz w:val="19"/>
                                    </w:rPr>
                                  </w:pPr>
                                  <w:r>
                                    <w:rPr>
                                      <w:rFonts w:ascii="ARIAL" w:hAnsi="ARIAL"/>
                                      <w:sz w:val="19"/>
                                    </w:rPr>
                                    <w:t>7 times base salary </w:t>
                                  </w:r>
                                </w:p>
                              </w:tc>
                            </w:tr>
                            <w:tr>
                              <w:trPr/>
                              <w:tc>
                                <w:tcPr>
                                  <w:tcW w:w="2870" w:type="dxa"/>
                                  <w:tcBorders/>
                                  <w:shd w:fill="auto" w:val="clear"/>
                                  <w:vAlign w:val="center"/>
                                </w:tcPr>
                                <w:p>
                                  <w:pPr>
                                    <w:pStyle w:val="TableContents"/>
                                    <w:spacing w:lineRule="atLeast" w:line="260" w:before="0" w:after="0"/>
                                    <w:rPr>
                                      <w:rFonts w:ascii="ARIAL" w:hAnsi="ARIAL"/>
                                      <w:sz w:val="19"/>
                                    </w:rPr>
                                  </w:pPr>
                                  <w:r>
                                    <w:rPr>
                                      <w:rFonts w:ascii="ARIAL" w:hAnsi="ARIAL"/>
                                      <w:sz w:val="19"/>
                                    </w:rPr>
                                    <w:t>Other Named Executive Officers</w:t>
                                  </w:r>
                                </w:p>
                              </w:tc>
                              <w:tc>
                                <w:tcPr>
                                  <w:tcW w:w="120" w:type="dxa"/>
                                  <w:tcBorders/>
                                  <w:shd w:fill="auto" w:val="clear"/>
                                  <w:vAlign w:val="center"/>
                                </w:tcPr>
                                <w:p>
                                  <w:pPr>
                                    <w:pStyle w:val="TableContents"/>
                                    <w:spacing w:before="0" w:after="283"/>
                                    <w:rPr/>
                                  </w:pPr>
                                  <w:r>
                                    <w:rPr/>
                                    <w:t>  </w:t>
                                  </w:r>
                                </w:p>
                              </w:tc>
                              <w:tc>
                                <w:tcPr>
                                  <w:tcW w:w="1970" w:type="dxa"/>
                                  <w:tcBorders/>
                                  <w:shd w:fill="auto" w:val="clear"/>
                                  <w:vAlign w:val="center"/>
                                </w:tcPr>
                                <w:p>
                                  <w:pPr>
                                    <w:pStyle w:val="TableContents"/>
                                    <w:spacing w:lineRule="atLeast" w:line="260" w:before="0" w:after="0"/>
                                    <w:jc w:val="center"/>
                                    <w:rPr>
                                      <w:rFonts w:ascii="ARIAL" w:hAnsi="ARIAL"/>
                                      <w:sz w:val="19"/>
                                    </w:rPr>
                                  </w:pPr>
                                  <w:r>
                                    <w:rPr>
                                      <w:rFonts w:ascii="ARIAL" w:hAnsi="ARIAL"/>
                                      <w:sz w:val="19"/>
                                    </w:rPr>
                                    <w:t>3 times base salary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4.1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960" w:type="dxa"/>
                        <w:jc w:val="left"/>
                        <w:tblInd w:w="0" w:type="dxa"/>
                        <w:tblCellMar>
                          <w:top w:w="0" w:type="dxa"/>
                          <w:left w:w="0" w:type="dxa"/>
                          <w:bottom w:w="0" w:type="dxa"/>
                          <w:right w:w="0" w:type="dxa"/>
                        </w:tblCellMar>
                      </w:tblPr>
                      <w:tblGrid>
                        <w:gridCol w:w="2870"/>
                        <w:gridCol w:w="120"/>
                        <w:gridCol w:w="1970"/>
                      </w:tblGrid>
                      <w:tr>
                        <w:trPr/>
                        <w:tc>
                          <w:tcPr>
                            <w:tcW w:w="2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70" w:type="dxa"/>
                            <w:tcBorders/>
                            <w:shd w:fill="auto" w:val="clear"/>
                            <w:vAlign w:val="center"/>
                          </w:tcPr>
                          <w:p>
                            <w:pPr>
                              <w:pStyle w:val="TableContents"/>
                              <w:spacing w:before="0" w:after="283"/>
                              <w:rPr>
                                <w:sz w:val="4"/>
                                <w:szCs w:val="4"/>
                              </w:rPr>
                            </w:pPr>
                            <w:r>
                              <w:rPr>
                                <w:sz w:val="4"/>
                                <w:szCs w:val="4"/>
                              </w:rPr>
                            </w:r>
                          </w:p>
                        </w:tc>
                      </w:tr>
                      <w:tr>
                        <w:trPr/>
                        <w:tc>
                          <w:tcPr>
                            <w:tcW w:w="2870" w:type="dxa"/>
                            <w:tcBorders/>
                            <w:shd w:fill="005CB9" w:val="clear"/>
                            <w:vAlign w:val="center"/>
                          </w:tcPr>
                          <w:p>
                            <w:pPr>
                              <w:pStyle w:val="TableContents"/>
                              <w:spacing w:lineRule="atLeast" w:line="260" w:before="0" w:after="20"/>
                              <w:jc w:val="center"/>
                              <w:rPr>
                                <w:rFonts w:ascii="arial" w:hAnsi="arial"/>
                                <w:color w:val="FFFFFF"/>
                                <w:sz w:val="16"/>
                              </w:rPr>
                            </w:pPr>
                            <w:r>
                              <w:rPr>
                                <w:rFonts w:ascii="arial" w:hAnsi="arial"/>
                                <w:color w:val="FFFFFF"/>
                                <w:sz w:val="16"/>
                              </w:rPr>
                              <w:t>Position</w:t>
                            </w:r>
                          </w:p>
                        </w:tc>
                        <w:tc>
                          <w:tcPr>
                            <w:tcW w:w="120" w:type="dxa"/>
                            <w:tcBorders/>
                            <w:shd w:fill="005CB9" w:val="clear"/>
                            <w:vAlign w:val="center"/>
                          </w:tcPr>
                          <w:p>
                            <w:pPr>
                              <w:pStyle w:val="TableContents"/>
                              <w:spacing w:before="0" w:after="283"/>
                              <w:rPr/>
                            </w:pPr>
                            <w:r>
                              <w:rPr/>
                              <w:t>  </w:t>
                            </w:r>
                          </w:p>
                        </w:tc>
                        <w:tc>
                          <w:tcPr>
                            <w:tcW w:w="1970" w:type="dxa"/>
                            <w:tcBorders/>
                            <w:shd w:fill="005CB9" w:val="clear"/>
                            <w:vAlign w:val="center"/>
                          </w:tcPr>
                          <w:p>
                            <w:pPr>
                              <w:pStyle w:val="TableContents"/>
                              <w:spacing w:lineRule="atLeast" w:line="260" w:before="0" w:after="0"/>
                              <w:jc w:val="center"/>
                              <w:rPr>
                                <w:rFonts w:ascii="arial" w:hAnsi="arial"/>
                                <w:color w:val="FFFFFF"/>
                                <w:sz w:val="16"/>
                              </w:rPr>
                            </w:pPr>
                            <w:r>
                              <w:rPr>
                                <w:rFonts w:ascii="arial" w:hAnsi="arial"/>
                                <w:color w:val="FFFFFF"/>
                                <w:sz w:val="16"/>
                              </w:rPr>
                              <w:t>Stock Ownership Multiple  </w:t>
                            </w:r>
                          </w:p>
                        </w:tc>
                      </w:tr>
                      <w:tr>
                        <w:trPr/>
                        <w:tc>
                          <w:tcPr>
                            <w:tcW w:w="2870" w:type="dxa"/>
                            <w:tcBorders/>
                            <w:shd w:fill="auto" w:val="clear"/>
                            <w:vAlign w:val="center"/>
                          </w:tcPr>
                          <w:p>
                            <w:pPr>
                              <w:pStyle w:val="TableContents"/>
                              <w:spacing w:lineRule="atLeast" w:line="260" w:before="0" w:after="0"/>
                              <w:rPr>
                                <w:rFonts w:ascii="ARIAL" w:hAnsi="ARIAL"/>
                                <w:sz w:val="19"/>
                              </w:rPr>
                            </w:pPr>
                            <w:r>
                              <w:rPr>
                                <w:rFonts w:ascii="ARIAL" w:hAnsi="ARIAL"/>
                                <w:sz w:val="19"/>
                              </w:rPr>
                              <w:t>CEO</w:t>
                            </w:r>
                          </w:p>
                        </w:tc>
                        <w:tc>
                          <w:tcPr>
                            <w:tcW w:w="120" w:type="dxa"/>
                            <w:tcBorders/>
                            <w:shd w:fill="auto" w:val="clear"/>
                            <w:vAlign w:val="center"/>
                          </w:tcPr>
                          <w:p>
                            <w:pPr>
                              <w:pStyle w:val="TableContents"/>
                              <w:spacing w:before="0" w:after="283"/>
                              <w:rPr/>
                            </w:pPr>
                            <w:r>
                              <w:rPr/>
                              <w:t>  </w:t>
                            </w:r>
                          </w:p>
                        </w:tc>
                        <w:tc>
                          <w:tcPr>
                            <w:tcW w:w="1970" w:type="dxa"/>
                            <w:tcBorders/>
                            <w:shd w:fill="auto" w:val="clear"/>
                            <w:vAlign w:val="center"/>
                          </w:tcPr>
                          <w:p>
                            <w:pPr>
                              <w:pStyle w:val="TableContents"/>
                              <w:spacing w:lineRule="atLeast" w:line="260" w:before="0" w:after="0"/>
                              <w:jc w:val="center"/>
                              <w:rPr>
                                <w:rFonts w:ascii="ARIAL" w:hAnsi="ARIAL"/>
                                <w:sz w:val="19"/>
                              </w:rPr>
                            </w:pPr>
                            <w:r>
                              <w:rPr>
                                <w:rFonts w:ascii="ARIAL" w:hAnsi="ARIAL"/>
                                <w:sz w:val="19"/>
                              </w:rPr>
                              <w:t>7 times base salary </w:t>
                            </w:r>
                          </w:p>
                        </w:tc>
                      </w:tr>
                      <w:tr>
                        <w:trPr/>
                        <w:tc>
                          <w:tcPr>
                            <w:tcW w:w="2870" w:type="dxa"/>
                            <w:tcBorders/>
                            <w:shd w:fill="auto" w:val="clear"/>
                            <w:vAlign w:val="center"/>
                          </w:tcPr>
                          <w:p>
                            <w:pPr>
                              <w:pStyle w:val="TableContents"/>
                              <w:spacing w:lineRule="atLeast" w:line="260" w:before="0" w:after="0"/>
                              <w:rPr>
                                <w:rFonts w:ascii="ARIAL" w:hAnsi="ARIAL"/>
                                <w:sz w:val="19"/>
                              </w:rPr>
                            </w:pPr>
                            <w:r>
                              <w:rPr>
                                <w:rFonts w:ascii="ARIAL" w:hAnsi="ARIAL"/>
                                <w:sz w:val="19"/>
                              </w:rPr>
                              <w:t>Other Named Executive Officers</w:t>
                            </w:r>
                          </w:p>
                        </w:tc>
                        <w:tc>
                          <w:tcPr>
                            <w:tcW w:w="120" w:type="dxa"/>
                            <w:tcBorders/>
                            <w:shd w:fill="auto" w:val="clear"/>
                            <w:vAlign w:val="center"/>
                          </w:tcPr>
                          <w:p>
                            <w:pPr>
                              <w:pStyle w:val="TableContents"/>
                              <w:spacing w:before="0" w:after="283"/>
                              <w:rPr/>
                            </w:pPr>
                            <w:r>
                              <w:rPr/>
                              <w:t>  </w:t>
                            </w:r>
                          </w:p>
                        </w:tc>
                        <w:tc>
                          <w:tcPr>
                            <w:tcW w:w="1970" w:type="dxa"/>
                            <w:tcBorders/>
                            <w:shd w:fill="auto" w:val="clear"/>
                            <w:vAlign w:val="center"/>
                          </w:tcPr>
                          <w:p>
                            <w:pPr>
                              <w:pStyle w:val="TableContents"/>
                              <w:spacing w:lineRule="atLeast" w:line="260" w:before="0" w:after="0"/>
                              <w:jc w:val="center"/>
                              <w:rPr>
                                <w:rFonts w:ascii="ARIAL" w:hAnsi="ARIAL"/>
                                <w:sz w:val="19"/>
                              </w:rPr>
                            </w:pPr>
                            <w:r>
                              <w:rPr>
                                <w:rFonts w:ascii="ARIAL" w:hAnsi="ARIAL"/>
                                <w:sz w:val="19"/>
                              </w:rPr>
                              <w:t>3 times base salary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3175000" cy="1591310"/>
                <wp:effectExtent l="0" t="0" r="0" b="0"/>
                <wp:wrapSquare wrapText="largest"/>
                <wp:docPr id="133" name="Frame42"/>
                <a:graphic xmlns:a="http://schemas.openxmlformats.org/drawingml/2006/main">
                  <a:graphicData uri="http://schemas.microsoft.com/office/word/2010/wordprocessingShape">
                    <wps:wsp>
                      <wps:cNvSpPr txBox="1"/>
                      <wps:spPr>
                        <a:xfrm>
                          <a:off x="0" y="0"/>
                          <a:ext cx="3175000" cy="1591310"/>
                        </a:xfrm>
                        <a:prstGeom prst="rect"/>
                      </wps:spPr>
                      <wps:txbx>
                        <w:txbxContent>
                          <w:tbl>
                            <w:tblPr>
                              <w:tblW w:w="10205" w:type="dxa"/>
                              <w:jc w:val="left"/>
                              <w:tblInd w:w="0" w:type="dxa"/>
                              <w:tblCellMar>
                                <w:top w:w="0" w:type="dxa"/>
                                <w:left w:w="0" w:type="dxa"/>
                                <w:bottom w:w="0" w:type="dxa"/>
                                <w:right w:w="0" w:type="dxa"/>
                              </w:tblCellMar>
                            </w:tblPr>
                            <w:tblGrid>
                              <w:gridCol w:w="6567"/>
                              <w:gridCol w:w="120"/>
                              <w:gridCol w:w="3518"/>
                            </w:tblGrid>
                            <w:tr>
                              <w:trPr/>
                              <w:tc>
                                <w:tcPr>
                                  <w:tcW w:w="65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18" w:type="dxa"/>
                                  <w:tcBorders/>
                                  <w:shd w:fill="auto" w:val="clear"/>
                                  <w:vAlign w:val="center"/>
                                </w:tcPr>
                                <w:p>
                                  <w:pPr>
                                    <w:pStyle w:val="TableContents"/>
                                    <w:spacing w:before="0" w:after="283"/>
                                    <w:rPr>
                                      <w:sz w:val="4"/>
                                      <w:szCs w:val="4"/>
                                    </w:rPr>
                                  </w:pPr>
                                  <w:r>
                                    <w:rPr>
                                      <w:sz w:val="4"/>
                                      <w:szCs w:val="4"/>
                                    </w:rPr>
                                  </w:r>
                                </w:p>
                              </w:tc>
                            </w:tr>
                            <w:tr>
                              <w:trPr/>
                              <w:tc>
                                <w:tcPr>
                                  <w:tcW w:w="6567" w:type="dxa"/>
                                  <w:tcBorders/>
                                  <w:shd w:fill="005CB9" w:val="clear"/>
                                  <w:vAlign w:val="center"/>
                                </w:tcPr>
                                <w:p>
                                  <w:pPr>
                                    <w:pStyle w:val="TableContents"/>
                                    <w:spacing w:lineRule="atLeast" w:line="260" w:before="0" w:after="0"/>
                                    <w:jc w:val="center"/>
                                    <w:rPr>
                                      <w:rFonts w:ascii="arial" w:hAnsi="arial"/>
                                      <w:color w:val="FFFFFF"/>
                                      <w:sz w:val="16"/>
                                    </w:rPr>
                                  </w:pPr>
                                  <w:r>
                                    <w:rPr>
                                      <w:rFonts w:ascii="arial" w:hAnsi="arial"/>
                                      <w:color w:val="FFFFFF"/>
                                      <w:sz w:val="16"/>
                                    </w:rPr>
                                    <w:t>Shares Included</w:t>
                                  </w:r>
                                </w:p>
                              </w:tc>
                              <w:tc>
                                <w:tcPr>
                                  <w:tcW w:w="120" w:type="dxa"/>
                                  <w:tcBorders/>
                                  <w:shd w:fill="005CB9" w:val="clear"/>
                                  <w:vAlign w:val="center"/>
                                </w:tcPr>
                                <w:p>
                                  <w:pPr>
                                    <w:pStyle w:val="TableContents"/>
                                    <w:spacing w:before="0" w:after="283"/>
                                    <w:rPr/>
                                  </w:pPr>
                                  <w:r>
                                    <w:rPr/>
                                    <w:t>  </w:t>
                                  </w:r>
                                </w:p>
                              </w:tc>
                              <w:tc>
                                <w:tcPr>
                                  <w:tcW w:w="3518" w:type="dxa"/>
                                  <w:tcBorders/>
                                  <w:shd w:fill="005CB9" w:val="clear"/>
                                  <w:vAlign w:val="center"/>
                                </w:tcPr>
                                <w:p>
                                  <w:pPr>
                                    <w:pStyle w:val="TableContents"/>
                                    <w:spacing w:before="0" w:after="283"/>
                                    <w:jc w:val="center"/>
                                    <w:rPr>
                                      <w:color w:val="FFFFFF"/>
                                    </w:rPr>
                                  </w:pPr>
                                  <w:r>
                                    <w:rPr>
                                      <w:color w:val="FFFFFF"/>
                                    </w:rPr>
                                    <w:t>Shares Not Included</w:t>
                                  </w:r>
                                </w:p>
                              </w:tc>
                            </w:tr>
                            <w:tr>
                              <w:trPr/>
                              <w:tc>
                                <w:tcPr>
                                  <w:tcW w:w="6567" w:type="dxa"/>
                                  <w:tcBorders/>
                                  <w:shd w:fill="auto" w:val="clear"/>
                                  <w:vAlign w:val="center"/>
                                </w:tcPr>
                                <w:p>
                                  <w:pPr>
                                    <w:pStyle w:val="TableContents"/>
                                    <w:spacing w:before="0" w:after="0"/>
                                    <w:rPr/>
                                  </w:pPr>
                                  <w:r>
                                    <w:rPr/>
                                    <w:t>•  </w:t>
                                  </w:r>
                                  <w:r>
                                    <w:rPr>
                                      <w:rFonts w:ascii="ARIAL" w:hAnsi="ARIAL"/>
                                      <w:sz w:val="19"/>
                                    </w:rPr>
                                    <w:t>Shares in which the executive or his or her spouse or child has a direct or indirect interest; and</w:t>
                                  </w:r>
                                </w:p>
                                <w:p>
                                  <w:pPr>
                                    <w:pStyle w:val="TableContents"/>
                                    <w:spacing w:before="0" w:after="0"/>
                                    <w:rPr/>
                                  </w:pPr>
                                  <w:r>
                                    <w:rPr/>
                                    <w:t> </w:t>
                                  </w:r>
                                </w:p>
                                <w:p>
                                  <w:pPr>
                                    <w:pStyle w:val="TableContents"/>
                                    <w:spacing w:before="0" w:after="0"/>
                                    <w:rPr/>
                                  </w:pPr>
                                  <w:r>
                                    <w:rPr/>
                                    <w:t>•  </w:t>
                                  </w:r>
                                  <w:r>
                                    <w:rPr>
                                      <w:rFonts w:ascii="ARIAL" w:hAnsi="ARIAL"/>
                                      <w:sz w:val="19"/>
                                    </w:rPr>
                                    <w:t>Shares owned in 401(k), savings, and profit sharing plans.</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3518" w:type="dxa"/>
                                  <w:tcBorders/>
                                  <w:shd w:fill="auto" w:val="clear"/>
                                  <w:vAlign w:val="center"/>
                                </w:tcPr>
                                <w:p>
                                  <w:pPr>
                                    <w:pStyle w:val="TableContents"/>
                                    <w:spacing w:before="0" w:after="0"/>
                                    <w:rPr/>
                                  </w:pPr>
                                  <w:r>
                                    <w:rPr/>
                                    <w:t>•  </w:t>
                                  </w:r>
                                  <w:r>
                                    <w:rPr>
                                      <w:rFonts w:ascii="ARIAL" w:hAnsi="ARIAL"/>
                                      <w:sz w:val="19"/>
                                    </w:rPr>
                                    <w:t>Vested or unvested stock options; and</w:t>
                                  </w:r>
                                </w:p>
                                <w:p>
                                  <w:pPr>
                                    <w:pStyle w:val="TableContents"/>
                                    <w:spacing w:before="0" w:after="0"/>
                                    <w:rPr/>
                                  </w:pPr>
                                  <w:r>
                                    <w:rPr/>
                                    <w:t> </w:t>
                                  </w:r>
                                </w:p>
                                <w:p>
                                  <w:pPr>
                                    <w:pStyle w:val="TableContents"/>
                                    <w:spacing w:before="0" w:after="20"/>
                                    <w:rPr/>
                                  </w:pPr>
                                  <w:r>
                                    <w:rPr/>
                                    <w:t>•  </w:t>
                                  </w:r>
                                  <w:r>
                                    <w:rPr>
                                      <w:rFonts w:ascii="ARIAL" w:hAnsi="ARIAL"/>
                                      <w:sz w:val="19"/>
                                    </w:rPr>
                                    <w:t>Unvested performance-based equity awards.</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25.3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6567"/>
                        <w:gridCol w:w="120"/>
                        <w:gridCol w:w="3518"/>
                      </w:tblGrid>
                      <w:tr>
                        <w:trPr/>
                        <w:tc>
                          <w:tcPr>
                            <w:tcW w:w="65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18" w:type="dxa"/>
                            <w:tcBorders/>
                            <w:shd w:fill="auto" w:val="clear"/>
                            <w:vAlign w:val="center"/>
                          </w:tcPr>
                          <w:p>
                            <w:pPr>
                              <w:pStyle w:val="TableContents"/>
                              <w:spacing w:before="0" w:after="283"/>
                              <w:rPr>
                                <w:sz w:val="4"/>
                                <w:szCs w:val="4"/>
                              </w:rPr>
                            </w:pPr>
                            <w:r>
                              <w:rPr>
                                <w:sz w:val="4"/>
                                <w:szCs w:val="4"/>
                              </w:rPr>
                            </w:r>
                          </w:p>
                        </w:tc>
                      </w:tr>
                      <w:tr>
                        <w:trPr/>
                        <w:tc>
                          <w:tcPr>
                            <w:tcW w:w="6567" w:type="dxa"/>
                            <w:tcBorders/>
                            <w:shd w:fill="005CB9" w:val="clear"/>
                            <w:vAlign w:val="center"/>
                          </w:tcPr>
                          <w:p>
                            <w:pPr>
                              <w:pStyle w:val="TableContents"/>
                              <w:spacing w:lineRule="atLeast" w:line="260" w:before="0" w:after="0"/>
                              <w:jc w:val="center"/>
                              <w:rPr>
                                <w:rFonts w:ascii="arial" w:hAnsi="arial"/>
                                <w:color w:val="FFFFFF"/>
                                <w:sz w:val="16"/>
                              </w:rPr>
                            </w:pPr>
                            <w:r>
                              <w:rPr>
                                <w:rFonts w:ascii="arial" w:hAnsi="arial"/>
                                <w:color w:val="FFFFFF"/>
                                <w:sz w:val="16"/>
                              </w:rPr>
                              <w:t>Shares Included</w:t>
                            </w:r>
                          </w:p>
                        </w:tc>
                        <w:tc>
                          <w:tcPr>
                            <w:tcW w:w="120" w:type="dxa"/>
                            <w:tcBorders/>
                            <w:shd w:fill="005CB9" w:val="clear"/>
                            <w:vAlign w:val="center"/>
                          </w:tcPr>
                          <w:p>
                            <w:pPr>
                              <w:pStyle w:val="TableContents"/>
                              <w:spacing w:before="0" w:after="283"/>
                              <w:rPr/>
                            </w:pPr>
                            <w:r>
                              <w:rPr/>
                              <w:t>  </w:t>
                            </w:r>
                          </w:p>
                        </w:tc>
                        <w:tc>
                          <w:tcPr>
                            <w:tcW w:w="3518" w:type="dxa"/>
                            <w:tcBorders/>
                            <w:shd w:fill="005CB9" w:val="clear"/>
                            <w:vAlign w:val="center"/>
                          </w:tcPr>
                          <w:p>
                            <w:pPr>
                              <w:pStyle w:val="TableContents"/>
                              <w:spacing w:before="0" w:after="283"/>
                              <w:jc w:val="center"/>
                              <w:rPr>
                                <w:color w:val="FFFFFF"/>
                              </w:rPr>
                            </w:pPr>
                            <w:r>
                              <w:rPr>
                                <w:color w:val="FFFFFF"/>
                              </w:rPr>
                              <w:t>Shares Not Included</w:t>
                            </w:r>
                          </w:p>
                        </w:tc>
                      </w:tr>
                      <w:tr>
                        <w:trPr/>
                        <w:tc>
                          <w:tcPr>
                            <w:tcW w:w="6567" w:type="dxa"/>
                            <w:tcBorders/>
                            <w:shd w:fill="auto" w:val="clear"/>
                            <w:vAlign w:val="center"/>
                          </w:tcPr>
                          <w:p>
                            <w:pPr>
                              <w:pStyle w:val="TableContents"/>
                              <w:spacing w:before="0" w:after="0"/>
                              <w:rPr/>
                            </w:pPr>
                            <w:r>
                              <w:rPr/>
                              <w:t>•  </w:t>
                            </w:r>
                            <w:r>
                              <w:rPr>
                                <w:rFonts w:ascii="ARIAL" w:hAnsi="ARIAL"/>
                                <w:sz w:val="19"/>
                              </w:rPr>
                              <w:t>Shares in which the executive or his or her spouse or child has a direct or indirect interest; and</w:t>
                            </w:r>
                          </w:p>
                          <w:p>
                            <w:pPr>
                              <w:pStyle w:val="TableContents"/>
                              <w:spacing w:before="0" w:after="0"/>
                              <w:rPr/>
                            </w:pPr>
                            <w:r>
                              <w:rPr/>
                              <w:t> </w:t>
                            </w:r>
                          </w:p>
                          <w:p>
                            <w:pPr>
                              <w:pStyle w:val="TableContents"/>
                              <w:spacing w:before="0" w:after="0"/>
                              <w:rPr/>
                            </w:pPr>
                            <w:r>
                              <w:rPr/>
                              <w:t>•  </w:t>
                            </w:r>
                            <w:r>
                              <w:rPr>
                                <w:rFonts w:ascii="ARIAL" w:hAnsi="ARIAL"/>
                                <w:sz w:val="19"/>
                              </w:rPr>
                              <w:t>Shares owned in 401(k), savings, and profit sharing plans.</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3518" w:type="dxa"/>
                            <w:tcBorders/>
                            <w:shd w:fill="auto" w:val="clear"/>
                            <w:vAlign w:val="center"/>
                          </w:tcPr>
                          <w:p>
                            <w:pPr>
                              <w:pStyle w:val="TableContents"/>
                              <w:spacing w:before="0" w:after="0"/>
                              <w:rPr/>
                            </w:pPr>
                            <w:r>
                              <w:rPr/>
                              <w:t>•  </w:t>
                            </w:r>
                            <w:r>
                              <w:rPr>
                                <w:rFonts w:ascii="ARIAL" w:hAnsi="ARIAL"/>
                                <w:sz w:val="19"/>
                              </w:rPr>
                              <w:t>Vested or unvested stock options; and</w:t>
                            </w:r>
                          </w:p>
                          <w:p>
                            <w:pPr>
                              <w:pStyle w:val="TableContents"/>
                              <w:spacing w:before="0" w:after="0"/>
                              <w:rPr/>
                            </w:pPr>
                            <w:r>
                              <w:rPr/>
                              <w:t> </w:t>
                            </w:r>
                          </w:p>
                          <w:p>
                            <w:pPr>
                              <w:pStyle w:val="TableContents"/>
                              <w:spacing w:before="0" w:after="20"/>
                              <w:rPr/>
                            </w:pPr>
                            <w:r>
                              <w:rPr/>
                              <w:t>•  </w:t>
                            </w:r>
                            <w:r>
                              <w:rPr>
                                <w:rFonts w:ascii="ARIAL" w:hAnsi="ARIAL"/>
                                <w:sz w:val="19"/>
                              </w:rPr>
                              <w:t>Unvested performance-based equity awards.</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3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1" descr=""/>
                          <pic:cNvPicPr>
                            <a:picLocks noChangeAspect="1" noChangeArrowheads="1"/>
                          </pic:cNvPicPr>
                        </pic:nvPicPr>
                        <pic:blipFill>
                          <a:blip r:embed="rId92"/>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39</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3110230" cy="4502150"/>
                <wp:effectExtent l="0" t="0" r="0" b="0"/>
                <wp:wrapSquare wrapText="largest"/>
                <wp:docPr id="135" name="Frame43"/>
                <a:graphic xmlns:a="http://schemas.openxmlformats.org/drawingml/2006/main">
                  <a:graphicData uri="http://schemas.microsoft.com/office/word/2010/wordprocessingShape">
                    <wps:wsp>
                      <wps:cNvSpPr txBox="1"/>
                      <wps:spPr>
                        <a:xfrm>
                          <a:off x="0" y="0"/>
                          <a:ext cx="3110230" cy="4502150"/>
                        </a:xfrm>
                        <a:prstGeom prst="rect"/>
                      </wps:spPr>
                      <wps:txbx>
                        <w:txbxContent>
                          <w:p>
                            <w:pPr>
                              <w:pStyle w:val="TextBody"/>
                              <w:spacing w:before="0" w:after="0"/>
                              <w:rPr>
                                <w:rFonts w:ascii="ARIAL" w:hAnsi="ARIAL"/>
                                <w:b/>
                                <w:i/>
                                <w:color w:val="005CB9"/>
                                <w:sz w:val="20"/>
                              </w:rPr>
                            </w:pPr>
                            <w:r>
                              <w:rPr>
                                <w:rFonts w:ascii="ARIAL" w:hAnsi="ARIAL"/>
                                <w:b/>
                                <w:i/>
                                <w:color w:val="005CB9"/>
                                <w:sz w:val="20"/>
                              </w:rPr>
                              <w:t xml:space="preserve">Anti-Hedging and Anti-Pledging Policy </w:t>
                            </w:r>
                          </w:p>
                          <w:p>
                            <w:pPr>
                              <w:pStyle w:val="TextBody"/>
                              <w:spacing w:before="120" w:after="0"/>
                              <w:rPr>
                                <w:rFonts w:ascii="ARIAL" w:hAnsi="ARIAL"/>
                                <w:sz w:val="19"/>
                              </w:rPr>
                            </w:pPr>
                            <w:r>
                              <w:rPr>
                                <w:rFonts w:ascii="ARIAL" w:hAnsi="ARIAL"/>
                                <w:sz w:val="19"/>
                              </w:rPr>
                              <w:t xml:space="preserve">We prohibit our named executive officers and directors from engaging in transactions involving derivative instruments with respect to Company securities, and other securities immediately convertible or exchangeable into Company securities, and from pledging shares of Company common stock. The numbers of shares pledged as of the date of the adoption of the policy in January 2015 are excepted from this policy. Consistent with this exception, as of March 31, 2023, Christopher Wright directly held 35,208 shares in a margin account. In addition, 14,500 shares indirectly held by Mr. Wright (of which he has continuing beneficial ownership of 1%) are also held in a margin account. Mr. Wright is the only individual to whom this exception applies. </w:t>
                            </w:r>
                          </w:p>
                          <w:p>
                            <w:pPr>
                              <w:pStyle w:val="TextBody"/>
                              <w:spacing w:before="240" w:after="0"/>
                              <w:rPr>
                                <w:color w:val="005CB9"/>
                              </w:rPr>
                            </w:pPr>
                            <w:r>
                              <w:rPr>
                                <w:color w:val="005CB9"/>
                              </w:rPr>
                              <w:t>“</w:t>
                            </w:r>
                            <w:r>
                              <w:rPr>
                                <w:rFonts w:ascii="ARIAL" w:hAnsi="ARIAL"/>
                                <w:b/>
                                <w:i/>
                                <w:color w:val="005CB9"/>
                                <w:sz w:val="20"/>
                              </w:rPr>
                              <w:t xml:space="preserve">Clawback” Policy </w:t>
                            </w:r>
                          </w:p>
                          <w:p>
                            <w:pPr>
                              <w:pStyle w:val="TextBody"/>
                              <w:spacing w:before="120" w:after="0"/>
                              <w:rPr>
                                <w:rFonts w:ascii="ARIAL" w:hAnsi="ARIAL"/>
                                <w:sz w:val="19"/>
                              </w:rPr>
                            </w:pPr>
                            <w:r>
                              <w:rPr>
                                <w:rFonts w:ascii="ARIAL" w:hAnsi="ARIAL"/>
                                <w:sz w:val="19"/>
                              </w:rPr>
                              <w:t xml:space="preserve">In the event of a material restatement of the Company’s financial results, other than a restatement due to changes in accounting principles or applicable law or interpretations thereof, the Board will review the facts and circumstances that led to the requirement for the restatement and will take such actions, including clawback, as it deems necessary or appropriate. The Board will consider whether any named executive officer received cash or equity compensation based on the original financial statements because it appeared financial performance targets had been met, when in fact such targets were not achieved based on the restatement. The Board will also consider the accountability of any named executive officer whose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i/>
                          <w:color w:val="005CB9"/>
                          <w:sz w:val="20"/>
                        </w:rPr>
                      </w:pPr>
                      <w:r>
                        <w:rPr>
                          <w:rFonts w:ascii="ARIAL" w:hAnsi="ARIAL"/>
                          <w:b/>
                          <w:i/>
                          <w:color w:val="005CB9"/>
                          <w:sz w:val="20"/>
                        </w:rPr>
                        <w:t xml:space="preserve">Anti-Hedging and Anti-Pledging Policy </w:t>
                      </w:r>
                    </w:p>
                    <w:p>
                      <w:pPr>
                        <w:pStyle w:val="TextBody"/>
                        <w:spacing w:before="120" w:after="0"/>
                        <w:rPr>
                          <w:rFonts w:ascii="ARIAL" w:hAnsi="ARIAL"/>
                          <w:sz w:val="19"/>
                        </w:rPr>
                      </w:pPr>
                      <w:r>
                        <w:rPr>
                          <w:rFonts w:ascii="ARIAL" w:hAnsi="ARIAL"/>
                          <w:sz w:val="19"/>
                        </w:rPr>
                        <w:t xml:space="preserve">We prohibit our named executive officers and directors from engaging in transactions involving derivative instruments with respect to Company securities, and other securities immediately convertible or exchangeable into Company securities, and from pledging shares of Company common stock. The numbers of shares pledged as of the date of the adoption of the policy in January 2015 are excepted from this policy. Consistent with this exception, as of March 31, 2023, Christopher Wright directly held 35,208 shares in a margin account. In addition, 14,500 shares indirectly held by Mr. Wright (of which he has continuing beneficial ownership of 1%) are also held in a margin account. Mr. Wright is the only individual to whom this exception applies. </w:t>
                      </w:r>
                    </w:p>
                    <w:p>
                      <w:pPr>
                        <w:pStyle w:val="TextBody"/>
                        <w:spacing w:before="240" w:after="0"/>
                        <w:rPr>
                          <w:color w:val="005CB9"/>
                        </w:rPr>
                      </w:pPr>
                      <w:r>
                        <w:rPr>
                          <w:color w:val="005CB9"/>
                        </w:rPr>
                        <w:t>“</w:t>
                      </w:r>
                      <w:r>
                        <w:rPr>
                          <w:rFonts w:ascii="ARIAL" w:hAnsi="ARIAL"/>
                          <w:b/>
                          <w:i/>
                          <w:color w:val="005CB9"/>
                          <w:sz w:val="20"/>
                        </w:rPr>
                        <w:t xml:space="preserve">Clawback” Policy </w:t>
                      </w:r>
                    </w:p>
                    <w:p>
                      <w:pPr>
                        <w:pStyle w:val="TextBody"/>
                        <w:spacing w:before="120" w:after="0"/>
                        <w:rPr>
                          <w:rFonts w:ascii="ARIAL" w:hAnsi="ARIAL"/>
                          <w:sz w:val="19"/>
                        </w:rPr>
                      </w:pPr>
                      <w:r>
                        <w:rPr>
                          <w:rFonts w:ascii="ARIAL" w:hAnsi="ARIAL"/>
                          <w:sz w:val="19"/>
                        </w:rPr>
                        <w:t xml:space="preserve">In the event of a material restatement of the Company’s financial results, other than a restatement due to changes in accounting principles or applicable law or interpretations thereof, the Board will review the facts and circumstances that led to the requirement for the restatement and will take such actions, including clawback, as it deems necessary or appropriate. The Board will consider whether any named executive officer received cash or equity compensation based on the original financial statements because it appeared financial performance targets had been met, when in fact such targets were not achieved based on the restatement. The Board will also consider the accountability of any named executive officer whose </w:t>
                      </w:r>
                    </w:p>
                  </w:txbxContent>
                </v:textbox>
                <w10:wrap type="square" side="right"/>
              </v:rect>
            </w:pict>
          </mc:Fallback>
        </mc:AlternateConten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3175000" cy="4188460"/>
                <wp:effectExtent l="0" t="0" r="0" b="0"/>
                <wp:wrapSquare wrapText="largest"/>
                <wp:docPr id="136" name="Frame44"/>
                <a:graphic xmlns:a="http://schemas.openxmlformats.org/drawingml/2006/main">
                  <a:graphicData uri="http://schemas.microsoft.com/office/word/2010/wordprocessingShape">
                    <wps:wsp>
                      <wps:cNvSpPr txBox="1"/>
                      <wps:spPr>
                        <a:xfrm>
                          <a:off x="0" y="0"/>
                          <a:ext cx="3175000" cy="4188460"/>
                        </a:xfrm>
                        <a:prstGeom prst="rect"/>
                      </wps:spPr>
                      <wps:txbx>
                        <w:txbxContent>
                          <w:p>
                            <w:pPr>
                              <w:pStyle w:val="TextBody"/>
                              <w:spacing w:before="0" w:after="0"/>
                              <w:rPr>
                                <w:rFonts w:ascii="ARIAL" w:hAnsi="ARIAL"/>
                                <w:sz w:val="19"/>
                              </w:rPr>
                            </w:pPr>
                            <w:r>
                              <w:rPr>
                                <w:rFonts w:ascii="ARIAL" w:hAnsi="ARIAL"/>
                                <w:sz w:val="19"/>
                              </w:rPr>
                              <w:t xml:space="preserve">acts or omissions were responsible in whole or in part for the events that led to the restatement and whether such acts or omissions constituted misconduct. We expect during 2023 to review and revise the “clawback” policy in connection with final rules regarding recovery of erroneously awarded compensation as promulgated by the SEC and the NYSE in 2022 and 2023, respectively. </w:t>
                            </w:r>
                          </w:p>
                          <w:p>
                            <w:pPr>
                              <w:pStyle w:val="TextBody"/>
                              <w:spacing w:before="240" w:after="0"/>
                              <w:rPr>
                                <w:rFonts w:ascii="ARIAL" w:hAnsi="ARIAL"/>
                                <w:b/>
                                <w:i/>
                                <w:color w:val="005CB9"/>
                                <w:sz w:val="20"/>
                              </w:rPr>
                            </w:pPr>
                            <w:r>
                              <w:rPr>
                                <w:rFonts w:ascii="ARIAL" w:hAnsi="ARIAL"/>
                                <w:b/>
                                <w:i/>
                                <w:color w:val="005CB9"/>
                                <w:sz w:val="20"/>
                              </w:rPr>
                              <w:t xml:space="preserve">Regulatory Considerations </w:t>
                            </w:r>
                          </w:p>
                          <w:p>
                            <w:pPr>
                              <w:pStyle w:val="TextBody"/>
                              <w:spacing w:before="120" w:after="0"/>
                              <w:rPr>
                                <w:rFonts w:ascii="ARIAL" w:hAnsi="ARIAL"/>
                                <w:sz w:val="19"/>
                              </w:rPr>
                            </w:pPr>
                            <w:r>
                              <w:rPr>
                                <w:rFonts w:ascii="ARIAL" w:hAnsi="ARIAL"/>
                                <w:sz w:val="19"/>
                              </w:rPr>
                              <w:t xml:space="preserve">Effective for taxable years beginning after December 31, 2017, the Tax Cuts and Jobs Act changed certain aspects of executive compensation, including elimination of a Company’s ability to deduct “performance-based” compensation in excess of $1 million to named executive officers under Section 162(m) of the Code. We will continue to consider tax implications in making compensation decisions and, when believed to be in the best long-term interests of our shareholders, we may provide compensation that is not fully deductible. </w:t>
                            </w:r>
                          </w:p>
                          <w:p>
                            <w:pPr>
                              <w:pStyle w:val="TextBody"/>
                              <w:spacing w:before="120" w:after="0"/>
                              <w:rPr>
                                <w:rFonts w:ascii="ARIAL" w:hAnsi="ARIAL"/>
                                <w:sz w:val="19"/>
                              </w:rPr>
                            </w:pPr>
                            <w:r>
                              <w:rPr>
                                <w:rFonts w:ascii="ARIAL" w:hAnsi="ARIAL"/>
                                <w:sz w:val="19"/>
                              </w:rPr>
                              <w:t xml:space="preserve">In making decisions about executive compensation, we also consider the impact of other regulatory provisions, including Section 409A of the Code regarding non-qualified deferred compensation and Section 280G of the Code regarding compensation pursuant to a change in control. We also consider how various elements of compensation will impact our financial results. For example, ASC Topic 718, the accounting standard that determines the cost to be recognized for equity awards, is considered when awarding stock options and restricted stock awards.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9.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19"/>
                        </w:rPr>
                      </w:pPr>
                      <w:r>
                        <w:rPr>
                          <w:rFonts w:ascii="ARIAL" w:hAnsi="ARIAL"/>
                          <w:sz w:val="19"/>
                        </w:rPr>
                        <w:t xml:space="preserve">acts or omissions were responsible in whole or in part for the events that led to the restatement and whether such acts or omissions constituted misconduct. We expect during 2023 to review and revise the “clawback” policy in connection with final rules regarding recovery of erroneously awarded compensation as promulgated by the SEC and the NYSE in 2022 and 2023, respectively. </w:t>
                      </w:r>
                    </w:p>
                    <w:p>
                      <w:pPr>
                        <w:pStyle w:val="TextBody"/>
                        <w:spacing w:before="240" w:after="0"/>
                        <w:rPr>
                          <w:rFonts w:ascii="ARIAL" w:hAnsi="ARIAL"/>
                          <w:b/>
                          <w:i/>
                          <w:color w:val="005CB9"/>
                          <w:sz w:val="20"/>
                        </w:rPr>
                      </w:pPr>
                      <w:r>
                        <w:rPr>
                          <w:rFonts w:ascii="ARIAL" w:hAnsi="ARIAL"/>
                          <w:b/>
                          <w:i/>
                          <w:color w:val="005CB9"/>
                          <w:sz w:val="20"/>
                        </w:rPr>
                        <w:t xml:space="preserve">Regulatory Considerations </w:t>
                      </w:r>
                    </w:p>
                    <w:p>
                      <w:pPr>
                        <w:pStyle w:val="TextBody"/>
                        <w:spacing w:before="120" w:after="0"/>
                        <w:rPr>
                          <w:rFonts w:ascii="ARIAL" w:hAnsi="ARIAL"/>
                          <w:sz w:val="19"/>
                        </w:rPr>
                      </w:pPr>
                      <w:r>
                        <w:rPr>
                          <w:rFonts w:ascii="ARIAL" w:hAnsi="ARIAL"/>
                          <w:sz w:val="19"/>
                        </w:rPr>
                        <w:t xml:space="preserve">Effective for taxable years beginning after December 31, 2017, the Tax Cuts and Jobs Act changed certain aspects of executive compensation, including elimination of a Company’s ability to deduct “performance-based” compensation in excess of $1 million to named executive officers under Section 162(m) of the Code. We will continue to consider tax implications in making compensation decisions and, when believed to be in the best long-term interests of our shareholders, we may provide compensation that is not fully deductible. </w:t>
                      </w:r>
                    </w:p>
                    <w:p>
                      <w:pPr>
                        <w:pStyle w:val="TextBody"/>
                        <w:spacing w:before="120" w:after="0"/>
                        <w:rPr>
                          <w:rFonts w:ascii="ARIAL" w:hAnsi="ARIAL"/>
                          <w:sz w:val="19"/>
                        </w:rPr>
                      </w:pPr>
                      <w:r>
                        <w:rPr>
                          <w:rFonts w:ascii="ARIAL" w:hAnsi="ARIAL"/>
                          <w:sz w:val="19"/>
                        </w:rPr>
                        <w:t xml:space="preserve">In making decisions about executive compensation, we also consider the impact of other regulatory provisions, including Section 409A of the Code regarding non-qualified deferred compensation and Section 280G of the Code regarding compensation pursuant to a change in control. We also consider how various elements of compensation will impact our financial results. For example, ASC Topic 718, the accounting standard that determines the cost to be recognized for equity awards, is considered when awarding stock options and restricted stock awards. </w:t>
                      </w:r>
                    </w:p>
                  </w:txbxContent>
                </v:textbox>
                <w10:wrap type="square" side="right"/>
              </v:rect>
            </w:pict>
          </mc:Fallback>
        </mc:AlternateConten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40</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3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2" descr=""/>
                          <pic:cNvPicPr>
                            <a:picLocks noChangeAspect="1" noChangeArrowheads="1"/>
                          </pic:cNvPicPr>
                        </pic:nvPicPr>
                        <pic:blipFill>
                          <a:blip r:embed="rId93"/>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COMPENSATION DISCUSSION AND ANALYSIS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color w:val="005CB9"/>
          <w:sz w:val="32"/>
        </w:rPr>
      </w:pPr>
      <w:bookmarkStart w:id="21" w:name="toc356364_18"/>
      <w:bookmarkEnd w:id="21"/>
      <w:r>
        <w:rPr>
          <w:rFonts w:ascii="ARIAL" w:hAnsi="ARIAL"/>
          <w:color w:val="005CB9"/>
          <w:sz w:val="32"/>
        </w:rPr>
        <w:t xml:space="preserve">COMPENSATION COMMITTEE INTERLOCKS AND INSIDER PARTICIPATION </w:t>
      </w:r>
    </w:p>
    <w:p>
      <w:pPr>
        <w:pStyle w:val="TextBody"/>
        <w:spacing w:before="360" w:after="0"/>
        <w:jc w:val="left"/>
        <w:rPr>
          <w:rFonts w:ascii="ARIAL" w:hAnsi="ARIAL"/>
          <w:sz w:val="19"/>
        </w:rPr>
      </w:pPr>
      <w:r>
        <w:rPr>
          <w:rFonts w:ascii="ARIAL" w:hAnsi="ARIAL"/>
          <w:sz w:val="19"/>
        </w:rPr>
        <w:t xml:space="preserve">During 2022, Mses. Thatcher and Brinkley and Messrs. Johnson and Wright served on the Compensation Committee. No member of the Compensation Committee was, during 2022, an officer or employee of the Company, was formerly an officer of the Company, or had any relationship requiring disclosure by the Company as a related party transaction under Item 404 of Regulation S-K under the Securities Act of 1933 (the “Securities Act”). During 2022, none of the Company’s executive officers served on either the board of directors or the compensation committee of any other entity, any officers of which served on either the Board of Directors or the Compensation Committee of the Company. </w:t>
      </w:r>
    </w:p>
    <w:p>
      <w:pPr>
        <w:pStyle w:val="TextBody"/>
        <w:spacing w:before="480" w:after="0"/>
        <w:jc w:val="left"/>
        <w:rPr>
          <w:rFonts w:ascii="ARIAL" w:hAnsi="ARIAL"/>
          <w:color w:val="005CB9"/>
          <w:sz w:val="32"/>
        </w:rPr>
      </w:pPr>
      <w:bookmarkStart w:id="22" w:name="toc356364_19"/>
      <w:bookmarkEnd w:id="22"/>
      <w:r>
        <w:rPr>
          <w:rFonts w:ascii="ARIAL" w:hAnsi="ARIAL"/>
          <w:color w:val="005CB9"/>
          <w:sz w:val="32"/>
        </w:rPr>
        <w:t xml:space="preserve">COMPENSATION COMMITTEE REPORT </w:t>
      </w:r>
    </w:p>
    <w:p>
      <w:pPr>
        <w:pStyle w:val="TextBody"/>
        <w:spacing w:before="360" w:after="0"/>
        <w:jc w:val="left"/>
        <w:rPr>
          <w:rFonts w:ascii="ARIAL" w:hAnsi="ARIAL"/>
          <w:sz w:val="19"/>
        </w:rPr>
      </w:pPr>
      <w:r>
        <w:rPr>
          <w:rFonts w:ascii="ARIAL" w:hAnsi="ARIAL"/>
          <w:sz w:val="19"/>
        </w:rPr>
        <w:t xml:space="preserve">We have reviewed and discussed the foregoing Compensation Discussion and Analysis with management. Based on our review and discussion with management, we have recommended to the Board of Directors that the Compensation Discussion and Analysis be included in this Proxy Statement and incorporated by reference into our Annual Report on Form 10-K for the year ended December 31, 2022. </w:t>
      </w:r>
    </w:p>
    <w:p>
      <w:pPr>
        <w:pStyle w:val="TextBody"/>
        <w:spacing w:before="120" w:after="0"/>
        <w:jc w:val="left"/>
        <w:rPr>
          <w:rFonts w:ascii="ARIAL" w:hAnsi="ARIAL"/>
          <w:sz w:val="19"/>
        </w:rPr>
      </w:pPr>
      <w:r>
        <w:rPr>
          <w:rFonts w:ascii="ARIAL" w:hAnsi="ARIAL"/>
          <w:sz w:val="19"/>
        </w:rPr>
        <w:t xml:space="preserve">Submitted by: </w:t>
      </w:r>
    </w:p>
    <w:p>
      <w:pPr>
        <w:pStyle w:val="TextBody"/>
        <w:spacing w:before="120" w:after="0"/>
        <w:jc w:val="left"/>
        <w:rPr>
          <w:rFonts w:ascii="ARIAL" w:hAnsi="ARIAL"/>
          <w:sz w:val="19"/>
        </w:rPr>
      </w:pPr>
      <w:r>
        <w:rPr>
          <w:rFonts w:ascii="ARIAL" w:hAnsi="ARIAL"/>
          <w:sz w:val="19"/>
        </w:rPr>
        <w:t xml:space="preserve">Laura G. Thatcher, Chair </w:t>
      </w:r>
    </w:p>
    <w:p>
      <w:pPr>
        <w:pStyle w:val="TextBody"/>
        <w:spacing w:before="0" w:after="0"/>
        <w:jc w:val="left"/>
        <w:rPr>
          <w:rFonts w:ascii="ARIAL" w:hAnsi="ARIAL"/>
          <w:sz w:val="19"/>
        </w:rPr>
      </w:pPr>
      <w:r>
        <w:rPr>
          <w:rFonts w:ascii="ARIAL" w:hAnsi="ARIAL"/>
          <w:sz w:val="19"/>
        </w:rPr>
        <w:t xml:space="preserve">Amy Woods Brinkley </w:t>
      </w:r>
    </w:p>
    <w:p>
      <w:pPr>
        <w:pStyle w:val="TextBody"/>
        <w:spacing w:before="0" w:after="0"/>
        <w:jc w:val="left"/>
        <w:rPr>
          <w:rFonts w:ascii="ARIAL" w:hAnsi="ARIAL"/>
          <w:sz w:val="19"/>
        </w:rPr>
      </w:pPr>
      <w:r>
        <w:rPr>
          <w:rFonts w:ascii="ARIAL" w:hAnsi="ARIAL"/>
          <w:sz w:val="19"/>
        </w:rPr>
        <w:t xml:space="preserve">Robert D. Johnson </w:t>
      </w:r>
    </w:p>
    <w:p>
      <w:pPr>
        <w:pStyle w:val="TextBody"/>
        <w:spacing w:before="0" w:after="0"/>
        <w:jc w:val="left"/>
        <w:rPr>
          <w:rFonts w:ascii="ARIAL" w:hAnsi="ARIAL"/>
          <w:sz w:val="19"/>
        </w:rPr>
      </w:pPr>
      <w:r>
        <w:rPr>
          <w:rFonts w:ascii="ARIAL" w:hAnsi="ARIAL"/>
          <w:sz w:val="19"/>
        </w:rPr>
        <w:t xml:space="preserve">Christopher Wright </w: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3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3" descr=""/>
                          <pic:cNvPicPr>
                            <a:picLocks noChangeAspect="1" noChangeArrowheads="1"/>
                          </pic:cNvPicPr>
                        </pic:nvPicPr>
                        <pic:blipFill>
                          <a:blip r:embed="rId94"/>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41</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32"/>
        </w:rPr>
      </w:pPr>
      <w:bookmarkStart w:id="23" w:name="toc356364_20"/>
      <w:bookmarkEnd w:id="23"/>
      <w:r>
        <w:rPr>
          <w:rFonts w:ascii="ARIAL" w:hAnsi="ARIAL"/>
          <w:color w:val="005CB9"/>
          <w:sz w:val="32"/>
        </w:rPr>
        <w:t xml:space="preserve">EXECUTIVE COMPENSATION </w:t>
      </w:r>
    </w:p>
    <w:p>
      <w:pPr>
        <w:pStyle w:val="TextBody"/>
        <w:spacing w:before="360" w:after="0"/>
        <w:jc w:val="left"/>
        <w:rPr>
          <w:rFonts w:ascii="ARIAL" w:hAnsi="ARIAL"/>
          <w:sz w:val="19"/>
        </w:rPr>
      </w:pPr>
      <w:r>
        <w:rPr>
          <w:rFonts w:ascii="ARIAL" w:hAnsi="ARIAL"/>
          <w:sz w:val="19"/>
        </w:rPr>
        <w:t xml:space="preserve">The following table sets forth the compensation earned by our named executive officers in the fiscal years noted. </w:t>
      </w:r>
    </w:p>
    <w:p>
      <w:pPr>
        <w:pStyle w:val="TextBody"/>
        <w:spacing w:before="240" w:after="0"/>
        <w:jc w:val="left"/>
        <w:rPr>
          <w:rFonts w:ascii="ARIAL" w:hAnsi="ARIAL"/>
          <w:b/>
          <w:i/>
          <w:sz w:val="20"/>
        </w:rPr>
      </w:pPr>
      <w:bookmarkStart w:id="24" w:name="toc356364_21"/>
      <w:bookmarkEnd w:id="24"/>
      <w:r>
        <w:rPr>
          <w:rFonts w:ascii="ARIAL" w:hAnsi="ARIAL"/>
          <w:b/>
          <w:i/>
          <w:sz w:val="20"/>
        </w:rPr>
        <w:t xml:space="preserve">2022 Summary Compensation Table </w:t>
      </w:r>
    </w:p>
    <w:p>
      <w:pPr>
        <w:pStyle w:val="TextBody"/>
        <w:spacing w:before="0" w:after="0"/>
        <w:jc w:val="left"/>
        <w:rPr/>
      </w:pPr>
      <w:r>
        <w:rPr/>
        <w:t> </w:t>
      </w:r>
    </w:p>
    <w:tbl>
      <w:tblPr>
        <w:tblW w:w="9908" w:type="dxa"/>
        <w:jc w:val="left"/>
        <w:tblInd w:w="0" w:type="dxa"/>
        <w:tblCellMar>
          <w:top w:w="0" w:type="dxa"/>
          <w:left w:w="0" w:type="dxa"/>
          <w:bottom w:w="0" w:type="dxa"/>
          <w:right w:w="0" w:type="dxa"/>
        </w:tblCellMar>
      </w:tblPr>
      <w:tblGrid>
        <w:gridCol w:w="2555"/>
        <w:gridCol w:w="60"/>
        <w:gridCol w:w="66"/>
        <w:gridCol w:w="419"/>
        <w:gridCol w:w="60"/>
        <w:gridCol w:w="60"/>
        <w:gridCol w:w="60"/>
        <w:gridCol w:w="740"/>
        <w:gridCol w:w="60"/>
        <w:gridCol w:w="60"/>
        <w:gridCol w:w="60"/>
        <w:gridCol w:w="830"/>
        <w:gridCol w:w="60"/>
        <w:gridCol w:w="60"/>
        <w:gridCol w:w="60"/>
        <w:gridCol w:w="740"/>
        <w:gridCol w:w="60"/>
        <w:gridCol w:w="60"/>
        <w:gridCol w:w="94"/>
        <w:gridCol w:w="1170"/>
        <w:gridCol w:w="60"/>
        <w:gridCol w:w="60"/>
        <w:gridCol w:w="103"/>
        <w:gridCol w:w="1041"/>
        <w:gridCol w:w="60"/>
        <w:gridCol w:w="60"/>
        <w:gridCol w:w="68"/>
        <w:gridCol w:w="1047"/>
        <w:gridCol w:w="75"/>
      </w:tblGrid>
      <w:tr>
        <w:trPr/>
        <w:tc>
          <w:tcPr>
            <w:tcW w:w="25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55" w:type="dxa"/>
            <w:tcBorders/>
            <w:shd w:fill="005CB9" w:val="clear"/>
            <w:vAlign w:val="center"/>
          </w:tcPr>
          <w:p>
            <w:pPr>
              <w:pStyle w:val="TableContents"/>
              <w:spacing w:before="0" w:after="0"/>
              <w:rPr>
                <w:color w:val="FFFFFF"/>
              </w:rPr>
            </w:pPr>
            <w:r>
              <w:rPr>
                <w:color w:val="FFFFFF"/>
              </w:rPr>
              <w:t>  </w:t>
            </w:r>
            <w:r>
              <w:rPr>
                <w:rFonts w:ascii="arial" w:hAnsi="arial"/>
                <w:color w:val="FFFFFF"/>
                <w:sz w:val="15"/>
              </w:rPr>
              <w:t>Name and</w:t>
            </w:r>
          </w:p>
          <w:p>
            <w:pPr>
              <w:pStyle w:val="TableContents"/>
              <w:spacing w:before="0" w:after="20"/>
              <w:rPr>
                <w:color w:val="FFFFFF"/>
              </w:rPr>
            </w:pPr>
            <w:r>
              <w:rPr>
                <w:color w:val="FFFFFF"/>
              </w:rPr>
              <w:t>  </w:t>
            </w:r>
            <w:r>
              <w:rPr>
                <w:rFonts w:ascii="arial" w:hAnsi="arial"/>
                <w:color w:val="FFFFFF"/>
                <w:sz w:val="15"/>
              </w:rPr>
              <w:t>Principal Position</w:t>
            </w:r>
          </w:p>
        </w:tc>
        <w:tc>
          <w:tcPr>
            <w:tcW w:w="60" w:type="dxa"/>
            <w:tcBorders/>
            <w:shd w:fill="005CB9" w:val="clear"/>
            <w:vAlign w:val="center"/>
          </w:tcPr>
          <w:p>
            <w:pPr>
              <w:pStyle w:val="TableContents"/>
              <w:spacing w:before="0" w:after="283"/>
              <w:rPr/>
            </w:pPr>
            <w:r>
              <w:rPr/>
              <w:t> </w:t>
            </w:r>
          </w:p>
        </w:tc>
        <w:tc>
          <w:tcPr>
            <w:tcW w:w="485" w:type="dxa"/>
            <w:gridSpan w:val="2"/>
            <w:tcBorders/>
            <w:shd w:fill="005CB9" w:val="clear"/>
            <w:vAlign w:val="center"/>
          </w:tcPr>
          <w:p>
            <w:pPr>
              <w:pStyle w:val="TableContents"/>
              <w:spacing w:before="0" w:after="283"/>
              <w:jc w:val="right"/>
              <w:rPr>
                <w:color w:val="FFFFFF"/>
              </w:rPr>
            </w:pPr>
            <w:r>
              <w:rPr>
                <w:color w:val="FFFFFF"/>
              </w:rPr>
              <w:t>Year</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800" w:type="dxa"/>
            <w:gridSpan w:val="2"/>
            <w:tcBorders/>
            <w:shd w:fill="005CB9" w:val="clear"/>
            <w:vAlign w:val="center"/>
          </w:tcPr>
          <w:p>
            <w:pPr>
              <w:pStyle w:val="TableContents"/>
              <w:spacing w:before="0" w:after="0"/>
              <w:jc w:val="right"/>
              <w:rPr>
                <w:rFonts w:ascii="arial" w:hAnsi="arial"/>
                <w:sz w:val="15"/>
              </w:rPr>
            </w:pPr>
            <w:r>
              <w:rPr>
                <w:rFonts w:ascii="arial" w:hAnsi="arial"/>
                <w:color w:val="FFFFFF"/>
                <w:sz w:val="15"/>
              </w:rPr>
              <w:t>Salary</w:t>
            </w:r>
            <w:r>
              <w:rPr>
                <w:rFonts w:ascii="arial" w:hAnsi="arial"/>
                <w:color w:val="FFFFFF"/>
                <w:sz w:val="10"/>
              </w:rPr>
              <w:t>(1)</w:t>
            </w:r>
          </w:p>
          <w:p>
            <w:pPr>
              <w:pStyle w:val="TableContents"/>
              <w:spacing w:before="0" w:after="20"/>
              <w:jc w:val="right"/>
              <w:rPr>
                <w:rFonts w:ascii="arial" w:hAnsi="arial"/>
                <w:color w:val="FFFFFF"/>
                <w:sz w:val="15"/>
              </w:rPr>
            </w:pPr>
            <w:r>
              <w:rPr>
                <w:rFonts w:ascii="arial" w:hAnsi="arial"/>
                <w:color w:val="FFFFFF"/>
                <w:sz w:val="15"/>
              </w:rPr>
              <w:t>($)</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890" w:type="dxa"/>
            <w:gridSpan w:val="2"/>
            <w:tcBorders/>
            <w:shd w:fill="005CB9" w:val="clear"/>
            <w:vAlign w:val="center"/>
          </w:tcPr>
          <w:p>
            <w:pPr>
              <w:pStyle w:val="TableContents"/>
              <w:spacing w:before="0" w:after="283"/>
              <w:jc w:val="right"/>
              <w:rPr/>
            </w:pPr>
            <w:r>
              <w:rPr>
                <w:color w:val="FFFFFF"/>
              </w:rPr>
              <w:t>Stock</w:t>
              <w:br/>
              <w:t>Awards</w:t>
            </w:r>
            <w:r>
              <w:rPr>
                <w:color w:val="FFFFFF"/>
                <w:sz w:val="10"/>
              </w:rPr>
              <w:t>(2)</w:t>
            </w:r>
            <w:r>
              <w:rPr>
                <w:color w:val="FFFFFF"/>
              </w:rPr>
              <w:br/>
              <w:t>($)</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800" w:type="dxa"/>
            <w:gridSpan w:val="2"/>
            <w:tcBorders/>
            <w:shd w:fill="005CB9" w:val="clear"/>
            <w:vAlign w:val="center"/>
          </w:tcPr>
          <w:p>
            <w:pPr>
              <w:pStyle w:val="TableContents"/>
              <w:spacing w:before="0" w:after="0"/>
              <w:jc w:val="right"/>
              <w:rPr>
                <w:rFonts w:ascii="arial" w:hAnsi="arial"/>
                <w:sz w:val="15"/>
              </w:rPr>
            </w:pPr>
            <w:r>
              <w:rPr>
                <w:rFonts w:ascii="arial" w:hAnsi="arial"/>
                <w:color w:val="FFFFFF"/>
                <w:sz w:val="15"/>
              </w:rPr>
              <w:t>Option</w:t>
              <w:br/>
              <w:t>Awards</w:t>
            </w:r>
            <w:r>
              <w:rPr>
                <w:rFonts w:ascii="arial" w:hAnsi="arial"/>
                <w:color w:val="FFFFFF"/>
                <w:sz w:val="10"/>
              </w:rPr>
              <w:t>(2)</w:t>
            </w:r>
          </w:p>
          <w:p>
            <w:pPr>
              <w:pStyle w:val="TableContents"/>
              <w:spacing w:before="0" w:after="20"/>
              <w:jc w:val="right"/>
              <w:rPr>
                <w:rFonts w:ascii="arial" w:hAnsi="arial"/>
                <w:color w:val="FFFFFF"/>
                <w:sz w:val="15"/>
              </w:rPr>
            </w:pPr>
            <w:r>
              <w:rPr>
                <w:rFonts w:ascii="arial" w:hAnsi="arial"/>
                <w:color w:val="FFFFFF"/>
                <w:sz w:val="15"/>
              </w:rPr>
              <w:t>($)</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1264" w:type="dxa"/>
            <w:gridSpan w:val="2"/>
            <w:tcBorders/>
            <w:shd w:fill="005CB9" w:val="clear"/>
            <w:vAlign w:val="center"/>
          </w:tcPr>
          <w:p>
            <w:pPr>
              <w:pStyle w:val="TableContents"/>
              <w:spacing w:before="0" w:after="0"/>
              <w:jc w:val="right"/>
              <w:rPr>
                <w:rFonts w:ascii="arial" w:hAnsi="arial"/>
                <w:color w:val="FFFFFF"/>
                <w:sz w:val="15"/>
              </w:rPr>
            </w:pPr>
            <w:r>
              <w:rPr>
                <w:rFonts w:ascii="arial" w:hAnsi="arial"/>
                <w:color w:val="FFFFFF"/>
                <w:sz w:val="15"/>
              </w:rPr>
              <w:t>Non-Equity</w:t>
            </w:r>
          </w:p>
          <w:p>
            <w:pPr>
              <w:pStyle w:val="TableContents"/>
              <w:spacing w:before="0" w:after="0"/>
              <w:jc w:val="right"/>
              <w:rPr>
                <w:rFonts w:ascii="arial" w:hAnsi="arial"/>
                <w:color w:val="FFFFFF"/>
                <w:sz w:val="15"/>
              </w:rPr>
            </w:pPr>
            <w:r>
              <w:rPr>
                <w:rFonts w:ascii="arial" w:hAnsi="arial"/>
                <w:color w:val="FFFFFF"/>
                <w:sz w:val="15"/>
              </w:rPr>
              <w:t>Incentive</w:t>
            </w:r>
          </w:p>
          <w:p>
            <w:pPr>
              <w:pStyle w:val="TableContents"/>
              <w:spacing w:before="0" w:after="0"/>
              <w:jc w:val="right"/>
              <w:rPr>
                <w:rFonts w:ascii="arial" w:hAnsi="arial"/>
                <w:color w:val="FFFFFF"/>
                <w:sz w:val="15"/>
              </w:rPr>
            </w:pPr>
            <w:r>
              <w:rPr>
                <w:rFonts w:ascii="arial" w:hAnsi="arial"/>
                <w:color w:val="FFFFFF"/>
                <w:sz w:val="15"/>
              </w:rPr>
              <w:t>Plan</w:t>
            </w:r>
          </w:p>
          <w:p>
            <w:pPr>
              <w:pStyle w:val="TableContents"/>
              <w:spacing w:before="0" w:after="0"/>
              <w:jc w:val="right"/>
              <w:rPr>
                <w:rFonts w:ascii="arial" w:hAnsi="arial"/>
                <w:sz w:val="15"/>
              </w:rPr>
            </w:pPr>
            <w:r>
              <w:rPr>
                <w:rFonts w:ascii="arial" w:hAnsi="arial"/>
                <w:color w:val="FFFFFF"/>
                <w:sz w:val="15"/>
              </w:rPr>
              <w:t>Compensation</w:t>
            </w:r>
            <w:r>
              <w:rPr>
                <w:rFonts w:ascii="arial" w:hAnsi="arial"/>
                <w:color w:val="FFFFFF"/>
                <w:sz w:val="10"/>
              </w:rPr>
              <w:t>(1)(3)</w:t>
            </w:r>
          </w:p>
          <w:p>
            <w:pPr>
              <w:pStyle w:val="TableContents"/>
              <w:spacing w:before="0" w:after="20"/>
              <w:jc w:val="right"/>
              <w:rPr>
                <w:rFonts w:ascii="arial" w:hAnsi="arial"/>
                <w:color w:val="FFFFFF"/>
                <w:sz w:val="15"/>
              </w:rPr>
            </w:pPr>
            <w:r>
              <w:rPr>
                <w:rFonts w:ascii="arial" w:hAnsi="arial"/>
                <w:color w:val="FFFFFF"/>
                <w:sz w:val="15"/>
              </w:rPr>
              <w:t>($)</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1144" w:type="dxa"/>
            <w:gridSpan w:val="2"/>
            <w:tcBorders/>
            <w:shd w:fill="005CB9" w:val="clear"/>
            <w:vAlign w:val="center"/>
          </w:tcPr>
          <w:p>
            <w:pPr>
              <w:pStyle w:val="TableContents"/>
              <w:spacing w:before="0" w:after="0"/>
              <w:jc w:val="right"/>
              <w:rPr>
                <w:rFonts w:ascii="arial" w:hAnsi="arial"/>
                <w:color w:val="FFFFFF"/>
                <w:sz w:val="15"/>
              </w:rPr>
            </w:pPr>
            <w:r>
              <w:rPr>
                <w:rFonts w:ascii="arial" w:hAnsi="arial"/>
                <w:color w:val="FFFFFF"/>
                <w:sz w:val="15"/>
              </w:rPr>
              <w:t>All Other</w:t>
            </w:r>
          </w:p>
          <w:p>
            <w:pPr>
              <w:pStyle w:val="TableContents"/>
              <w:spacing w:before="0" w:after="20"/>
              <w:jc w:val="right"/>
              <w:rPr>
                <w:rFonts w:ascii="arial" w:hAnsi="arial"/>
                <w:sz w:val="15"/>
              </w:rPr>
            </w:pPr>
            <w:r>
              <w:rPr>
                <w:rFonts w:ascii="arial" w:hAnsi="arial"/>
                <w:color w:val="FFFFFF"/>
                <w:sz w:val="15"/>
              </w:rPr>
              <w:t>Compensation</w:t>
            </w:r>
            <w:r>
              <w:rPr>
                <w:rFonts w:ascii="arial" w:hAnsi="arial"/>
                <w:color w:val="FFFFFF"/>
                <w:sz w:val="10"/>
              </w:rPr>
              <w:t>(4)</w:t>
              <w:br/>
            </w:r>
            <w:r>
              <w:rPr>
                <w:rFonts w:ascii="arial" w:hAnsi="arial"/>
                <w:color w:val="FFFFFF"/>
                <w:sz w:val="15"/>
              </w:rPr>
              <w:t>($)</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1115" w:type="dxa"/>
            <w:gridSpan w:val="2"/>
            <w:tcBorders/>
            <w:shd w:fill="005CB9" w:val="clear"/>
            <w:vAlign w:val="center"/>
          </w:tcPr>
          <w:p>
            <w:pPr>
              <w:pStyle w:val="TableContents"/>
              <w:spacing w:before="0" w:after="0"/>
              <w:jc w:val="right"/>
              <w:rPr>
                <w:rFonts w:ascii="arial" w:hAnsi="arial"/>
                <w:color w:val="FFFFFF"/>
                <w:sz w:val="15"/>
              </w:rPr>
            </w:pPr>
            <w:r>
              <w:rPr>
                <w:rFonts w:ascii="arial" w:hAnsi="arial"/>
                <w:color w:val="FFFFFF"/>
                <w:sz w:val="15"/>
              </w:rPr>
              <w:t>Total  </w:t>
            </w:r>
          </w:p>
          <w:p>
            <w:pPr>
              <w:pStyle w:val="TableContents"/>
              <w:spacing w:before="0" w:after="0"/>
              <w:jc w:val="right"/>
              <w:rPr>
                <w:rFonts w:ascii="arial" w:hAnsi="arial"/>
                <w:color w:val="FFFFFF"/>
                <w:sz w:val="15"/>
              </w:rPr>
            </w:pPr>
            <w:r>
              <w:rPr>
                <w:rFonts w:ascii="arial" w:hAnsi="arial"/>
                <w:color w:val="FFFFFF"/>
                <w:sz w:val="15"/>
              </w:rPr>
              <w:t>Compensation  </w:t>
            </w:r>
          </w:p>
          <w:p>
            <w:pPr>
              <w:pStyle w:val="TableContents"/>
              <w:spacing w:before="0" w:after="20"/>
              <w:jc w:val="right"/>
              <w:rPr>
                <w:rFonts w:ascii="arial" w:hAnsi="arial"/>
                <w:color w:val="FFFFFF"/>
                <w:sz w:val="15"/>
              </w:rPr>
            </w:pPr>
            <w:r>
              <w:rPr>
                <w:rFonts w:ascii="arial" w:hAnsi="arial"/>
                <w:color w:val="FFFFFF"/>
                <w:sz w:val="15"/>
              </w:rPr>
              <w:t>($)  </w:t>
            </w:r>
          </w:p>
        </w:tc>
        <w:tc>
          <w:tcPr>
            <w:tcW w:w="7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r>
      <w:tr>
        <w:trPr/>
        <w:tc>
          <w:tcPr>
            <w:tcW w:w="2555" w:type="dxa"/>
            <w:tcBorders/>
            <w:shd w:fill="E5EEF8" w:val="clear"/>
            <w:vAlign w:val="center"/>
          </w:tcPr>
          <w:p>
            <w:pPr>
              <w:pStyle w:val="TableContents"/>
              <w:spacing w:before="0" w:after="283"/>
              <w:rPr>
                <w:sz w:val="4"/>
                <w:szCs w:val="4"/>
              </w:rPr>
            </w:pPr>
            <w:r>
              <w:rPr>
                <w:sz w:val="4"/>
                <w:szCs w:val="4"/>
              </w:rPr>
            </w:r>
          </w:p>
        </w:tc>
        <w:tc>
          <w:tcPr>
            <w:tcW w:w="605" w:type="dxa"/>
            <w:gridSpan w:val="4"/>
            <w:tcBorders/>
            <w:shd w:fill="E5EEF8" w:val="clear"/>
            <w:vAlign w:val="center"/>
          </w:tcPr>
          <w:p>
            <w:pPr>
              <w:pStyle w:val="TableContents"/>
              <w:spacing w:before="0" w:after="283"/>
              <w:rPr>
                <w:sz w:val="4"/>
                <w:szCs w:val="4"/>
              </w:rPr>
            </w:pPr>
            <w:r>
              <w:rPr>
                <w:sz w:val="4"/>
                <w:szCs w:val="4"/>
              </w:rPr>
            </w:r>
          </w:p>
        </w:tc>
        <w:tc>
          <w:tcPr>
            <w:tcW w:w="920" w:type="dxa"/>
            <w:gridSpan w:val="4"/>
            <w:tcBorders/>
            <w:shd w:fill="E5EEF8" w:val="clear"/>
            <w:vAlign w:val="center"/>
          </w:tcPr>
          <w:p>
            <w:pPr>
              <w:pStyle w:val="TableContents"/>
              <w:spacing w:before="0" w:after="283"/>
              <w:rPr>
                <w:sz w:val="4"/>
                <w:szCs w:val="4"/>
              </w:rPr>
            </w:pPr>
            <w:r>
              <w:rPr>
                <w:sz w:val="4"/>
                <w:szCs w:val="4"/>
              </w:rPr>
            </w:r>
          </w:p>
        </w:tc>
        <w:tc>
          <w:tcPr>
            <w:tcW w:w="1010" w:type="dxa"/>
            <w:gridSpan w:val="4"/>
            <w:tcBorders/>
            <w:shd w:fill="E5EEF8" w:val="clear"/>
            <w:vAlign w:val="center"/>
          </w:tcPr>
          <w:p>
            <w:pPr>
              <w:pStyle w:val="TableContents"/>
              <w:spacing w:before="0" w:after="283"/>
              <w:rPr>
                <w:sz w:val="4"/>
                <w:szCs w:val="4"/>
              </w:rPr>
            </w:pPr>
            <w:r>
              <w:rPr>
                <w:sz w:val="4"/>
                <w:szCs w:val="4"/>
              </w:rPr>
            </w:r>
          </w:p>
        </w:tc>
        <w:tc>
          <w:tcPr>
            <w:tcW w:w="920" w:type="dxa"/>
            <w:gridSpan w:val="4"/>
            <w:tcBorders/>
            <w:shd w:fill="E5EEF8" w:val="clear"/>
            <w:vAlign w:val="center"/>
          </w:tcPr>
          <w:p>
            <w:pPr>
              <w:pStyle w:val="TableContents"/>
              <w:spacing w:before="0" w:after="283"/>
              <w:rPr>
                <w:sz w:val="4"/>
                <w:szCs w:val="4"/>
              </w:rPr>
            </w:pPr>
            <w:r>
              <w:rPr>
                <w:sz w:val="4"/>
                <w:szCs w:val="4"/>
              </w:rPr>
            </w:r>
          </w:p>
        </w:tc>
        <w:tc>
          <w:tcPr>
            <w:tcW w:w="1384" w:type="dxa"/>
            <w:gridSpan w:val="4"/>
            <w:tcBorders/>
            <w:shd w:fill="E5EEF8" w:val="clear"/>
            <w:vAlign w:val="center"/>
          </w:tcPr>
          <w:p>
            <w:pPr>
              <w:pStyle w:val="TableContents"/>
              <w:spacing w:before="0" w:after="283"/>
              <w:rPr>
                <w:sz w:val="4"/>
                <w:szCs w:val="4"/>
              </w:rPr>
            </w:pPr>
            <w:r>
              <w:rPr>
                <w:sz w:val="4"/>
                <w:szCs w:val="4"/>
              </w:rPr>
            </w:r>
          </w:p>
        </w:tc>
        <w:tc>
          <w:tcPr>
            <w:tcW w:w="1264" w:type="dxa"/>
            <w:gridSpan w:val="4"/>
            <w:tcBorders/>
            <w:shd w:fill="E5EEF8" w:val="clear"/>
            <w:vAlign w:val="center"/>
          </w:tcPr>
          <w:p>
            <w:pPr>
              <w:pStyle w:val="TableContents"/>
              <w:spacing w:before="0" w:after="283"/>
              <w:rPr>
                <w:sz w:val="4"/>
                <w:szCs w:val="4"/>
              </w:rPr>
            </w:pPr>
            <w:r>
              <w:rPr>
                <w:sz w:val="4"/>
                <w:szCs w:val="4"/>
              </w:rPr>
            </w:r>
          </w:p>
        </w:tc>
        <w:tc>
          <w:tcPr>
            <w:tcW w:w="1250" w:type="dxa"/>
            <w:gridSpan w:val="4"/>
            <w:tcBorders/>
            <w:shd w:fill="E5EEF8" w:val="clear"/>
            <w:vAlign w:val="center"/>
          </w:tcPr>
          <w:p>
            <w:pPr>
              <w:pStyle w:val="TableContents"/>
              <w:spacing w:before="0" w:after="283"/>
              <w:rPr>
                <w:sz w:val="4"/>
                <w:szCs w:val="4"/>
              </w:rPr>
            </w:pPr>
            <w:r>
              <w:rPr>
                <w:sz w:val="4"/>
                <w:szCs w:val="4"/>
              </w:rPr>
            </w:r>
          </w:p>
        </w:tc>
      </w:tr>
      <w:tr>
        <w:trPr/>
        <w:tc>
          <w:tcPr>
            <w:tcW w:w="2555" w:type="dxa"/>
            <w:tcBorders/>
            <w:shd w:fill="E5EEF8" w:val="clear"/>
            <w:vAlign w:val="center"/>
          </w:tcPr>
          <w:p>
            <w:pPr>
              <w:pStyle w:val="TableContents"/>
              <w:spacing w:lineRule="atLeast" w:line="240" w:before="0" w:after="0"/>
              <w:rPr>
                <w:color w:val="005CB9"/>
              </w:rPr>
            </w:pPr>
            <w:r>
              <w:rPr>
                <w:color w:val="005CB9"/>
              </w:rPr>
              <w:t>  </w:t>
            </w:r>
            <w:r>
              <w:rPr>
                <w:rFonts w:ascii="ARIAL" w:hAnsi="ARIAL"/>
                <w:b/>
                <w:color w:val="005CB9"/>
                <w:sz w:val="16"/>
              </w:rPr>
              <w:t>L. Neil Hunn</w:t>
            </w:r>
          </w:p>
        </w:tc>
        <w:tc>
          <w:tcPr>
            <w:tcW w:w="60" w:type="dxa"/>
            <w:tcBorders/>
            <w:shd w:fill="E5EEF8" w:val="clear"/>
            <w:vAlign w:val="center"/>
          </w:tcPr>
          <w:p>
            <w:pPr>
              <w:pStyle w:val="TableContents"/>
              <w:spacing w:before="0" w:after="283"/>
              <w:rPr/>
            </w:pPr>
            <w:r>
              <w:rPr/>
              <w:t> </w:t>
            </w:r>
          </w:p>
        </w:tc>
        <w:tc>
          <w:tcPr>
            <w:tcW w:w="66" w:type="dxa"/>
            <w:tcBorders/>
            <w:shd w:fill="E5EEF8" w:val="clear"/>
            <w:vAlign w:val="center"/>
          </w:tcPr>
          <w:p>
            <w:pPr>
              <w:pStyle w:val="TableContents"/>
              <w:spacing w:lineRule="atLeast" w:line="240" w:before="0" w:after="0"/>
              <w:rPr/>
            </w:pPr>
            <w:r>
              <w:rPr/>
              <w:t> </w:t>
            </w:r>
          </w:p>
        </w:tc>
        <w:tc>
          <w:tcPr>
            <w:tcW w:w="419"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2022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74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1,000,000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83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13,896,152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74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4,632,053</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94" w:type="dxa"/>
            <w:tcBorders/>
            <w:shd w:fill="E5EEF8" w:val="clear"/>
            <w:vAlign w:val="center"/>
          </w:tcPr>
          <w:p>
            <w:pPr>
              <w:pStyle w:val="TableContents"/>
              <w:spacing w:lineRule="atLeast" w:line="240" w:before="0" w:after="0"/>
              <w:rPr/>
            </w:pPr>
            <w:r>
              <w:rPr/>
              <w:t> </w:t>
            </w:r>
          </w:p>
        </w:tc>
        <w:tc>
          <w:tcPr>
            <w:tcW w:w="117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2,000,000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03" w:type="dxa"/>
            <w:tcBorders/>
            <w:shd w:fill="E5EEF8" w:val="clear"/>
            <w:vAlign w:val="center"/>
          </w:tcPr>
          <w:p>
            <w:pPr>
              <w:pStyle w:val="TableContents"/>
              <w:spacing w:lineRule="atLeast" w:line="240" w:before="0" w:after="0"/>
              <w:rPr/>
            </w:pPr>
            <w:r>
              <w:rPr/>
              <w:t> </w:t>
            </w:r>
          </w:p>
        </w:tc>
        <w:tc>
          <w:tcPr>
            <w:tcW w:w="1041"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365,160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8" w:type="dxa"/>
            <w:tcBorders/>
            <w:shd w:fill="E5EEF8" w:val="clear"/>
            <w:vAlign w:val="center"/>
          </w:tcPr>
          <w:p>
            <w:pPr>
              <w:pStyle w:val="TableContents"/>
              <w:spacing w:lineRule="atLeast" w:line="240" w:before="0" w:after="0"/>
              <w:rPr/>
            </w:pPr>
            <w:r>
              <w:rPr/>
              <w:t> </w:t>
            </w:r>
          </w:p>
        </w:tc>
        <w:tc>
          <w:tcPr>
            <w:tcW w:w="1047"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21,893,365  </w:t>
            </w:r>
          </w:p>
        </w:tc>
        <w:tc>
          <w:tcPr>
            <w:tcW w:w="75" w:type="dxa"/>
            <w:tcBorders/>
            <w:shd w:fill="E5EEF8" w:val="clear"/>
            <w:vAlign w:val="center"/>
          </w:tcPr>
          <w:p>
            <w:pPr>
              <w:pStyle w:val="TableContents"/>
              <w:spacing w:lineRule="atLeast" w:line="240" w:before="0" w:after="0"/>
              <w:rPr/>
            </w:pPr>
            <w:r>
              <w:rPr/>
              <w:t> </w:t>
            </w:r>
          </w:p>
        </w:tc>
      </w:tr>
      <w:tr>
        <w:trPr/>
        <w:tc>
          <w:tcPr>
            <w:tcW w:w="2555" w:type="dxa"/>
            <w:tcBorders/>
            <w:shd w:fill="E5EEF8" w:val="clear"/>
            <w:vAlign w:val="center"/>
          </w:tcPr>
          <w:p>
            <w:pPr>
              <w:pStyle w:val="TableContents"/>
              <w:spacing w:lineRule="atLeast" w:line="240" w:before="0" w:after="0"/>
              <w:rPr/>
            </w:pPr>
            <w:r>
              <w:rPr/>
              <w:t>  </w:t>
            </w:r>
            <w:r>
              <w:rPr>
                <w:rFonts w:ascii="ARIAL" w:hAnsi="ARIAL"/>
                <w:sz w:val="16"/>
              </w:rPr>
              <w:t>President and Chief</w:t>
            </w:r>
          </w:p>
        </w:tc>
        <w:tc>
          <w:tcPr>
            <w:tcW w:w="60" w:type="dxa"/>
            <w:tcBorders/>
            <w:shd w:fill="E5EEF8" w:val="clear"/>
            <w:vAlign w:val="center"/>
          </w:tcPr>
          <w:p>
            <w:pPr>
              <w:pStyle w:val="TableContents"/>
              <w:spacing w:before="0" w:after="283"/>
              <w:rPr/>
            </w:pPr>
            <w:r>
              <w:rPr/>
              <w:t> </w:t>
            </w:r>
          </w:p>
        </w:tc>
        <w:tc>
          <w:tcPr>
            <w:tcW w:w="66" w:type="dxa"/>
            <w:tcBorders/>
            <w:shd w:fill="E5EEF8" w:val="clear"/>
            <w:vAlign w:val="center"/>
          </w:tcPr>
          <w:p>
            <w:pPr>
              <w:pStyle w:val="TableContents"/>
              <w:spacing w:lineRule="atLeast" w:line="240" w:before="0" w:after="0"/>
              <w:rPr/>
            </w:pPr>
            <w:r>
              <w:rPr/>
              <w:t> </w:t>
            </w:r>
          </w:p>
        </w:tc>
        <w:tc>
          <w:tcPr>
            <w:tcW w:w="419"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2021</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74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1,000,000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83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12,946,468</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74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4,425,029</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94" w:type="dxa"/>
            <w:tcBorders/>
            <w:shd w:fill="E5EEF8" w:val="clear"/>
            <w:vAlign w:val="center"/>
          </w:tcPr>
          <w:p>
            <w:pPr>
              <w:pStyle w:val="TableContents"/>
              <w:spacing w:lineRule="atLeast" w:line="240" w:before="0" w:after="0"/>
              <w:rPr/>
            </w:pPr>
            <w:r>
              <w:rPr/>
              <w:t> </w:t>
            </w:r>
          </w:p>
        </w:tc>
        <w:tc>
          <w:tcPr>
            <w:tcW w:w="117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3,000,000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03" w:type="dxa"/>
            <w:tcBorders/>
            <w:shd w:fill="E5EEF8" w:val="clear"/>
            <w:vAlign w:val="center"/>
          </w:tcPr>
          <w:p>
            <w:pPr>
              <w:pStyle w:val="TableContents"/>
              <w:spacing w:lineRule="atLeast" w:line="240" w:before="0" w:after="0"/>
              <w:rPr/>
            </w:pPr>
            <w:r>
              <w:rPr/>
              <w:t> </w:t>
            </w:r>
          </w:p>
        </w:tc>
        <w:tc>
          <w:tcPr>
            <w:tcW w:w="1041"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160,558</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8" w:type="dxa"/>
            <w:tcBorders/>
            <w:shd w:fill="E5EEF8" w:val="clear"/>
            <w:vAlign w:val="center"/>
          </w:tcPr>
          <w:p>
            <w:pPr>
              <w:pStyle w:val="TableContents"/>
              <w:spacing w:lineRule="atLeast" w:line="240" w:before="0" w:after="0"/>
              <w:rPr/>
            </w:pPr>
            <w:r>
              <w:rPr/>
              <w:t> </w:t>
            </w:r>
          </w:p>
        </w:tc>
        <w:tc>
          <w:tcPr>
            <w:tcW w:w="1047"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21,532,055  </w:t>
            </w:r>
          </w:p>
        </w:tc>
        <w:tc>
          <w:tcPr>
            <w:tcW w:w="75" w:type="dxa"/>
            <w:tcBorders/>
            <w:shd w:fill="E5EEF8" w:val="clear"/>
            <w:vAlign w:val="center"/>
          </w:tcPr>
          <w:p>
            <w:pPr>
              <w:pStyle w:val="TableContents"/>
              <w:spacing w:before="0" w:after="283"/>
              <w:rPr>
                <w:sz w:val="4"/>
                <w:szCs w:val="4"/>
              </w:rPr>
            </w:pPr>
            <w:r>
              <w:rPr>
                <w:sz w:val="4"/>
                <w:szCs w:val="4"/>
              </w:rPr>
            </w:r>
          </w:p>
        </w:tc>
      </w:tr>
      <w:tr>
        <w:trPr/>
        <w:tc>
          <w:tcPr>
            <w:tcW w:w="2555" w:type="dxa"/>
            <w:tcBorders/>
            <w:shd w:fill="E5EEF8" w:val="clear"/>
            <w:vAlign w:val="center"/>
          </w:tcPr>
          <w:p>
            <w:pPr>
              <w:pStyle w:val="TableContents"/>
              <w:spacing w:lineRule="atLeast" w:line="240" w:before="0" w:after="0"/>
              <w:rPr/>
            </w:pPr>
            <w:r>
              <w:rPr/>
              <w:t>  </w:t>
            </w:r>
            <w:r>
              <w:rPr>
                <w:rFonts w:ascii="ARIAL" w:hAnsi="ARIAL"/>
                <w:sz w:val="16"/>
              </w:rPr>
              <w:t>Executive Officer</w:t>
            </w:r>
          </w:p>
        </w:tc>
        <w:tc>
          <w:tcPr>
            <w:tcW w:w="60" w:type="dxa"/>
            <w:tcBorders/>
            <w:shd w:fill="E5EEF8" w:val="clear"/>
            <w:vAlign w:val="center"/>
          </w:tcPr>
          <w:p>
            <w:pPr>
              <w:pStyle w:val="TableContents"/>
              <w:spacing w:before="0" w:after="283"/>
              <w:rPr/>
            </w:pPr>
            <w:r>
              <w:rPr/>
              <w:t> </w:t>
            </w:r>
          </w:p>
        </w:tc>
        <w:tc>
          <w:tcPr>
            <w:tcW w:w="66" w:type="dxa"/>
            <w:tcBorders/>
            <w:shd w:fill="E5EEF8" w:val="clear"/>
            <w:vAlign w:val="center"/>
          </w:tcPr>
          <w:p>
            <w:pPr>
              <w:pStyle w:val="TableContents"/>
              <w:spacing w:lineRule="atLeast" w:line="240" w:before="0" w:after="0"/>
              <w:rPr/>
            </w:pPr>
            <w:r>
              <w:rPr/>
              <w:t> </w:t>
            </w:r>
          </w:p>
        </w:tc>
        <w:tc>
          <w:tcPr>
            <w:tcW w:w="419"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2020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74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895,833</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83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13,091,674</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74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4,249,979</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94" w:type="dxa"/>
            <w:tcBorders/>
            <w:shd w:fill="E5EEF8" w:val="clear"/>
            <w:vAlign w:val="center"/>
          </w:tcPr>
          <w:p>
            <w:pPr>
              <w:pStyle w:val="TableContents"/>
              <w:spacing w:lineRule="atLeast" w:line="240" w:before="0" w:after="0"/>
              <w:rPr/>
            </w:pPr>
            <w:r>
              <w:rPr/>
              <w:t> </w:t>
            </w:r>
          </w:p>
        </w:tc>
        <w:tc>
          <w:tcPr>
            <w:tcW w:w="117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584,000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03" w:type="dxa"/>
            <w:tcBorders/>
            <w:shd w:fill="E5EEF8" w:val="clear"/>
            <w:vAlign w:val="center"/>
          </w:tcPr>
          <w:p>
            <w:pPr>
              <w:pStyle w:val="TableContents"/>
              <w:spacing w:lineRule="atLeast" w:line="240" w:before="0" w:after="0"/>
              <w:rPr/>
            </w:pPr>
            <w:r>
              <w:rPr/>
              <w:t> </w:t>
            </w:r>
          </w:p>
        </w:tc>
        <w:tc>
          <w:tcPr>
            <w:tcW w:w="1041"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257,466</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8" w:type="dxa"/>
            <w:tcBorders/>
            <w:shd w:fill="E5EEF8" w:val="clear"/>
            <w:vAlign w:val="center"/>
          </w:tcPr>
          <w:p>
            <w:pPr>
              <w:pStyle w:val="TableContents"/>
              <w:spacing w:lineRule="atLeast" w:line="240" w:before="0" w:after="0"/>
              <w:rPr/>
            </w:pPr>
            <w:r>
              <w:rPr/>
              <w:t> </w:t>
            </w:r>
          </w:p>
        </w:tc>
        <w:tc>
          <w:tcPr>
            <w:tcW w:w="1047"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19,078,951  </w:t>
            </w:r>
          </w:p>
        </w:tc>
        <w:tc>
          <w:tcPr>
            <w:tcW w:w="75" w:type="dxa"/>
            <w:tcBorders/>
            <w:shd w:fill="E5EEF8"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before="0" w:after="283"/>
              <w:rPr>
                <w:sz w:val="4"/>
                <w:szCs w:val="4"/>
              </w:rPr>
            </w:pPr>
            <w:r>
              <w:rPr>
                <w:sz w:val="4"/>
                <w:szCs w:val="4"/>
              </w:rPr>
            </w:r>
          </w:p>
        </w:tc>
        <w:tc>
          <w:tcPr>
            <w:tcW w:w="605"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101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1384" w:type="dxa"/>
            <w:gridSpan w:val="4"/>
            <w:tcBorders/>
            <w:shd w:fill="auto" w:val="clear"/>
            <w:vAlign w:val="center"/>
          </w:tcPr>
          <w:p>
            <w:pPr>
              <w:pStyle w:val="TableContents"/>
              <w:spacing w:before="0" w:after="283"/>
              <w:rPr>
                <w:sz w:val="4"/>
                <w:szCs w:val="4"/>
              </w:rPr>
            </w:pPr>
            <w:r>
              <w:rPr>
                <w:sz w:val="4"/>
                <w:szCs w:val="4"/>
              </w:rPr>
            </w:r>
          </w:p>
        </w:tc>
        <w:tc>
          <w:tcPr>
            <w:tcW w:w="1264"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lineRule="atLeast" w:line="240" w:before="0" w:after="0"/>
              <w:rPr>
                <w:color w:val="005CB9"/>
              </w:rPr>
            </w:pPr>
            <w:r>
              <w:rPr>
                <w:color w:val="005CB9"/>
              </w:rPr>
              <w:t>  </w:t>
            </w:r>
            <w:r>
              <w:rPr>
                <w:rFonts w:ascii="ARIAL" w:hAnsi="ARIAL"/>
                <w:b/>
                <w:color w:val="005CB9"/>
                <w:sz w:val="16"/>
              </w:rPr>
              <w:t>Robert C. Crisci</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lineRule="atLeast" w:line="240" w:before="0" w:after="0"/>
              <w:rPr/>
            </w:pPr>
            <w:r>
              <w:rPr/>
              <w:t> </w:t>
            </w:r>
          </w:p>
        </w:tc>
        <w:tc>
          <w:tcPr>
            <w:tcW w:w="41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2022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710,000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4,399,999</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1,499,966</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lineRule="atLeast" w:line="240" w:before="0" w:after="0"/>
              <w:rPr/>
            </w:pPr>
            <w:r>
              <w:rPr/>
              <w:t> </w:t>
            </w:r>
          </w:p>
        </w:tc>
        <w:tc>
          <w:tcPr>
            <w:tcW w:w="117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887,500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lineRule="atLeast" w:line="240" w:before="0" w:after="0"/>
              <w:rPr/>
            </w:pPr>
            <w:r>
              <w:rPr/>
              <w:t> </w:t>
            </w:r>
          </w:p>
        </w:tc>
        <w:tc>
          <w:tcPr>
            <w:tcW w:w="1041"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180,055</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lineRule="atLeast" w:line="240" w:before="0" w:after="0"/>
              <w:rPr/>
            </w:pPr>
            <w:r>
              <w:rPr/>
              <w:t> </w:t>
            </w:r>
          </w:p>
        </w:tc>
        <w:tc>
          <w:tcPr>
            <w:tcW w:w="1047"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7,677,520  </w:t>
            </w:r>
          </w:p>
        </w:tc>
        <w:tc>
          <w:tcPr>
            <w:tcW w:w="75" w:type="dxa"/>
            <w:tcBorders/>
            <w:shd w:fill="auto" w:val="clear"/>
            <w:vAlign w:val="center"/>
          </w:tcPr>
          <w:p>
            <w:pPr>
              <w:pStyle w:val="TableContents"/>
              <w:spacing w:lineRule="atLeast" w:line="240" w:before="0" w:after="0"/>
              <w:rPr/>
            </w:pPr>
            <w:r>
              <w:rPr/>
              <w:t> </w:t>
            </w:r>
          </w:p>
        </w:tc>
      </w:tr>
      <w:tr>
        <w:trPr/>
        <w:tc>
          <w:tcPr>
            <w:tcW w:w="2555" w:type="dxa"/>
            <w:tcBorders/>
            <w:shd w:fill="auto" w:val="clear"/>
            <w:vAlign w:val="center"/>
          </w:tcPr>
          <w:p>
            <w:pPr>
              <w:pStyle w:val="TableContents"/>
              <w:spacing w:lineRule="atLeast" w:line="240" w:before="0" w:after="0"/>
              <w:rPr/>
            </w:pPr>
            <w:r>
              <w:rPr/>
              <w:t>  </w:t>
            </w:r>
            <w:r>
              <w:rPr>
                <w:rFonts w:ascii="ARIAL" w:hAnsi="ARIAL"/>
                <w:sz w:val="16"/>
              </w:rPr>
              <w:t>Former Executive Vice President</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lineRule="atLeast" w:line="240" w:before="0" w:after="0"/>
              <w:rPr/>
            </w:pPr>
            <w:r>
              <w:rPr/>
              <w:t> </w:t>
            </w:r>
          </w:p>
        </w:tc>
        <w:tc>
          <w:tcPr>
            <w:tcW w:w="41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2021</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690,000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4,095,969</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1,450,038</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lineRule="atLeast" w:line="240" w:before="0" w:after="0"/>
              <w:rPr/>
            </w:pPr>
            <w:r>
              <w:rPr/>
              <w:t> </w:t>
            </w:r>
          </w:p>
        </w:tc>
        <w:tc>
          <w:tcPr>
            <w:tcW w:w="117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1,293,750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lineRule="atLeast" w:line="240" w:before="0" w:after="0"/>
              <w:rPr/>
            </w:pPr>
            <w:r>
              <w:rPr/>
              <w:t> </w:t>
            </w:r>
          </w:p>
        </w:tc>
        <w:tc>
          <w:tcPr>
            <w:tcW w:w="1041"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103,322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lineRule="atLeast" w:line="240" w:before="0" w:after="0"/>
              <w:rPr/>
            </w:pPr>
            <w:r>
              <w:rPr/>
              <w:t> </w:t>
            </w:r>
          </w:p>
        </w:tc>
        <w:tc>
          <w:tcPr>
            <w:tcW w:w="1047"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7,633,079  </w:t>
            </w:r>
          </w:p>
        </w:tc>
        <w:tc>
          <w:tcPr>
            <w:tcW w:w="75" w:type="dxa"/>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lineRule="atLeast" w:line="240" w:before="0" w:after="0"/>
              <w:rPr/>
            </w:pPr>
            <w:r>
              <w:rPr/>
              <w:t>  </w:t>
            </w:r>
            <w:r>
              <w:rPr>
                <w:rFonts w:ascii="ARIAL" w:hAnsi="ARIAL"/>
                <w:sz w:val="16"/>
              </w:rPr>
              <w:t>and Chief Financial Officer</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lineRule="atLeast" w:line="240" w:before="0" w:after="0"/>
              <w:rPr/>
            </w:pPr>
            <w:r>
              <w:rPr/>
              <w:t> </w:t>
            </w:r>
          </w:p>
        </w:tc>
        <w:tc>
          <w:tcPr>
            <w:tcW w:w="41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2020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605,000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4,107,170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1,400,003</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lineRule="atLeast" w:line="240" w:before="0" w:after="0"/>
              <w:rPr/>
            </w:pPr>
            <w:r>
              <w:rPr/>
              <w:t> </w:t>
            </w:r>
          </w:p>
        </w:tc>
        <w:tc>
          <w:tcPr>
            <w:tcW w:w="117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240,900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lineRule="atLeast" w:line="240" w:before="0" w:after="0"/>
              <w:rPr/>
            </w:pPr>
            <w:r>
              <w:rPr/>
              <w:t> </w:t>
            </w:r>
          </w:p>
        </w:tc>
        <w:tc>
          <w:tcPr>
            <w:tcW w:w="1041"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138,252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lineRule="atLeast" w:line="240" w:before="0" w:after="0"/>
              <w:rPr/>
            </w:pPr>
            <w:r>
              <w:rPr/>
              <w:t> </w:t>
            </w:r>
          </w:p>
        </w:tc>
        <w:tc>
          <w:tcPr>
            <w:tcW w:w="1047"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6,491,325  </w:t>
            </w:r>
          </w:p>
        </w:tc>
        <w:tc>
          <w:tcPr>
            <w:tcW w:w="75" w:type="dxa"/>
            <w:tcBorders/>
            <w:shd w:fill="auto" w:val="clear"/>
            <w:vAlign w:val="center"/>
          </w:tcPr>
          <w:p>
            <w:pPr>
              <w:pStyle w:val="TableContents"/>
              <w:spacing w:before="0" w:after="283"/>
              <w:rPr>
                <w:sz w:val="4"/>
                <w:szCs w:val="4"/>
              </w:rPr>
            </w:pPr>
            <w:r>
              <w:rPr>
                <w:sz w:val="4"/>
                <w:szCs w:val="4"/>
              </w:rPr>
            </w:r>
          </w:p>
        </w:tc>
      </w:tr>
      <w:tr>
        <w:trPr/>
        <w:tc>
          <w:tcPr>
            <w:tcW w:w="2555" w:type="dxa"/>
            <w:tcBorders/>
            <w:shd w:fill="E5EEF8" w:val="clear"/>
            <w:vAlign w:val="center"/>
          </w:tcPr>
          <w:p>
            <w:pPr>
              <w:pStyle w:val="TableContents"/>
              <w:spacing w:before="0" w:after="283"/>
              <w:rPr>
                <w:sz w:val="4"/>
                <w:szCs w:val="4"/>
              </w:rPr>
            </w:pPr>
            <w:r>
              <w:rPr>
                <w:sz w:val="4"/>
                <w:szCs w:val="4"/>
              </w:rPr>
            </w:r>
          </w:p>
        </w:tc>
        <w:tc>
          <w:tcPr>
            <w:tcW w:w="605" w:type="dxa"/>
            <w:gridSpan w:val="4"/>
            <w:tcBorders/>
            <w:shd w:fill="E5EEF8" w:val="clear"/>
            <w:vAlign w:val="center"/>
          </w:tcPr>
          <w:p>
            <w:pPr>
              <w:pStyle w:val="TableContents"/>
              <w:spacing w:before="0" w:after="283"/>
              <w:rPr>
                <w:sz w:val="4"/>
                <w:szCs w:val="4"/>
              </w:rPr>
            </w:pPr>
            <w:r>
              <w:rPr>
                <w:sz w:val="4"/>
                <w:szCs w:val="4"/>
              </w:rPr>
            </w:r>
          </w:p>
        </w:tc>
        <w:tc>
          <w:tcPr>
            <w:tcW w:w="920" w:type="dxa"/>
            <w:gridSpan w:val="4"/>
            <w:tcBorders/>
            <w:shd w:fill="E5EEF8" w:val="clear"/>
            <w:vAlign w:val="center"/>
          </w:tcPr>
          <w:p>
            <w:pPr>
              <w:pStyle w:val="TableContents"/>
              <w:spacing w:before="0" w:after="283"/>
              <w:rPr>
                <w:sz w:val="4"/>
                <w:szCs w:val="4"/>
              </w:rPr>
            </w:pPr>
            <w:r>
              <w:rPr>
                <w:sz w:val="4"/>
                <w:szCs w:val="4"/>
              </w:rPr>
            </w:r>
          </w:p>
        </w:tc>
        <w:tc>
          <w:tcPr>
            <w:tcW w:w="1010" w:type="dxa"/>
            <w:gridSpan w:val="4"/>
            <w:tcBorders/>
            <w:shd w:fill="E5EEF8" w:val="clear"/>
            <w:vAlign w:val="center"/>
          </w:tcPr>
          <w:p>
            <w:pPr>
              <w:pStyle w:val="TableContents"/>
              <w:spacing w:before="0" w:after="283"/>
              <w:rPr>
                <w:sz w:val="4"/>
                <w:szCs w:val="4"/>
              </w:rPr>
            </w:pPr>
            <w:r>
              <w:rPr>
                <w:sz w:val="4"/>
                <w:szCs w:val="4"/>
              </w:rPr>
            </w:r>
          </w:p>
        </w:tc>
        <w:tc>
          <w:tcPr>
            <w:tcW w:w="920" w:type="dxa"/>
            <w:gridSpan w:val="4"/>
            <w:tcBorders/>
            <w:shd w:fill="E5EEF8" w:val="clear"/>
            <w:vAlign w:val="center"/>
          </w:tcPr>
          <w:p>
            <w:pPr>
              <w:pStyle w:val="TableContents"/>
              <w:spacing w:before="0" w:after="283"/>
              <w:rPr>
                <w:sz w:val="4"/>
                <w:szCs w:val="4"/>
              </w:rPr>
            </w:pPr>
            <w:r>
              <w:rPr>
                <w:sz w:val="4"/>
                <w:szCs w:val="4"/>
              </w:rPr>
            </w:r>
          </w:p>
        </w:tc>
        <w:tc>
          <w:tcPr>
            <w:tcW w:w="1384" w:type="dxa"/>
            <w:gridSpan w:val="4"/>
            <w:tcBorders/>
            <w:shd w:fill="E5EEF8" w:val="clear"/>
            <w:vAlign w:val="center"/>
          </w:tcPr>
          <w:p>
            <w:pPr>
              <w:pStyle w:val="TableContents"/>
              <w:spacing w:before="0" w:after="283"/>
              <w:rPr>
                <w:sz w:val="4"/>
                <w:szCs w:val="4"/>
              </w:rPr>
            </w:pPr>
            <w:r>
              <w:rPr>
                <w:sz w:val="4"/>
                <w:szCs w:val="4"/>
              </w:rPr>
            </w:r>
          </w:p>
        </w:tc>
        <w:tc>
          <w:tcPr>
            <w:tcW w:w="1264" w:type="dxa"/>
            <w:gridSpan w:val="4"/>
            <w:tcBorders/>
            <w:shd w:fill="E5EEF8" w:val="clear"/>
            <w:vAlign w:val="center"/>
          </w:tcPr>
          <w:p>
            <w:pPr>
              <w:pStyle w:val="TableContents"/>
              <w:spacing w:before="0" w:after="283"/>
              <w:rPr>
                <w:sz w:val="4"/>
                <w:szCs w:val="4"/>
              </w:rPr>
            </w:pPr>
            <w:r>
              <w:rPr>
                <w:sz w:val="4"/>
                <w:szCs w:val="4"/>
              </w:rPr>
            </w:r>
          </w:p>
        </w:tc>
        <w:tc>
          <w:tcPr>
            <w:tcW w:w="1250" w:type="dxa"/>
            <w:gridSpan w:val="4"/>
            <w:tcBorders/>
            <w:shd w:fill="E5EEF8" w:val="clear"/>
            <w:vAlign w:val="center"/>
          </w:tcPr>
          <w:p>
            <w:pPr>
              <w:pStyle w:val="TableContents"/>
              <w:spacing w:before="0" w:after="283"/>
              <w:rPr>
                <w:sz w:val="4"/>
                <w:szCs w:val="4"/>
              </w:rPr>
            </w:pPr>
            <w:r>
              <w:rPr>
                <w:sz w:val="4"/>
                <w:szCs w:val="4"/>
              </w:rPr>
            </w:r>
          </w:p>
        </w:tc>
      </w:tr>
      <w:tr>
        <w:trPr/>
        <w:tc>
          <w:tcPr>
            <w:tcW w:w="2555" w:type="dxa"/>
            <w:tcBorders/>
            <w:shd w:fill="E5EEF8" w:val="clear"/>
            <w:vAlign w:val="center"/>
          </w:tcPr>
          <w:p>
            <w:pPr>
              <w:pStyle w:val="TableContents"/>
              <w:spacing w:lineRule="atLeast" w:line="240" w:before="0" w:after="0"/>
              <w:rPr>
                <w:color w:val="005CB9"/>
              </w:rPr>
            </w:pPr>
            <w:r>
              <w:rPr>
                <w:color w:val="005CB9"/>
              </w:rPr>
              <w:t>  </w:t>
            </w:r>
            <w:r>
              <w:rPr>
                <w:rFonts w:ascii="ARIAL" w:hAnsi="ARIAL"/>
                <w:b/>
                <w:color w:val="005CB9"/>
                <w:sz w:val="16"/>
              </w:rPr>
              <w:t>John K. Stipancich</w:t>
            </w:r>
          </w:p>
        </w:tc>
        <w:tc>
          <w:tcPr>
            <w:tcW w:w="60" w:type="dxa"/>
            <w:tcBorders/>
            <w:shd w:fill="E5EEF8" w:val="clear"/>
            <w:vAlign w:val="center"/>
          </w:tcPr>
          <w:p>
            <w:pPr>
              <w:pStyle w:val="TableContents"/>
              <w:spacing w:before="0" w:after="283"/>
              <w:rPr/>
            </w:pPr>
            <w:r>
              <w:rPr/>
              <w:t> </w:t>
            </w:r>
          </w:p>
        </w:tc>
        <w:tc>
          <w:tcPr>
            <w:tcW w:w="66" w:type="dxa"/>
            <w:tcBorders/>
            <w:shd w:fill="E5EEF8" w:val="clear"/>
            <w:vAlign w:val="center"/>
          </w:tcPr>
          <w:p>
            <w:pPr>
              <w:pStyle w:val="TableContents"/>
              <w:spacing w:lineRule="atLeast" w:line="240" w:before="0" w:after="0"/>
              <w:rPr/>
            </w:pPr>
            <w:r>
              <w:rPr/>
              <w:t> </w:t>
            </w:r>
          </w:p>
        </w:tc>
        <w:tc>
          <w:tcPr>
            <w:tcW w:w="419"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2022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74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770,000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83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2,649,924</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74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920,000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94" w:type="dxa"/>
            <w:tcBorders/>
            <w:shd w:fill="E5EEF8" w:val="clear"/>
            <w:vAlign w:val="center"/>
          </w:tcPr>
          <w:p>
            <w:pPr>
              <w:pStyle w:val="TableContents"/>
              <w:spacing w:lineRule="atLeast" w:line="240" w:before="0" w:after="0"/>
              <w:rPr/>
            </w:pPr>
            <w:r>
              <w:rPr/>
              <w:t> </w:t>
            </w:r>
          </w:p>
        </w:tc>
        <w:tc>
          <w:tcPr>
            <w:tcW w:w="117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962,500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03" w:type="dxa"/>
            <w:tcBorders/>
            <w:shd w:fill="E5EEF8" w:val="clear"/>
            <w:vAlign w:val="center"/>
          </w:tcPr>
          <w:p>
            <w:pPr>
              <w:pStyle w:val="TableContents"/>
              <w:spacing w:lineRule="atLeast" w:line="240" w:before="0" w:after="0"/>
              <w:rPr/>
            </w:pPr>
            <w:r>
              <w:rPr/>
              <w:t> </w:t>
            </w:r>
          </w:p>
        </w:tc>
        <w:tc>
          <w:tcPr>
            <w:tcW w:w="1041"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184,500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8" w:type="dxa"/>
            <w:tcBorders/>
            <w:shd w:fill="E5EEF8" w:val="clear"/>
            <w:vAlign w:val="center"/>
          </w:tcPr>
          <w:p>
            <w:pPr>
              <w:pStyle w:val="TableContents"/>
              <w:spacing w:lineRule="atLeast" w:line="240" w:before="0" w:after="0"/>
              <w:rPr/>
            </w:pPr>
            <w:r>
              <w:rPr/>
              <w:t> </w:t>
            </w:r>
          </w:p>
        </w:tc>
        <w:tc>
          <w:tcPr>
            <w:tcW w:w="1047"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5,486,924  </w:t>
            </w:r>
          </w:p>
        </w:tc>
        <w:tc>
          <w:tcPr>
            <w:tcW w:w="75" w:type="dxa"/>
            <w:tcBorders/>
            <w:shd w:fill="E5EEF8" w:val="clear"/>
            <w:vAlign w:val="center"/>
          </w:tcPr>
          <w:p>
            <w:pPr>
              <w:pStyle w:val="TableContents"/>
              <w:spacing w:lineRule="atLeast" w:line="240" w:before="0" w:after="0"/>
              <w:rPr/>
            </w:pPr>
            <w:r>
              <w:rPr/>
              <w:t> </w:t>
            </w:r>
          </w:p>
        </w:tc>
      </w:tr>
      <w:tr>
        <w:trPr/>
        <w:tc>
          <w:tcPr>
            <w:tcW w:w="2555" w:type="dxa"/>
            <w:tcBorders/>
            <w:shd w:fill="E5EEF8" w:val="clear"/>
            <w:vAlign w:val="center"/>
          </w:tcPr>
          <w:p>
            <w:pPr>
              <w:pStyle w:val="TableContents"/>
              <w:spacing w:lineRule="atLeast" w:line="240" w:before="0" w:after="0"/>
              <w:rPr/>
            </w:pPr>
            <w:r>
              <w:rPr/>
              <w:t>  </w:t>
            </w:r>
            <w:r>
              <w:rPr>
                <w:rFonts w:ascii="ARIAL" w:hAnsi="ARIAL"/>
                <w:sz w:val="16"/>
              </w:rPr>
              <w:t>Executive Vice President,</w:t>
            </w:r>
          </w:p>
        </w:tc>
        <w:tc>
          <w:tcPr>
            <w:tcW w:w="60" w:type="dxa"/>
            <w:tcBorders/>
            <w:shd w:fill="E5EEF8" w:val="clear"/>
            <w:vAlign w:val="center"/>
          </w:tcPr>
          <w:p>
            <w:pPr>
              <w:pStyle w:val="TableContents"/>
              <w:spacing w:before="0" w:after="283"/>
              <w:rPr/>
            </w:pPr>
            <w:r>
              <w:rPr/>
              <w:t> </w:t>
            </w:r>
          </w:p>
        </w:tc>
        <w:tc>
          <w:tcPr>
            <w:tcW w:w="66" w:type="dxa"/>
            <w:tcBorders/>
            <w:shd w:fill="E5EEF8" w:val="clear"/>
            <w:vAlign w:val="center"/>
          </w:tcPr>
          <w:p>
            <w:pPr>
              <w:pStyle w:val="TableContents"/>
              <w:spacing w:lineRule="atLeast" w:line="240" w:before="0" w:after="0"/>
              <w:rPr/>
            </w:pPr>
            <w:r>
              <w:rPr/>
              <w:t> </w:t>
            </w:r>
          </w:p>
        </w:tc>
        <w:tc>
          <w:tcPr>
            <w:tcW w:w="419"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2021</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74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750,000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83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2,437,998</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74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899,989</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94" w:type="dxa"/>
            <w:tcBorders/>
            <w:shd w:fill="E5EEF8" w:val="clear"/>
            <w:vAlign w:val="center"/>
          </w:tcPr>
          <w:p>
            <w:pPr>
              <w:pStyle w:val="TableContents"/>
              <w:spacing w:lineRule="atLeast" w:line="240" w:before="0" w:after="0"/>
              <w:rPr/>
            </w:pPr>
            <w:r>
              <w:rPr/>
              <w:t> </w:t>
            </w:r>
          </w:p>
        </w:tc>
        <w:tc>
          <w:tcPr>
            <w:tcW w:w="117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1,406,250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03" w:type="dxa"/>
            <w:tcBorders/>
            <w:shd w:fill="E5EEF8" w:val="clear"/>
            <w:vAlign w:val="center"/>
          </w:tcPr>
          <w:p>
            <w:pPr>
              <w:pStyle w:val="TableContents"/>
              <w:spacing w:lineRule="atLeast" w:line="240" w:before="0" w:after="0"/>
              <w:rPr/>
            </w:pPr>
            <w:r>
              <w:rPr/>
              <w:t> </w:t>
            </w:r>
          </w:p>
        </w:tc>
        <w:tc>
          <w:tcPr>
            <w:tcW w:w="1041"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105,432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8" w:type="dxa"/>
            <w:tcBorders/>
            <w:shd w:fill="E5EEF8" w:val="clear"/>
            <w:vAlign w:val="center"/>
          </w:tcPr>
          <w:p>
            <w:pPr>
              <w:pStyle w:val="TableContents"/>
              <w:spacing w:lineRule="atLeast" w:line="240" w:before="0" w:after="0"/>
              <w:rPr/>
            </w:pPr>
            <w:r>
              <w:rPr/>
              <w:t> </w:t>
            </w:r>
          </w:p>
        </w:tc>
        <w:tc>
          <w:tcPr>
            <w:tcW w:w="1047"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5,599,669  </w:t>
            </w:r>
          </w:p>
        </w:tc>
        <w:tc>
          <w:tcPr>
            <w:tcW w:w="75" w:type="dxa"/>
            <w:tcBorders/>
            <w:shd w:fill="E5EEF8" w:val="clear"/>
            <w:vAlign w:val="center"/>
          </w:tcPr>
          <w:p>
            <w:pPr>
              <w:pStyle w:val="TableContents"/>
              <w:spacing w:before="0" w:after="283"/>
              <w:rPr>
                <w:sz w:val="4"/>
                <w:szCs w:val="4"/>
              </w:rPr>
            </w:pPr>
            <w:r>
              <w:rPr>
                <w:sz w:val="4"/>
                <w:szCs w:val="4"/>
              </w:rPr>
            </w:r>
          </w:p>
        </w:tc>
      </w:tr>
      <w:tr>
        <w:trPr/>
        <w:tc>
          <w:tcPr>
            <w:tcW w:w="2555" w:type="dxa"/>
            <w:tcBorders/>
            <w:shd w:fill="E5EEF8" w:val="clear"/>
            <w:vAlign w:val="center"/>
          </w:tcPr>
          <w:p>
            <w:pPr>
              <w:pStyle w:val="TableContents"/>
              <w:spacing w:lineRule="atLeast" w:line="240" w:before="0" w:after="0"/>
              <w:rPr/>
            </w:pPr>
            <w:r>
              <w:rPr/>
              <w:t>  </w:t>
            </w:r>
            <w:r>
              <w:rPr>
                <w:rFonts w:ascii="ARIAL" w:hAnsi="ARIAL"/>
                <w:sz w:val="16"/>
              </w:rPr>
              <w:t xml:space="preserve">General Counsel and Corporate </w:t>
              <w:br/>
              <w:t>  Secretary</w:t>
            </w:r>
          </w:p>
        </w:tc>
        <w:tc>
          <w:tcPr>
            <w:tcW w:w="60" w:type="dxa"/>
            <w:tcBorders/>
            <w:shd w:fill="E5EEF8" w:val="clear"/>
            <w:vAlign w:val="center"/>
          </w:tcPr>
          <w:p>
            <w:pPr>
              <w:pStyle w:val="TableContents"/>
              <w:spacing w:before="0" w:after="283"/>
              <w:rPr/>
            </w:pPr>
            <w:r>
              <w:rPr/>
              <w:t> </w:t>
            </w:r>
          </w:p>
        </w:tc>
        <w:tc>
          <w:tcPr>
            <w:tcW w:w="66" w:type="dxa"/>
            <w:tcBorders/>
            <w:shd w:fill="E5EEF8" w:val="clear"/>
            <w:vAlign w:val="center"/>
          </w:tcPr>
          <w:p>
            <w:pPr>
              <w:pStyle w:val="TableContents"/>
              <w:spacing w:lineRule="atLeast" w:line="240" w:before="0" w:after="0"/>
              <w:rPr/>
            </w:pPr>
            <w:r>
              <w:rPr/>
              <w:t> </w:t>
            </w:r>
          </w:p>
        </w:tc>
        <w:tc>
          <w:tcPr>
            <w:tcW w:w="419"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2020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74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660,000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83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2,464,376</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74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850,026</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94" w:type="dxa"/>
            <w:tcBorders/>
            <w:shd w:fill="E5EEF8" w:val="clear"/>
            <w:vAlign w:val="center"/>
          </w:tcPr>
          <w:p>
            <w:pPr>
              <w:pStyle w:val="TableContents"/>
              <w:spacing w:lineRule="atLeast" w:line="240" w:before="0" w:after="0"/>
              <w:rPr/>
            </w:pPr>
            <w:r>
              <w:rPr/>
              <w:t> </w:t>
            </w:r>
          </w:p>
        </w:tc>
        <w:tc>
          <w:tcPr>
            <w:tcW w:w="117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262,800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03" w:type="dxa"/>
            <w:tcBorders/>
            <w:shd w:fill="E5EEF8" w:val="clear"/>
            <w:vAlign w:val="center"/>
          </w:tcPr>
          <w:p>
            <w:pPr>
              <w:pStyle w:val="TableContents"/>
              <w:spacing w:lineRule="atLeast" w:line="240" w:before="0" w:after="0"/>
              <w:rPr/>
            </w:pPr>
            <w:r>
              <w:rPr/>
              <w:t> </w:t>
            </w:r>
          </w:p>
        </w:tc>
        <w:tc>
          <w:tcPr>
            <w:tcW w:w="1041"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143,156</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8" w:type="dxa"/>
            <w:tcBorders/>
            <w:shd w:fill="E5EEF8" w:val="clear"/>
            <w:vAlign w:val="center"/>
          </w:tcPr>
          <w:p>
            <w:pPr>
              <w:pStyle w:val="TableContents"/>
              <w:spacing w:lineRule="atLeast" w:line="240" w:before="0" w:after="0"/>
              <w:rPr/>
            </w:pPr>
            <w:r>
              <w:rPr/>
              <w:t> </w:t>
            </w:r>
          </w:p>
        </w:tc>
        <w:tc>
          <w:tcPr>
            <w:tcW w:w="1047"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4,380,358  </w:t>
            </w:r>
          </w:p>
        </w:tc>
        <w:tc>
          <w:tcPr>
            <w:tcW w:w="75" w:type="dxa"/>
            <w:tcBorders/>
            <w:shd w:fill="E5EEF8"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before="0" w:after="283"/>
              <w:rPr>
                <w:sz w:val="4"/>
                <w:szCs w:val="4"/>
              </w:rPr>
            </w:pPr>
            <w:r>
              <w:rPr>
                <w:sz w:val="4"/>
                <w:szCs w:val="4"/>
              </w:rPr>
            </w:r>
          </w:p>
        </w:tc>
        <w:tc>
          <w:tcPr>
            <w:tcW w:w="605"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101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1384" w:type="dxa"/>
            <w:gridSpan w:val="4"/>
            <w:tcBorders/>
            <w:shd w:fill="auto" w:val="clear"/>
            <w:vAlign w:val="center"/>
          </w:tcPr>
          <w:p>
            <w:pPr>
              <w:pStyle w:val="TableContents"/>
              <w:spacing w:before="0" w:after="283"/>
              <w:rPr>
                <w:sz w:val="4"/>
                <w:szCs w:val="4"/>
              </w:rPr>
            </w:pPr>
            <w:r>
              <w:rPr>
                <w:sz w:val="4"/>
                <w:szCs w:val="4"/>
              </w:rPr>
            </w:r>
          </w:p>
        </w:tc>
        <w:tc>
          <w:tcPr>
            <w:tcW w:w="1264"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lineRule="atLeast" w:line="240" w:before="0" w:after="0"/>
              <w:rPr>
                <w:color w:val="005CB9"/>
              </w:rPr>
            </w:pPr>
            <w:r>
              <w:rPr>
                <w:color w:val="005CB9"/>
              </w:rPr>
              <w:t>  </w:t>
            </w:r>
            <w:r>
              <w:rPr>
                <w:rFonts w:ascii="ARIAL" w:hAnsi="ARIAL"/>
                <w:b/>
                <w:color w:val="005CB9"/>
                <w:sz w:val="16"/>
              </w:rPr>
              <w:t>Jason Conley</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lineRule="atLeast" w:line="240" w:before="0" w:after="0"/>
              <w:rPr/>
            </w:pPr>
            <w:r>
              <w:rPr/>
              <w:t> </w:t>
            </w:r>
          </w:p>
        </w:tc>
        <w:tc>
          <w:tcPr>
            <w:tcW w:w="41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2022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605,000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2,649,924</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874,971</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lineRule="atLeast" w:line="240" w:before="0" w:after="0"/>
              <w:rPr/>
            </w:pPr>
            <w:r>
              <w:rPr/>
              <w:t> </w:t>
            </w:r>
          </w:p>
        </w:tc>
        <w:tc>
          <w:tcPr>
            <w:tcW w:w="117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756,250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lineRule="atLeast" w:line="240" w:before="0" w:after="0"/>
              <w:rPr/>
            </w:pPr>
            <w:r>
              <w:rPr/>
              <w:t> </w:t>
            </w:r>
          </w:p>
        </w:tc>
        <w:tc>
          <w:tcPr>
            <w:tcW w:w="1041"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140,993</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lineRule="atLeast" w:line="240" w:before="0" w:after="0"/>
              <w:rPr/>
            </w:pPr>
            <w:r>
              <w:rPr/>
              <w:t> </w:t>
            </w:r>
          </w:p>
        </w:tc>
        <w:tc>
          <w:tcPr>
            <w:tcW w:w="1047"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5,027,138  </w:t>
            </w:r>
          </w:p>
        </w:tc>
        <w:tc>
          <w:tcPr>
            <w:tcW w:w="75" w:type="dxa"/>
            <w:tcBorders/>
            <w:shd w:fill="auto" w:val="clear"/>
            <w:vAlign w:val="center"/>
          </w:tcPr>
          <w:p>
            <w:pPr>
              <w:pStyle w:val="TableContents"/>
              <w:spacing w:lineRule="atLeast" w:line="240" w:before="0" w:after="0"/>
              <w:rPr/>
            </w:pPr>
            <w:r>
              <w:rPr/>
              <w:t> </w:t>
            </w:r>
          </w:p>
        </w:tc>
      </w:tr>
      <w:tr>
        <w:trPr/>
        <w:tc>
          <w:tcPr>
            <w:tcW w:w="2555" w:type="dxa"/>
            <w:vMerge w:val="restart"/>
            <w:tcBorders/>
            <w:shd w:fill="auto" w:val="clear"/>
            <w:vAlign w:val="center"/>
          </w:tcPr>
          <w:p>
            <w:pPr>
              <w:pStyle w:val="TableContents"/>
              <w:spacing w:lineRule="atLeast" w:line="240" w:before="0" w:after="0"/>
              <w:rPr/>
            </w:pPr>
            <w:r>
              <w:rPr/>
              <w:t>  </w:t>
            </w:r>
            <w:r>
              <w:rPr>
                <w:rFonts w:ascii="ARIAL" w:hAnsi="ARIAL"/>
                <w:sz w:val="16"/>
              </w:rPr>
              <w:t xml:space="preserve">Executive Vice President and </w:t>
              <w:br/>
              <w:t>  Chief Financial Officer</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lineRule="atLeast" w:line="240" w:before="0" w:after="0"/>
              <w:rPr/>
            </w:pPr>
            <w:r>
              <w:rPr/>
              <w:t> </w:t>
            </w:r>
          </w:p>
        </w:tc>
        <w:tc>
          <w:tcPr>
            <w:tcW w:w="41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2021</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590,000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2,462,374</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849,984</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lineRule="atLeast" w:line="240" w:before="0" w:after="0"/>
              <w:rPr/>
            </w:pPr>
            <w:r>
              <w:rPr/>
              <w:t> </w:t>
            </w:r>
          </w:p>
        </w:tc>
        <w:tc>
          <w:tcPr>
            <w:tcW w:w="117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885,000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lineRule="atLeast" w:line="240" w:before="0" w:after="0"/>
              <w:rPr/>
            </w:pPr>
            <w:r>
              <w:rPr/>
              <w:t> </w:t>
            </w:r>
          </w:p>
        </w:tc>
        <w:tc>
          <w:tcPr>
            <w:tcW w:w="1041"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89,730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lineRule="atLeast" w:line="240" w:before="0" w:after="0"/>
              <w:rPr/>
            </w:pPr>
            <w:r>
              <w:rPr/>
              <w:t> </w:t>
            </w:r>
          </w:p>
        </w:tc>
        <w:tc>
          <w:tcPr>
            <w:tcW w:w="1047"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4,877,088  </w:t>
            </w:r>
          </w:p>
        </w:tc>
        <w:tc>
          <w:tcPr>
            <w:tcW w:w="75" w:type="dxa"/>
            <w:tcBorders/>
            <w:shd w:fill="auto" w:val="clear"/>
            <w:vAlign w:val="center"/>
          </w:tcPr>
          <w:p>
            <w:pPr>
              <w:pStyle w:val="TableContents"/>
              <w:spacing w:before="0" w:after="283"/>
              <w:rPr>
                <w:sz w:val="4"/>
                <w:szCs w:val="4"/>
              </w:rPr>
            </w:pPr>
            <w:r>
              <w:rPr>
                <w:sz w:val="4"/>
                <w:szCs w:val="4"/>
              </w:rPr>
            </w:r>
          </w:p>
        </w:tc>
      </w:tr>
      <w:tr>
        <w:trPr/>
        <w:tc>
          <w:tcPr>
            <w:tcW w:w="255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lineRule="atLeast" w:line="240" w:before="0" w:after="0"/>
              <w:rPr/>
            </w:pPr>
            <w:r>
              <w:rPr/>
              <w:t> </w:t>
            </w:r>
          </w:p>
        </w:tc>
        <w:tc>
          <w:tcPr>
            <w:tcW w:w="41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2020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517,917</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2,464,376</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825,003</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lineRule="atLeast" w:line="240" w:before="0" w:after="0"/>
              <w:rPr/>
            </w:pPr>
            <w:r>
              <w:rPr/>
              <w:t> </w:t>
            </w:r>
          </w:p>
        </w:tc>
        <w:tc>
          <w:tcPr>
            <w:tcW w:w="117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164,980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lineRule="atLeast" w:line="240" w:before="0" w:after="0"/>
              <w:rPr/>
            </w:pPr>
            <w:r>
              <w:rPr/>
              <w:t> </w:t>
            </w:r>
          </w:p>
        </w:tc>
        <w:tc>
          <w:tcPr>
            <w:tcW w:w="1041"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109,805</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lineRule="atLeast" w:line="240" w:before="0" w:after="0"/>
              <w:rPr/>
            </w:pPr>
            <w:r>
              <w:rPr/>
              <w:t> </w:t>
            </w:r>
          </w:p>
        </w:tc>
        <w:tc>
          <w:tcPr>
            <w:tcW w:w="1047"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4,082,081  </w:t>
            </w:r>
          </w:p>
        </w:tc>
        <w:tc>
          <w:tcPr>
            <w:tcW w:w="7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8770" w:type="dxa"/>
        <w:jc w:val="left"/>
        <w:tblInd w:w="0" w:type="dxa"/>
        <w:tblCellMar>
          <w:top w:w="0" w:type="dxa"/>
          <w:left w:w="0" w:type="dxa"/>
          <w:bottom w:w="0" w:type="dxa"/>
          <w:right w:w="0" w:type="dxa"/>
        </w:tblCellMar>
      </w:tblPr>
      <w:tblGrid>
        <w:gridCol w:w="365"/>
        <w:gridCol w:w="8405"/>
      </w:tblGrid>
      <w:tr>
        <w:trPr/>
        <w:tc>
          <w:tcPr>
            <w:tcW w:w="365" w:type="dxa"/>
            <w:tcBorders/>
            <w:shd w:fill="auto" w:val="clear"/>
            <w:vAlign w:val="center"/>
          </w:tcPr>
          <w:p>
            <w:pPr>
              <w:pStyle w:val="TableContents"/>
              <w:spacing w:before="0" w:after="283"/>
              <w:jc w:val="left"/>
              <w:rPr/>
            </w:pPr>
            <w:r>
              <w:rPr/>
              <w:t>(1) </w:t>
            </w:r>
          </w:p>
        </w:tc>
        <w:tc>
          <w:tcPr>
            <w:tcW w:w="8405" w:type="dxa"/>
            <w:tcBorders/>
            <w:shd w:fill="auto" w:val="clear"/>
            <w:vAlign w:val="center"/>
          </w:tcPr>
          <w:p>
            <w:pPr>
              <w:pStyle w:val="TableContents"/>
              <w:spacing w:before="0" w:after="0"/>
              <w:jc w:val="left"/>
              <w:rPr>
                <w:rFonts w:ascii="ARIAL" w:hAnsi="ARIAL"/>
                <w:sz w:val="16"/>
              </w:rPr>
            </w:pPr>
            <w:r>
              <w:rPr>
                <w:rFonts w:ascii="ARIAL" w:hAnsi="ARIAL"/>
                <w:sz w:val="16"/>
              </w:rPr>
              <w:t xml:space="preserve">Amounts shown for 2022 include, as applicable, deferrals to the 401(k) plan and the Non-Qualified Retirement Plan.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jc w:val="left"/>
              <w:rPr/>
            </w:pPr>
            <w:r>
              <w:rPr/>
              <w:t>(2) </w:t>
            </w:r>
          </w:p>
        </w:tc>
        <w:tc>
          <w:tcPr>
            <w:tcW w:w="9957"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dollar values shown for 2022 represent the grant date fair values for restricted stock and option awards calculated in accordance with ASC Topic 718. The assumptions used in determining the grant date fair values of these option awards are set forth in Note 12 to our consolidated financial statements for 2022, which are included in our Annual Report on Form 10-K for the fiscal year ended 2022 filed with the SEC. There is no assurance that these amounts will be realized. The restricted stock awards are all subject to performance-based vesting criteria. The performance-based criteria for awards granted in 2022 are described in the CD&amp;A under “Analysis of 2022 Compensation—Long-Term Stock Incentives,” and the vesting schedule for awards granted in 2022 is set forth in the notes to the 2022 Outstanding Equity Awards at Fiscal Year End table below.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283"/>
              <w:jc w:val="left"/>
              <w:rPr/>
            </w:pPr>
            <w:r>
              <w:rPr/>
              <w:t>(3) </w:t>
            </w:r>
          </w:p>
        </w:tc>
        <w:tc>
          <w:tcPr>
            <w:tcW w:w="9913"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amounts in this column for 2022 reflect payments made pursuant to our cash incentive program, which is described above in the CD&amp;A under “Analysis of 2022 Compensation—Annual Cash Incentive,” and were based upon base salaries as of the beginning of the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15"/>
        <w:gridCol w:w="9890"/>
      </w:tblGrid>
      <w:tr>
        <w:trPr/>
        <w:tc>
          <w:tcPr>
            <w:tcW w:w="315" w:type="dxa"/>
            <w:tcBorders/>
            <w:shd w:fill="auto" w:val="clear"/>
            <w:vAlign w:val="center"/>
          </w:tcPr>
          <w:p>
            <w:pPr>
              <w:pStyle w:val="TableContents"/>
              <w:spacing w:before="0" w:after="283"/>
              <w:jc w:val="left"/>
              <w:rPr/>
            </w:pPr>
            <w:r>
              <w:rPr/>
              <w:t>(4) </w:t>
            </w:r>
          </w:p>
        </w:tc>
        <w:tc>
          <w:tcPr>
            <w:tcW w:w="9890" w:type="dxa"/>
            <w:tcBorders/>
            <w:shd w:fill="auto" w:val="clear"/>
            <w:vAlign w:val="center"/>
          </w:tcPr>
          <w:p>
            <w:pPr>
              <w:pStyle w:val="TableContents"/>
              <w:spacing w:before="0" w:after="0"/>
              <w:jc w:val="left"/>
              <w:rPr>
                <w:rFonts w:ascii="ARIAL" w:hAnsi="ARIAL"/>
                <w:sz w:val="16"/>
              </w:rPr>
            </w:pPr>
            <w:r>
              <w:rPr>
                <w:rFonts w:ascii="ARIAL" w:hAnsi="ARIAL"/>
                <w:sz w:val="16"/>
              </w:rPr>
              <w:t xml:space="preserve">Amounts reported in the “All Other Compensation” column for 2022 include the following items. In respect of any of these items that constitute perquisites, the value shown is the Company’s incremental cost. </w:t>
            </w:r>
          </w:p>
        </w:tc>
      </w:tr>
    </w:tbl>
    <w:p>
      <w:pPr>
        <w:pStyle w:val="TextBody"/>
        <w:spacing w:before="0" w:after="0"/>
        <w:jc w:val="left"/>
        <w:rPr/>
      </w:pPr>
      <w:r>
        <w:rPr/>
        <w:t> </w:t>
      </w:r>
    </w:p>
    <w:tbl>
      <w:tblPr>
        <w:tblW w:w="7790" w:type="dxa"/>
        <w:jc w:val="left"/>
        <w:tblInd w:w="0" w:type="dxa"/>
        <w:tblCellMar>
          <w:top w:w="0" w:type="dxa"/>
          <w:left w:w="0" w:type="dxa"/>
          <w:bottom w:w="0" w:type="dxa"/>
          <w:right w:w="0" w:type="dxa"/>
        </w:tblCellMar>
      </w:tblPr>
      <w:tblGrid>
        <w:gridCol w:w="1505"/>
        <w:gridCol w:w="120"/>
        <w:gridCol w:w="105"/>
        <w:gridCol w:w="905"/>
        <w:gridCol w:w="60"/>
        <w:gridCol w:w="120"/>
        <w:gridCol w:w="81"/>
        <w:gridCol w:w="929"/>
        <w:gridCol w:w="60"/>
        <w:gridCol w:w="120"/>
        <w:gridCol w:w="75"/>
        <w:gridCol w:w="650"/>
        <w:gridCol w:w="60"/>
        <w:gridCol w:w="120"/>
        <w:gridCol w:w="87"/>
        <w:gridCol w:w="623"/>
        <w:gridCol w:w="60"/>
        <w:gridCol w:w="120"/>
        <w:gridCol w:w="82"/>
        <w:gridCol w:w="583"/>
        <w:gridCol w:w="60"/>
        <w:gridCol w:w="120"/>
        <w:gridCol w:w="85"/>
        <w:gridCol w:w="985"/>
        <w:gridCol w:w="75"/>
      </w:tblGrid>
      <w:tr>
        <w:trPr/>
        <w:tc>
          <w:tcPr>
            <w:tcW w:w="15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005CB9" w:val="clear"/>
            <w:vAlign w:val="center"/>
          </w:tcPr>
          <w:p>
            <w:pPr>
              <w:pStyle w:val="TableContents"/>
              <w:spacing w:before="0" w:after="283"/>
              <w:rPr>
                <w:color w:val="FFFFFF"/>
              </w:rPr>
            </w:pPr>
            <w:r>
              <w:rPr>
                <w:color w:val="FFFFFF"/>
              </w:rPr>
              <w:t>  </w:t>
            </w:r>
            <w:r>
              <w:rPr>
                <w:color w:val="FFFFFF"/>
              </w:rPr>
              <w:t>Name</w:t>
            </w:r>
          </w:p>
        </w:tc>
        <w:tc>
          <w:tcPr>
            <w:tcW w:w="120" w:type="dxa"/>
            <w:tcBorders/>
            <w:shd w:fill="005CB9" w:val="clear"/>
            <w:vAlign w:val="center"/>
          </w:tcPr>
          <w:p>
            <w:pPr>
              <w:pStyle w:val="TableContents"/>
              <w:spacing w:before="0" w:after="283"/>
              <w:rPr/>
            </w:pPr>
            <w:r>
              <w:rPr/>
              <w:t>  </w:t>
            </w:r>
          </w:p>
        </w:tc>
        <w:tc>
          <w:tcPr>
            <w:tcW w:w="101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Club</w:t>
            </w:r>
          </w:p>
          <w:p>
            <w:pPr>
              <w:pStyle w:val="TableContents"/>
              <w:spacing w:before="0" w:after="0"/>
              <w:jc w:val="right"/>
              <w:rPr>
                <w:rFonts w:ascii="arial" w:hAnsi="arial"/>
                <w:color w:val="FFFFFF"/>
                <w:sz w:val="16"/>
              </w:rPr>
            </w:pPr>
            <w:r>
              <w:rPr>
                <w:rFonts w:ascii="arial" w:hAnsi="arial"/>
                <w:color w:val="FFFFFF"/>
                <w:sz w:val="16"/>
              </w:rPr>
              <w:t>Memberships</w:t>
            </w:r>
          </w:p>
          <w:p>
            <w:pPr>
              <w:pStyle w:val="TableContents"/>
              <w:spacing w:before="0" w:after="20"/>
              <w:jc w:val="right"/>
              <w:rPr>
                <w:rFonts w:ascii="arial" w:hAnsi="arial"/>
                <w:color w:val="FFFFFF"/>
                <w:sz w:val="16"/>
              </w:rPr>
            </w:pPr>
            <w:r>
              <w:rPr>
                <w:rFonts w:ascii="arial" w:hAnsi="arial"/>
                <w:color w:val="FFFFFF"/>
                <w:sz w:val="16"/>
              </w:rPr>
              <w:t>($)</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1010" w:type="dxa"/>
            <w:gridSpan w:val="2"/>
            <w:tcBorders/>
            <w:shd w:fill="005CB9" w:val="clear"/>
            <w:vAlign w:val="center"/>
          </w:tcPr>
          <w:p>
            <w:pPr>
              <w:pStyle w:val="TableContents"/>
              <w:spacing w:before="0" w:after="0"/>
              <w:jc w:val="right"/>
              <w:rPr>
                <w:rFonts w:ascii="arial" w:hAnsi="arial"/>
                <w:sz w:val="16"/>
              </w:rPr>
            </w:pPr>
            <w:r>
              <w:rPr>
                <w:rFonts w:ascii="arial" w:hAnsi="arial"/>
                <w:color w:val="FFFFFF"/>
                <w:sz w:val="16"/>
              </w:rPr>
              <w:t>Personal Use</w:t>
              <w:br/>
              <w:t>of Aircraft</w:t>
            </w:r>
            <w:r>
              <w:rPr>
                <w:rFonts w:ascii="arial" w:hAnsi="arial"/>
                <w:color w:val="FFFFFF"/>
                <w:sz w:val="10"/>
              </w:rPr>
              <w:t>(a)</w:t>
            </w:r>
          </w:p>
          <w:p>
            <w:pPr>
              <w:pStyle w:val="TableContents"/>
              <w:spacing w:before="0" w:after="20"/>
              <w:jc w:val="right"/>
              <w:rPr>
                <w:rFonts w:ascii="arial" w:hAnsi="arial"/>
                <w:color w:val="FFFFFF"/>
                <w:sz w:val="16"/>
              </w:rPr>
            </w:pPr>
            <w:r>
              <w:rPr>
                <w:rFonts w:ascii="arial" w:hAnsi="arial"/>
                <w:color w:val="FFFFFF"/>
                <w:sz w:val="16"/>
              </w:rPr>
              <w:t>($)</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725"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Company</w:t>
              <w:br/>
              <w:t>Car</w:t>
            </w:r>
          </w:p>
          <w:p>
            <w:pPr>
              <w:pStyle w:val="TableContents"/>
              <w:spacing w:before="0" w:after="20"/>
              <w:jc w:val="right"/>
              <w:rPr>
                <w:rFonts w:ascii="arial" w:hAnsi="arial"/>
                <w:color w:val="FFFFFF"/>
                <w:sz w:val="16"/>
              </w:rPr>
            </w:pPr>
            <w:r>
              <w:rPr>
                <w:rFonts w:ascii="arial" w:hAnsi="arial"/>
                <w:color w:val="FFFFFF"/>
                <w:sz w:val="16"/>
              </w:rPr>
              <w:t>($)</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71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Additional</w:t>
            </w:r>
          </w:p>
          <w:p>
            <w:pPr>
              <w:pStyle w:val="TableContents"/>
              <w:spacing w:before="0" w:after="0"/>
              <w:jc w:val="right"/>
              <w:rPr>
                <w:rFonts w:ascii="arial" w:hAnsi="arial"/>
                <w:color w:val="FFFFFF"/>
                <w:sz w:val="16"/>
              </w:rPr>
            </w:pPr>
            <w:r>
              <w:rPr>
                <w:rFonts w:ascii="arial" w:hAnsi="arial"/>
                <w:color w:val="FFFFFF"/>
                <w:sz w:val="16"/>
              </w:rPr>
              <w:t>Medical</w:t>
              <w:br/>
              <w:t>Services</w:t>
            </w:r>
          </w:p>
          <w:p>
            <w:pPr>
              <w:pStyle w:val="TableContents"/>
              <w:spacing w:before="0" w:after="20"/>
              <w:jc w:val="right"/>
              <w:rPr>
                <w:rFonts w:ascii="arial" w:hAnsi="arial"/>
                <w:color w:val="FFFFFF"/>
                <w:sz w:val="16"/>
              </w:rPr>
            </w:pPr>
            <w:r>
              <w:rPr>
                <w:rFonts w:ascii="arial" w:hAnsi="arial"/>
                <w:color w:val="FFFFFF"/>
                <w:sz w:val="16"/>
              </w:rPr>
              <w:t>($)</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665"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Financial</w:t>
              <w:br/>
              <w:t>Planning</w:t>
            </w:r>
          </w:p>
          <w:p>
            <w:pPr>
              <w:pStyle w:val="TableContents"/>
              <w:spacing w:before="0" w:after="20"/>
              <w:jc w:val="right"/>
              <w:rPr>
                <w:rFonts w:ascii="arial" w:hAnsi="arial"/>
                <w:color w:val="FFFFFF"/>
                <w:sz w:val="16"/>
              </w:rPr>
            </w:pPr>
            <w:r>
              <w:rPr>
                <w:rFonts w:ascii="arial" w:hAnsi="arial"/>
                <w:color w:val="FFFFFF"/>
                <w:sz w:val="16"/>
              </w:rPr>
              <w:t>($)</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107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Contributions  </w:t>
            </w:r>
          </w:p>
          <w:p>
            <w:pPr>
              <w:pStyle w:val="TableContents"/>
              <w:spacing w:before="0" w:after="0"/>
              <w:jc w:val="right"/>
              <w:rPr>
                <w:rFonts w:ascii="arial" w:hAnsi="arial"/>
                <w:color w:val="FFFFFF"/>
                <w:sz w:val="16"/>
              </w:rPr>
            </w:pPr>
            <w:r>
              <w:rPr>
                <w:rFonts w:ascii="arial" w:hAnsi="arial"/>
                <w:color w:val="FFFFFF"/>
                <w:sz w:val="16"/>
              </w:rPr>
              <w:t>to Defined  </w:t>
            </w:r>
          </w:p>
          <w:p>
            <w:pPr>
              <w:pStyle w:val="TableContents"/>
              <w:spacing w:before="0" w:after="0"/>
              <w:jc w:val="right"/>
              <w:rPr>
                <w:rFonts w:ascii="arial" w:hAnsi="arial"/>
                <w:color w:val="FFFFFF"/>
                <w:sz w:val="16"/>
              </w:rPr>
            </w:pPr>
            <w:r>
              <w:rPr>
                <w:rFonts w:ascii="arial" w:hAnsi="arial"/>
                <w:color w:val="FFFFFF"/>
                <w:sz w:val="16"/>
              </w:rPr>
              <w:t>Contribution  </w:t>
            </w:r>
          </w:p>
          <w:p>
            <w:pPr>
              <w:pStyle w:val="TableContents"/>
              <w:spacing w:before="0" w:after="0"/>
              <w:jc w:val="right"/>
              <w:rPr>
                <w:rFonts w:ascii="arial" w:hAnsi="arial"/>
                <w:sz w:val="16"/>
              </w:rPr>
            </w:pPr>
            <w:r>
              <w:rPr>
                <w:rFonts w:ascii="arial" w:hAnsi="arial"/>
                <w:color w:val="FFFFFF"/>
                <w:sz w:val="16"/>
              </w:rPr>
              <w:t>Plans</w:t>
            </w:r>
            <w:r>
              <w:rPr>
                <w:rFonts w:ascii="arial" w:hAnsi="arial"/>
                <w:color w:val="FFFFFF"/>
                <w:sz w:val="10"/>
              </w:rPr>
              <w:t>(b)</w:t>
            </w:r>
            <w:r>
              <w:rPr>
                <w:rFonts w:ascii="arial" w:hAnsi="arial"/>
                <w:color w:val="FFFFFF"/>
                <w:sz w:val="16"/>
              </w:rPr>
              <w:t>  </w:t>
            </w:r>
          </w:p>
          <w:p>
            <w:pPr>
              <w:pStyle w:val="TableContents"/>
              <w:spacing w:before="0" w:after="20"/>
              <w:jc w:val="right"/>
              <w:rPr>
                <w:rFonts w:ascii="arial" w:hAnsi="arial"/>
                <w:color w:val="FFFFFF"/>
                <w:sz w:val="16"/>
              </w:rPr>
            </w:pPr>
            <w:r>
              <w:rPr>
                <w:rFonts w:ascii="arial" w:hAnsi="arial"/>
                <w:color w:val="FFFFFF"/>
                <w:sz w:val="16"/>
              </w:rPr>
              <w:t>($)  </w:t>
            </w:r>
          </w:p>
        </w:tc>
        <w:tc>
          <w:tcPr>
            <w:tcW w:w="7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r>
      <w:tr>
        <w:trPr/>
        <w:tc>
          <w:tcPr>
            <w:tcW w:w="1505" w:type="dxa"/>
            <w:tcBorders/>
            <w:shd w:fill="CCDEF1" w:val="clear"/>
            <w:vAlign w:val="center"/>
          </w:tcPr>
          <w:p>
            <w:pPr>
              <w:pStyle w:val="TableContents"/>
              <w:spacing w:lineRule="atLeast" w:line="280" w:before="0" w:after="0"/>
              <w:rPr/>
            </w:pPr>
            <w:r>
              <w:rPr/>
              <w:t>  </w:t>
            </w:r>
            <w:r>
              <w:rPr>
                <w:rFonts w:ascii="ARIAL" w:hAnsi="ARIAL"/>
                <w:sz w:val="16"/>
              </w:rPr>
              <w:t>L. Neil Hunn</w:t>
            </w:r>
          </w:p>
        </w:tc>
        <w:tc>
          <w:tcPr>
            <w:tcW w:w="120" w:type="dxa"/>
            <w:tcBorders/>
            <w:shd w:fill="CCDEF1" w:val="clear"/>
            <w:vAlign w:val="center"/>
          </w:tcPr>
          <w:p>
            <w:pPr>
              <w:pStyle w:val="TableContents"/>
              <w:spacing w:before="0" w:after="283"/>
              <w:rPr/>
            </w:pPr>
            <w:r>
              <w:rPr/>
              <w:t>  </w:t>
            </w:r>
          </w:p>
        </w:tc>
        <w:tc>
          <w:tcPr>
            <w:tcW w:w="105" w:type="dxa"/>
            <w:tcBorders/>
            <w:shd w:fill="CCDEF1" w:val="clear"/>
            <w:vAlign w:val="center"/>
          </w:tcPr>
          <w:p>
            <w:pPr>
              <w:pStyle w:val="TableContents"/>
              <w:spacing w:lineRule="atLeast" w:line="280" w:before="0" w:after="0"/>
              <w:rPr/>
            </w:pPr>
            <w:r>
              <w:rPr/>
              <w:t> </w:t>
            </w:r>
          </w:p>
        </w:tc>
        <w:tc>
          <w:tcPr>
            <w:tcW w:w="905" w:type="dxa"/>
            <w:tcBorders/>
            <w:shd w:fill="CCDEF1" w:val="clear"/>
            <w:vAlign w:val="center"/>
          </w:tcPr>
          <w:p>
            <w:pPr>
              <w:pStyle w:val="TableContents"/>
              <w:spacing w:lineRule="atLeast" w:line="280" w:before="0" w:after="0"/>
              <w:jc w:val="right"/>
              <w:rPr>
                <w:rFonts w:ascii="ARIAL" w:hAnsi="ARIAL"/>
                <w:sz w:val="16"/>
              </w:rPr>
            </w:pPr>
            <w:r>
              <w:rPr>
                <w:rFonts w:ascii="ARIAL" w:hAnsi="ARIAL"/>
                <w:sz w:val="16"/>
              </w:rPr>
              <w:t>11,583</w:t>
            </w:r>
          </w:p>
        </w:tc>
        <w:tc>
          <w:tcPr>
            <w:tcW w:w="60" w:type="dxa"/>
            <w:tcBorders/>
            <w:shd w:fill="CCDEF1" w:val="clear"/>
            <w:vAlign w:val="center"/>
          </w:tcPr>
          <w:p>
            <w:pPr>
              <w:pStyle w:val="TableContents"/>
              <w:spacing w:lineRule="atLeast" w:line="280" w:before="0" w:after="0"/>
              <w:rPr/>
            </w:pPr>
            <w:r>
              <w:rPr/>
              <w:t> </w:t>
            </w:r>
          </w:p>
        </w:tc>
        <w:tc>
          <w:tcPr>
            <w:tcW w:w="120" w:type="dxa"/>
            <w:tcBorders/>
            <w:shd w:fill="CCDEF1" w:val="clear"/>
            <w:vAlign w:val="center"/>
          </w:tcPr>
          <w:p>
            <w:pPr>
              <w:pStyle w:val="TableContents"/>
              <w:spacing w:before="0" w:after="283"/>
              <w:rPr/>
            </w:pPr>
            <w:r>
              <w:rPr/>
              <w:t>  </w:t>
            </w:r>
          </w:p>
        </w:tc>
        <w:tc>
          <w:tcPr>
            <w:tcW w:w="81" w:type="dxa"/>
            <w:tcBorders/>
            <w:shd w:fill="CCDEF1" w:val="clear"/>
            <w:vAlign w:val="center"/>
          </w:tcPr>
          <w:p>
            <w:pPr>
              <w:pStyle w:val="TableContents"/>
              <w:spacing w:before="0" w:after="283"/>
              <w:rPr/>
            </w:pPr>
            <w:r>
              <w:rPr/>
              <w:t> </w:t>
            </w:r>
          </w:p>
        </w:tc>
        <w:tc>
          <w:tcPr>
            <w:tcW w:w="929" w:type="dxa"/>
            <w:tcBorders/>
            <w:shd w:fill="CCDEF1" w:val="clear"/>
            <w:vAlign w:val="center"/>
          </w:tcPr>
          <w:p>
            <w:pPr>
              <w:pStyle w:val="TableContents"/>
              <w:spacing w:before="0" w:after="283"/>
              <w:jc w:val="right"/>
              <w:rPr/>
            </w:pPr>
            <w:r>
              <w:rPr/>
              <w:t>24,264</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75" w:type="dxa"/>
            <w:tcBorders/>
            <w:shd w:fill="CCDEF1" w:val="clear"/>
            <w:vAlign w:val="center"/>
          </w:tcPr>
          <w:p>
            <w:pPr>
              <w:pStyle w:val="TableContents"/>
              <w:spacing w:lineRule="atLeast" w:line="280" w:before="0" w:after="0"/>
              <w:rPr/>
            </w:pPr>
            <w:r>
              <w:rPr/>
              <w:t> </w:t>
            </w:r>
          </w:p>
        </w:tc>
        <w:tc>
          <w:tcPr>
            <w:tcW w:w="650" w:type="dxa"/>
            <w:tcBorders/>
            <w:shd w:fill="CCDEF1" w:val="clear"/>
            <w:vAlign w:val="center"/>
          </w:tcPr>
          <w:p>
            <w:pPr>
              <w:pStyle w:val="TableContents"/>
              <w:spacing w:lineRule="atLeast" w:line="280" w:before="0" w:after="0"/>
              <w:jc w:val="right"/>
              <w:rPr>
                <w:rFonts w:ascii="ARIAL" w:hAnsi="ARIAL"/>
                <w:sz w:val="16"/>
              </w:rPr>
            </w:pPr>
            <w:r>
              <w:rPr>
                <w:rFonts w:ascii="ARIAL" w:hAnsi="ARIAL"/>
                <w:sz w:val="16"/>
              </w:rPr>
              <w:t>24,000</w:t>
            </w:r>
          </w:p>
        </w:tc>
        <w:tc>
          <w:tcPr>
            <w:tcW w:w="60" w:type="dxa"/>
            <w:tcBorders/>
            <w:shd w:fill="CCDEF1" w:val="clear"/>
            <w:vAlign w:val="center"/>
          </w:tcPr>
          <w:p>
            <w:pPr>
              <w:pStyle w:val="TableContents"/>
              <w:spacing w:lineRule="atLeast" w:line="280" w:before="0" w:after="0"/>
              <w:rPr/>
            </w:pPr>
            <w:r>
              <w:rPr/>
              <w:t> </w:t>
            </w:r>
          </w:p>
        </w:tc>
        <w:tc>
          <w:tcPr>
            <w:tcW w:w="120" w:type="dxa"/>
            <w:tcBorders/>
            <w:shd w:fill="CCDEF1" w:val="clear"/>
            <w:vAlign w:val="center"/>
          </w:tcPr>
          <w:p>
            <w:pPr>
              <w:pStyle w:val="TableContents"/>
              <w:spacing w:before="0" w:after="283"/>
              <w:rPr/>
            </w:pPr>
            <w:r>
              <w:rPr/>
              <w:t>  </w:t>
            </w:r>
          </w:p>
        </w:tc>
        <w:tc>
          <w:tcPr>
            <w:tcW w:w="87" w:type="dxa"/>
            <w:tcBorders/>
            <w:shd w:fill="CCDEF1" w:val="clear"/>
            <w:vAlign w:val="center"/>
          </w:tcPr>
          <w:p>
            <w:pPr>
              <w:pStyle w:val="TableContents"/>
              <w:spacing w:lineRule="atLeast" w:line="280" w:before="0" w:after="0"/>
              <w:rPr/>
            </w:pPr>
            <w:r>
              <w:rPr/>
              <w:t> </w:t>
            </w:r>
          </w:p>
        </w:tc>
        <w:tc>
          <w:tcPr>
            <w:tcW w:w="623" w:type="dxa"/>
            <w:tcBorders/>
            <w:shd w:fill="CCDEF1" w:val="clear"/>
            <w:vAlign w:val="center"/>
          </w:tcPr>
          <w:p>
            <w:pPr>
              <w:pStyle w:val="TableContents"/>
              <w:spacing w:lineRule="atLeast" w:line="280" w:before="0" w:after="0"/>
              <w:jc w:val="right"/>
              <w:rPr>
                <w:rFonts w:ascii="ARIAL" w:hAnsi="ARIAL"/>
                <w:sz w:val="16"/>
              </w:rPr>
            </w:pPr>
            <w:r>
              <w:rPr>
                <w:rFonts w:ascii="ARIAL" w:hAnsi="ARIAL"/>
                <w:sz w:val="16"/>
              </w:rPr>
              <w:t>7,518</w:t>
            </w:r>
          </w:p>
        </w:tc>
        <w:tc>
          <w:tcPr>
            <w:tcW w:w="60" w:type="dxa"/>
            <w:tcBorders/>
            <w:shd w:fill="CCDEF1" w:val="clear"/>
            <w:vAlign w:val="center"/>
          </w:tcPr>
          <w:p>
            <w:pPr>
              <w:pStyle w:val="TableContents"/>
              <w:spacing w:lineRule="atLeast" w:line="280" w:before="0" w:after="0"/>
              <w:rPr/>
            </w:pPr>
            <w:r>
              <w:rPr/>
              <w:t> </w:t>
            </w:r>
          </w:p>
        </w:tc>
        <w:tc>
          <w:tcPr>
            <w:tcW w:w="120" w:type="dxa"/>
            <w:tcBorders/>
            <w:shd w:fill="CCDEF1" w:val="clear"/>
            <w:vAlign w:val="center"/>
          </w:tcPr>
          <w:p>
            <w:pPr>
              <w:pStyle w:val="TableContents"/>
              <w:spacing w:before="0" w:after="283"/>
              <w:rPr/>
            </w:pPr>
            <w:r>
              <w:rPr/>
              <w:t>  </w:t>
            </w:r>
          </w:p>
        </w:tc>
        <w:tc>
          <w:tcPr>
            <w:tcW w:w="82" w:type="dxa"/>
            <w:tcBorders/>
            <w:shd w:fill="CCDEF1" w:val="clear"/>
            <w:vAlign w:val="center"/>
          </w:tcPr>
          <w:p>
            <w:pPr>
              <w:pStyle w:val="TableContents"/>
              <w:spacing w:lineRule="atLeast" w:line="280" w:before="0" w:after="0"/>
              <w:rPr/>
            </w:pPr>
            <w:r>
              <w:rPr/>
              <w:t> </w:t>
            </w:r>
          </w:p>
        </w:tc>
        <w:tc>
          <w:tcPr>
            <w:tcW w:w="583" w:type="dxa"/>
            <w:tcBorders/>
            <w:shd w:fill="CCDEF1" w:val="clear"/>
            <w:vAlign w:val="center"/>
          </w:tcPr>
          <w:p>
            <w:pPr>
              <w:pStyle w:val="TableContents"/>
              <w:spacing w:lineRule="atLeast" w:line="280" w:before="0" w:after="0"/>
              <w:jc w:val="right"/>
              <w:rPr>
                <w:rFonts w:ascii="ARIAL" w:hAnsi="ARIAL"/>
                <w:sz w:val="16"/>
              </w:rPr>
            </w:pPr>
            <w:r>
              <w:rPr>
                <w:rFonts w:ascii="ARIAL" w:hAnsi="ARIAL"/>
                <w:sz w:val="16"/>
              </w:rPr>
              <w:t>7,170</w:t>
            </w:r>
          </w:p>
        </w:tc>
        <w:tc>
          <w:tcPr>
            <w:tcW w:w="60" w:type="dxa"/>
            <w:tcBorders/>
            <w:shd w:fill="CCDEF1" w:val="clear"/>
            <w:vAlign w:val="center"/>
          </w:tcPr>
          <w:p>
            <w:pPr>
              <w:pStyle w:val="TableContents"/>
              <w:spacing w:lineRule="atLeast" w:line="280" w:before="0" w:after="0"/>
              <w:rPr/>
            </w:pPr>
            <w:r>
              <w:rPr/>
              <w:t> </w:t>
            </w:r>
          </w:p>
        </w:tc>
        <w:tc>
          <w:tcPr>
            <w:tcW w:w="120" w:type="dxa"/>
            <w:tcBorders/>
            <w:shd w:fill="CCDEF1" w:val="clear"/>
            <w:vAlign w:val="center"/>
          </w:tcPr>
          <w:p>
            <w:pPr>
              <w:pStyle w:val="TableContents"/>
              <w:spacing w:before="0" w:after="283"/>
              <w:rPr/>
            </w:pPr>
            <w:r>
              <w:rPr/>
              <w:t>  </w:t>
            </w:r>
          </w:p>
        </w:tc>
        <w:tc>
          <w:tcPr>
            <w:tcW w:w="85" w:type="dxa"/>
            <w:tcBorders/>
            <w:shd w:fill="CCDEF1" w:val="clear"/>
            <w:vAlign w:val="center"/>
          </w:tcPr>
          <w:p>
            <w:pPr>
              <w:pStyle w:val="TableContents"/>
              <w:spacing w:lineRule="atLeast" w:line="280" w:before="0" w:after="0"/>
              <w:rPr/>
            </w:pPr>
            <w:r>
              <w:rPr/>
              <w:t> </w:t>
            </w:r>
          </w:p>
        </w:tc>
        <w:tc>
          <w:tcPr>
            <w:tcW w:w="985" w:type="dxa"/>
            <w:tcBorders/>
            <w:shd w:fill="CCDEF1" w:val="clear"/>
            <w:vAlign w:val="center"/>
          </w:tcPr>
          <w:p>
            <w:pPr>
              <w:pStyle w:val="TableContents"/>
              <w:spacing w:lineRule="atLeast" w:line="280" w:before="0" w:after="0"/>
              <w:jc w:val="right"/>
              <w:rPr>
                <w:rFonts w:ascii="ARIAL" w:hAnsi="ARIAL"/>
                <w:sz w:val="16"/>
              </w:rPr>
            </w:pPr>
            <w:r>
              <w:rPr>
                <w:rFonts w:ascii="ARIAL" w:hAnsi="ARIAL"/>
                <w:sz w:val="16"/>
              </w:rPr>
              <w:t>290,625  </w:t>
            </w:r>
          </w:p>
        </w:tc>
        <w:tc>
          <w:tcPr>
            <w:tcW w:w="75" w:type="dxa"/>
            <w:tcBorders/>
            <w:shd w:fill="CCDEF1" w:val="clear"/>
            <w:vAlign w:val="center"/>
          </w:tcPr>
          <w:p>
            <w:pPr>
              <w:pStyle w:val="TableContents"/>
              <w:spacing w:lineRule="atLeast" w:line="280" w:before="0" w:after="0"/>
              <w:rPr/>
            </w:pPr>
            <w:r>
              <w:rPr/>
              <w:t> </w:t>
            </w:r>
          </w:p>
        </w:tc>
      </w:tr>
      <w:tr>
        <w:trPr/>
        <w:tc>
          <w:tcPr>
            <w:tcW w:w="1505" w:type="dxa"/>
            <w:tcBorders/>
            <w:shd w:fill="auto" w:val="clear"/>
            <w:vAlign w:val="center"/>
          </w:tcPr>
          <w:p>
            <w:pPr>
              <w:pStyle w:val="TableContents"/>
              <w:spacing w:lineRule="atLeast" w:line="280" w:before="0" w:after="0"/>
              <w:rPr/>
            </w:pPr>
            <w:r>
              <w:rPr/>
              <w:t>  </w:t>
            </w:r>
            <w:r>
              <w:rPr>
                <w:rFonts w:ascii="ARIAL" w:hAnsi="ARIAL"/>
                <w:sz w:val="16"/>
              </w:rPr>
              <w:t>Robert C. Crisci</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lineRule="atLeast" w:line="280" w:before="0" w:after="0"/>
              <w:rPr/>
            </w:pPr>
            <w:r>
              <w:rPr/>
              <w:t> </w:t>
            </w:r>
          </w:p>
        </w:tc>
        <w:tc>
          <w:tcPr>
            <w:tcW w:w="905"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6,454</w:t>
            </w:r>
          </w:p>
        </w:tc>
        <w:tc>
          <w:tcPr>
            <w:tcW w:w="60" w:type="dxa"/>
            <w:tcBorders/>
            <w:shd w:fill="auto" w:val="clear"/>
            <w:vAlign w:val="center"/>
          </w:tcPr>
          <w:p>
            <w:pPr>
              <w:pStyle w:val="TableContents"/>
              <w:spacing w:lineRule="atLeast" w:line="280" w:before="0" w:after="0"/>
              <w:rPr/>
            </w:pPr>
            <w:r>
              <w:rPr/>
              <w:t> </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lineRule="atLeast" w:line="280" w:before="0" w:after="0"/>
              <w:rPr/>
            </w:pPr>
            <w:r>
              <w:rPr/>
              <w:t> </w:t>
            </w:r>
          </w:p>
        </w:tc>
        <w:tc>
          <w:tcPr>
            <w:tcW w:w="929"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80" w:before="0" w:after="0"/>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lineRule="atLeast" w:line="280" w:before="0" w:after="0"/>
              <w:rPr/>
            </w:pPr>
            <w:r>
              <w:rPr/>
              <w:t> </w:t>
            </w:r>
          </w:p>
        </w:tc>
        <w:tc>
          <w:tcPr>
            <w:tcW w:w="650"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24,000</w:t>
            </w:r>
          </w:p>
        </w:tc>
        <w:tc>
          <w:tcPr>
            <w:tcW w:w="60" w:type="dxa"/>
            <w:tcBorders/>
            <w:shd w:fill="auto" w:val="clear"/>
            <w:vAlign w:val="center"/>
          </w:tcPr>
          <w:p>
            <w:pPr>
              <w:pStyle w:val="TableContents"/>
              <w:spacing w:lineRule="atLeast" w:line="280" w:before="0" w:after="0"/>
              <w:rPr/>
            </w:pPr>
            <w:r>
              <w:rPr/>
              <w:t> </w:t>
            </w:r>
          </w:p>
        </w:tc>
        <w:tc>
          <w:tcPr>
            <w:tcW w:w="12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lineRule="atLeast" w:line="280" w:before="0" w:after="0"/>
              <w:rPr/>
            </w:pPr>
            <w:r>
              <w:rPr/>
              <w:t> </w:t>
            </w:r>
          </w:p>
        </w:tc>
        <w:tc>
          <w:tcPr>
            <w:tcW w:w="623"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5,976</w:t>
            </w:r>
          </w:p>
        </w:tc>
        <w:tc>
          <w:tcPr>
            <w:tcW w:w="60" w:type="dxa"/>
            <w:tcBorders/>
            <w:shd w:fill="auto" w:val="clear"/>
            <w:vAlign w:val="center"/>
          </w:tcPr>
          <w:p>
            <w:pPr>
              <w:pStyle w:val="TableContents"/>
              <w:spacing w:lineRule="atLeast" w:line="280" w:before="0" w:after="0"/>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lineRule="atLeast" w:line="280" w:before="0" w:after="0"/>
              <w:rPr/>
            </w:pPr>
            <w:r>
              <w:rPr/>
              <w:t> </w:t>
            </w:r>
          </w:p>
        </w:tc>
        <w:tc>
          <w:tcPr>
            <w:tcW w:w="583"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80" w:before="0" w:after="0"/>
              <w:rPr/>
            </w:pPr>
            <w:r>
              <w:rPr/>
              <w:t> </w:t>
            </w:r>
          </w:p>
        </w:tc>
        <w:tc>
          <w:tcPr>
            <w:tcW w:w="12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lineRule="atLeast" w:line="280" w:before="0" w:after="0"/>
              <w:rPr/>
            </w:pPr>
            <w:r>
              <w:rPr/>
              <w:t> </w:t>
            </w:r>
          </w:p>
        </w:tc>
        <w:tc>
          <w:tcPr>
            <w:tcW w:w="985"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143,625  </w:t>
            </w:r>
          </w:p>
        </w:tc>
        <w:tc>
          <w:tcPr>
            <w:tcW w:w="75" w:type="dxa"/>
            <w:tcBorders/>
            <w:shd w:fill="auto" w:val="clear"/>
            <w:vAlign w:val="center"/>
          </w:tcPr>
          <w:p>
            <w:pPr>
              <w:pStyle w:val="TableContents"/>
              <w:spacing w:lineRule="atLeast" w:line="280" w:before="0" w:after="0"/>
              <w:rPr/>
            </w:pPr>
            <w:r>
              <w:rPr/>
              <w:t> </w:t>
            </w:r>
          </w:p>
        </w:tc>
      </w:tr>
      <w:tr>
        <w:trPr/>
        <w:tc>
          <w:tcPr>
            <w:tcW w:w="1505" w:type="dxa"/>
            <w:tcBorders/>
            <w:shd w:fill="CCDEF1" w:val="clear"/>
            <w:vAlign w:val="center"/>
          </w:tcPr>
          <w:p>
            <w:pPr>
              <w:pStyle w:val="TableContents"/>
              <w:spacing w:lineRule="atLeast" w:line="280" w:before="0" w:after="0"/>
              <w:rPr/>
            </w:pPr>
            <w:r>
              <w:rPr/>
              <w:t>  </w:t>
            </w:r>
            <w:r>
              <w:rPr>
                <w:rFonts w:ascii="ARIAL" w:hAnsi="ARIAL"/>
                <w:sz w:val="16"/>
              </w:rPr>
              <w:t>John K. Stipancich</w:t>
            </w:r>
          </w:p>
        </w:tc>
        <w:tc>
          <w:tcPr>
            <w:tcW w:w="120" w:type="dxa"/>
            <w:tcBorders/>
            <w:shd w:fill="CCDEF1" w:val="clear"/>
            <w:vAlign w:val="center"/>
          </w:tcPr>
          <w:p>
            <w:pPr>
              <w:pStyle w:val="TableContents"/>
              <w:spacing w:before="0" w:after="283"/>
              <w:rPr/>
            </w:pPr>
            <w:r>
              <w:rPr/>
              <w:t>  </w:t>
            </w:r>
          </w:p>
        </w:tc>
        <w:tc>
          <w:tcPr>
            <w:tcW w:w="105" w:type="dxa"/>
            <w:tcBorders/>
            <w:shd w:fill="CCDEF1" w:val="clear"/>
            <w:vAlign w:val="center"/>
          </w:tcPr>
          <w:p>
            <w:pPr>
              <w:pStyle w:val="TableContents"/>
              <w:spacing w:lineRule="atLeast" w:line="280" w:before="0" w:after="0"/>
              <w:rPr/>
            </w:pPr>
            <w:r>
              <w:rPr/>
              <w:t> </w:t>
            </w:r>
          </w:p>
        </w:tc>
        <w:tc>
          <w:tcPr>
            <w:tcW w:w="905" w:type="dxa"/>
            <w:tcBorders/>
            <w:shd w:fill="CCDEF1" w:val="clear"/>
            <w:vAlign w:val="center"/>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CCDEF1" w:val="clear"/>
            <w:vAlign w:val="center"/>
          </w:tcPr>
          <w:p>
            <w:pPr>
              <w:pStyle w:val="TableContents"/>
              <w:spacing w:lineRule="atLeast" w:line="280" w:before="0" w:after="0"/>
              <w:rPr/>
            </w:pPr>
            <w:r>
              <w:rPr/>
              <w:t> </w:t>
            </w:r>
          </w:p>
        </w:tc>
        <w:tc>
          <w:tcPr>
            <w:tcW w:w="120" w:type="dxa"/>
            <w:tcBorders/>
            <w:shd w:fill="CCDEF1" w:val="clear"/>
            <w:vAlign w:val="center"/>
          </w:tcPr>
          <w:p>
            <w:pPr>
              <w:pStyle w:val="TableContents"/>
              <w:spacing w:before="0" w:after="283"/>
              <w:rPr/>
            </w:pPr>
            <w:r>
              <w:rPr/>
              <w:t>  </w:t>
            </w:r>
          </w:p>
        </w:tc>
        <w:tc>
          <w:tcPr>
            <w:tcW w:w="81" w:type="dxa"/>
            <w:tcBorders/>
            <w:shd w:fill="CCDEF1" w:val="clear"/>
            <w:vAlign w:val="center"/>
          </w:tcPr>
          <w:p>
            <w:pPr>
              <w:pStyle w:val="TableContents"/>
              <w:spacing w:lineRule="atLeast" w:line="280" w:before="0" w:after="0"/>
              <w:rPr/>
            </w:pPr>
            <w:r>
              <w:rPr/>
              <w:t> </w:t>
            </w:r>
          </w:p>
        </w:tc>
        <w:tc>
          <w:tcPr>
            <w:tcW w:w="929" w:type="dxa"/>
            <w:tcBorders/>
            <w:shd w:fill="CCDEF1" w:val="clear"/>
            <w:vAlign w:val="center"/>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CCDEF1" w:val="clear"/>
            <w:vAlign w:val="center"/>
          </w:tcPr>
          <w:p>
            <w:pPr>
              <w:pStyle w:val="TableContents"/>
              <w:spacing w:lineRule="atLeast" w:line="280" w:before="0" w:after="0"/>
              <w:rPr/>
            </w:pPr>
            <w:r>
              <w:rPr/>
              <w:t> </w:t>
            </w:r>
          </w:p>
        </w:tc>
        <w:tc>
          <w:tcPr>
            <w:tcW w:w="120" w:type="dxa"/>
            <w:tcBorders/>
            <w:shd w:fill="CCDEF1" w:val="clear"/>
            <w:vAlign w:val="center"/>
          </w:tcPr>
          <w:p>
            <w:pPr>
              <w:pStyle w:val="TableContents"/>
              <w:spacing w:before="0" w:after="283"/>
              <w:rPr/>
            </w:pPr>
            <w:r>
              <w:rPr/>
              <w:t>  </w:t>
            </w:r>
          </w:p>
        </w:tc>
        <w:tc>
          <w:tcPr>
            <w:tcW w:w="75" w:type="dxa"/>
            <w:tcBorders/>
            <w:shd w:fill="CCDEF1" w:val="clear"/>
            <w:vAlign w:val="center"/>
          </w:tcPr>
          <w:p>
            <w:pPr>
              <w:pStyle w:val="TableContents"/>
              <w:spacing w:lineRule="atLeast" w:line="280" w:before="0" w:after="0"/>
              <w:rPr/>
            </w:pPr>
            <w:r>
              <w:rPr/>
              <w:t> </w:t>
            </w:r>
          </w:p>
        </w:tc>
        <w:tc>
          <w:tcPr>
            <w:tcW w:w="650" w:type="dxa"/>
            <w:tcBorders/>
            <w:shd w:fill="CCDEF1" w:val="clear"/>
            <w:vAlign w:val="center"/>
          </w:tcPr>
          <w:p>
            <w:pPr>
              <w:pStyle w:val="TableContents"/>
              <w:spacing w:lineRule="atLeast" w:line="280" w:before="0" w:after="0"/>
              <w:jc w:val="right"/>
              <w:rPr>
                <w:rFonts w:ascii="ARIAL" w:hAnsi="ARIAL"/>
                <w:sz w:val="16"/>
              </w:rPr>
            </w:pPr>
            <w:r>
              <w:rPr>
                <w:rFonts w:ascii="ARIAL" w:hAnsi="ARIAL"/>
                <w:sz w:val="16"/>
              </w:rPr>
              <w:t>24,000</w:t>
            </w:r>
          </w:p>
        </w:tc>
        <w:tc>
          <w:tcPr>
            <w:tcW w:w="60" w:type="dxa"/>
            <w:tcBorders/>
            <w:shd w:fill="CCDEF1" w:val="clear"/>
            <w:vAlign w:val="center"/>
          </w:tcPr>
          <w:p>
            <w:pPr>
              <w:pStyle w:val="TableContents"/>
              <w:spacing w:lineRule="atLeast" w:line="280" w:before="0" w:after="0"/>
              <w:rPr/>
            </w:pPr>
            <w:r>
              <w:rPr/>
              <w:t> </w:t>
            </w:r>
          </w:p>
        </w:tc>
        <w:tc>
          <w:tcPr>
            <w:tcW w:w="120" w:type="dxa"/>
            <w:tcBorders/>
            <w:shd w:fill="CCDEF1" w:val="clear"/>
            <w:vAlign w:val="center"/>
          </w:tcPr>
          <w:p>
            <w:pPr>
              <w:pStyle w:val="TableContents"/>
              <w:spacing w:before="0" w:after="283"/>
              <w:rPr/>
            </w:pPr>
            <w:r>
              <w:rPr/>
              <w:t>  </w:t>
            </w:r>
          </w:p>
        </w:tc>
        <w:tc>
          <w:tcPr>
            <w:tcW w:w="87" w:type="dxa"/>
            <w:tcBorders/>
            <w:shd w:fill="CCDEF1" w:val="clear"/>
            <w:vAlign w:val="center"/>
          </w:tcPr>
          <w:p>
            <w:pPr>
              <w:pStyle w:val="TableContents"/>
              <w:spacing w:lineRule="atLeast" w:line="280" w:before="0" w:after="0"/>
              <w:rPr/>
            </w:pPr>
            <w:r>
              <w:rPr/>
              <w:t> </w:t>
            </w:r>
          </w:p>
        </w:tc>
        <w:tc>
          <w:tcPr>
            <w:tcW w:w="623" w:type="dxa"/>
            <w:tcBorders/>
            <w:shd w:fill="CCDEF1" w:val="clear"/>
            <w:vAlign w:val="center"/>
          </w:tcPr>
          <w:p>
            <w:pPr>
              <w:pStyle w:val="TableContents"/>
              <w:spacing w:lineRule="atLeast" w:line="280" w:before="0" w:after="0"/>
              <w:jc w:val="right"/>
              <w:rPr>
                <w:rFonts w:ascii="ARIAL" w:hAnsi="ARIAL"/>
                <w:sz w:val="16"/>
              </w:rPr>
            </w:pPr>
            <w:r>
              <w:rPr>
                <w:rFonts w:ascii="ARIAL" w:hAnsi="ARIAL"/>
                <w:sz w:val="16"/>
              </w:rPr>
              <w:t>4,500</w:t>
            </w:r>
          </w:p>
        </w:tc>
        <w:tc>
          <w:tcPr>
            <w:tcW w:w="60" w:type="dxa"/>
            <w:tcBorders/>
            <w:shd w:fill="CCDEF1" w:val="clear"/>
            <w:vAlign w:val="center"/>
          </w:tcPr>
          <w:p>
            <w:pPr>
              <w:pStyle w:val="TableContents"/>
              <w:spacing w:lineRule="atLeast" w:line="280" w:before="0" w:after="0"/>
              <w:rPr/>
            </w:pPr>
            <w:r>
              <w:rPr/>
              <w:t> </w:t>
            </w:r>
          </w:p>
        </w:tc>
        <w:tc>
          <w:tcPr>
            <w:tcW w:w="120" w:type="dxa"/>
            <w:tcBorders/>
            <w:shd w:fill="CCDEF1" w:val="clear"/>
            <w:vAlign w:val="center"/>
          </w:tcPr>
          <w:p>
            <w:pPr>
              <w:pStyle w:val="TableContents"/>
              <w:spacing w:before="0" w:after="283"/>
              <w:rPr/>
            </w:pPr>
            <w:r>
              <w:rPr/>
              <w:t>  </w:t>
            </w:r>
          </w:p>
        </w:tc>
        <w:tc>
          <w:tcPr>
            <w:tcW w:w="82" w:type="dxa"/>
            <w:tcBorders/>
            <w:shd w:fill="CCDEF1" w:val="clear"/>
            <w:vAlign w:val="center"/>
          </w:tcPr>
          <w:p>
            <w:pPr>
              <w:pStyle w:val="TableContents"/>
              <w:spacing w:lineRule="atLeast" w:line="280" w:before="0" w:after="0"/>
              <w:rPr/>
            </w:pPr>
            <w:r>
              <w:rPr/>
              <w:t> </w:t>
            </w:r>
          </w:p>
        </w:tc>
        <w:tc>
          <w:tcPr>
            <w:tcW w:w="583" w:type="dxa"/>
            <w:tcBorders/>
            <w:shd w:fill="CCDEF1" w:val="clear"/>
            <w:vAlign w:val="center"/>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CCDEF1" w:val="clear"/>
            <w:vAlign w:val="center"/>
          </w:tcPr>
          <w:p>
            <w:pPr>
              <w:pStyle w:val="TableContents"/>
              <w:spacing w:lineRule="atLeast" w:line="280" w:before="0" w:after="0"/>
              <w:rPr/>
            </w:pPr>
            <w:r>
              <w:rPr/>
              <w:t> </w:t>
            </w:r>
          </w:p>
        </w:tc>
        <w:tc>
          <w:tcPr>
            <w:tcW w:w="120" w:type="dxa"/>
            <w:tcBorders/>
            <w:shd w:fill="CCDEF1" w:val="clear"/>
            <w:vAlign w:val="center"/>
          </w:tcPr>
          <w:p>
            <w:pPr>
              <w:pStyle w:val="TableContents"/>
              <w:spacing w:before="0" w:after="283"/>
              <w:rPr/>
            </w:pPr>
            <w:r>
              <w:rPr/>
              <w:t>  </w:t>
            </w:r>
          </w:p>
        </w:tc>
        <w:tc>
          <w:tcPr>
            <w:tcW w:w="85" w:type="dxa"/>
            <w:tcBorders/>
            <w:shd w:fill="CCDEF1" w:val="clear"/>
            <w:vAlign w:val="center"/>
          </w:tcPr>
          <w:p>
            <w:pPr>
              <w:pStyle w:val="TableContents"/>
              <w:spacing w:lineRule="atLeast" w:line="280" w:before="0" w:after="0"/>
              <w:rPr/>
            </w:pPr>
            <w:r>
              <w:rPr/>
              <w:t> </w:t>
            </w:r>
          </w:p>
        </w:tc>
        <w:tc>
          <w:tcPr>
            <w:tcW w:w="985" w:type="dxa"/>
            <w:tcBorders/>
            <w:shd w:fill="CCDEF1" w:val="clear"/>
            <w:vAlign w:val="center"/>
          </w:tcPr>
          <w:p>
            <w:pPr>
              <w:pStyle w:val="TableContents"/>
              <w:spacing w:lineRule="atLeast" w:line="280" w:before="0" w:after="0"/>
              <w:jc w:val="right"/>
              <w:rPr>
                <w:rFonts w:ascii="ARIAL" w:hAnsi="ARIAL"/>
                <w:sz w:val="16"/>
              </w:rPr>
            </w:pPr>
            <w:r>
              <w:rPr>
                <w:rFonts w:ascii="ARIAL" w:hAnsi="ARIAL"/>
                <w:sz w:val="16"/>
              </w:rPr>
              <w:t>156,000  </w:t>
            </w:r>
          </w:p>
        </w:tc>
        <w:tc>
          <w:tcPr>
            <w:tcW w:w="75" w:type="dxa"/>
            <w:tcBorders/>
            <w:shd w:fill="CCDEF1" w:val="clear"/>
            <w:vAlign w:val="center"/>
          </w:tcPr>
          <w:p>
            <w:pPr>
              <w:pStyle w:val="TableContents"/>
              <w:spacing w:lineRule="atLeast" w:line="280" w:before="0" w:after="0"/>
              <w:rPr/>
            </w:pPr>
            <w:r>
              <w:rPr/>
              <w:t> </w:t>
            </w:r>
          </w:p>
        </w:tc>
      </w:tr>
      <w:tr>
        <w:trPr/>
        <w:tc>
          <w:tcPr>
            <w:tcW w:w="1505" w:type="dxa"/>
            <w:tcBorders/>
            <w:shd w:fill="auto" w:val="clear"/>
            <w:vAlign w:val="center"/>
          </w:tcPr>
          <w:p>
            <w:pPr>
              <w:pStyle w:val="TableContents"/>
              <w:spacing w:lineRule="atLeast" w:line="280" w:before="0" w:after="0"/>
              <w:rPr/>
            </w:pPr>
            <w:r>
              <w:rPr/>
              <w:t>  </w:t>
            </w:r>
            <w:r>
              <w:rPr>
                <w:rFonts w:ascii="ARIAL" w:hAnsi="ARIAL"/>
                <w:sz w:val="16"/>
              </w:rPr>
              <w:t>Jason Conley</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lineRule="atLeast" w:line="280" w:before="0" w:after="0"/>
              <w:rPr/>
            </w:pPr>
            <w:r>
              <w:rPr/>
              <w:t> </w:t>
            </w:r>
          </w:p>
        </w:tc>
        <w:tc>
          <w:tcPr>
            <w:tcW w:w="905"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11,332</w:t>
            </w:r>
          </w:p>
        </w:tc>
        <w:tc>
          <w:tcPr>
            <w:tcW w:w="60" w:type="dxa"/>
            <w:tcBorders/>
            <w:shd w:fill="auto" w:val="clear"/>
            <w:vAlign w:val="center"/>
          </w:tcPr>
          <w:p>
            <w:pPr>
              <w:pStyle w:val="TableContents"/>
              <w:spacing w:lineRule="atLeast" w:line="280" w:before="0" w:after="0"/>
              <w:rPr/>
            </w:pPr>
            <w:r>
              <w:rPr/>
              <w:t> </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lineRule="atLeast" w:line="280" w:before="0" w:after="0"/>
              <w:rPr/>
            </w:pPr>
            <w:r>
              <w:rPr/>
              <w:t> </w:t>
            </w:r>
          </w:p>
        </w:tc>
        <w:tc>
          <w:tcPr>
            <w:tcW w:w="929"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80" w:before="0" w:after="0"/>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lineRule="atLeast" w:line="280" w:before="0" w:after="0"/>
              <w:rPr/>
            </w:pPr>
            <w:r>
              <w:rPr/>
              <w:t> </w:t>
            </w:r>
          </w:p>
        </w:tc>
        <w:tc>
          <w:tcPr>
            <w:tcW w:w="650"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23,583</w:t>
            </w:r>
          </w:p>
        </w:tc>
        <w:tc>
          <w:tcPr>
            <w:tcW w:w="60" w:type="dxa"/>
            <w:tcBorders/>
            <w:shd w:fill="auto" w:val="clear"/>
            <w:vAlign w:val="center"/>
          </w:tcPr>
          <w:p>
            <w:pPr>
              <w:pStyle w:val="TableContents"/>
              <w:spacing w:lineRule="atLeast" w:line="280" w:before="0" w:after="0"/>
              <w:rPr/>
            </w:pPr>
            <w:r>
              <w:rPr/>
              <w:t> </w:t>
            </w:r>
          </w:p>
        </w:tc>
        <w:tc>
          <w:tcPr>
            <w:tcW w:w="12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lineRule="atLeast" w:line="280" w:before="0" w:after="0"/>
              <w:rPr/>
            </w:pPr>
            <w:r>
              <w:rPr/>
              <w:t> </w:t>
            </w:r>
          </w:p>
        </w:tc>
        <w:tc>
          <w:tcPr>
            <w:tcW w:w="623"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80" w:before="0" w:after="0"/>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lineRule="atLeast" w:line="280" w:before="0" w:after="0"/>
              <w:rPr/>
            </w:pPr>
            <w:r>
              <w:rPr/>
              <w:t> </w:t>
            </w:r>
          </w:p>
        </w:tc>
        <w:tc>
          <w:tcPr>
            <w:tcW w:w="583"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80" w:before="0" w:after="0"/>
              <w:rPr/>
            </w:pPr>
            <w:r>
              <w:rPr/>
              <w:t> </w:t>
            </w:r>
          </w:p>
        </w:tc>
        <w:tc>
          <w:tcPr>
            <w:tcW w:w="12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lineRule="atLeast" w:line="280" w:before="0" w:after="0"/>
              <w:rPr/>
            </w:pPr>
            <w:r>
              <w:rPr/>
              <w:t> </w:t>
            </w:r>
          </w:p>
        </w:tc>
        <w:tc>
          <w:tcPr>
            <w:tcW w:w="985"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106,078  </w:t>
            </w:r>
          </w:p>
        </w:tc>
        <w:tc>
          <w:tcPr>
            <w:tcW w:w="75" w:type="dxa"/>
            <w:tcBorders/>
            <w:shd w:fill="auto" w:val="clear"/>
            <w:vAlign w:val="center"/>
          </w:tcPr>
          <w:p>
            <w:pPr>
              <w:pStyle w:val="TableContents"/>
              <w:spacing w:lineRule="atLeast" w:line="280" w:before="0" w:after="0"/>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8"/>
        <w:gridCol w:w="9967"/>
      </w:tblGrid>
      <w:tr>
        <w:trPr/>
        <w:tc>
          <w:tcPr>
            <w:tcW w:w="238" w:type="dxa"/>
            <w:tcBorders/>
            <w:shd w:fill="auto" w:val="clear"/>
            <w:vAlign w:val="center"/>
          </w:tcPr>
          <w:p>
            <w:pPr>
              <w:pStyle w:val="TableContents"/>
              <w:spacing w:before="0" w:after="283"/>
              <w:jc w:val="left"/>
              <w:rPr/>
            </w:pPr>
            <w:r>
              <w:rPr/>
              <w:t>(a) </w:t>
            </w:r>
          </w:p>
        </w:tc>
        <w:tc>
          <w:tcPr>
            <w:tcW w:w="9967"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incremental cost to the Company of the personal aircraft use is calculated by using the variable operating cost (including the cost of fuel, on-board meals, landing and parking fees, related ground transportation, trip-related maintenance, and crew travel expense) net of any applicable employee reimbursement. Because the aircraft is used predominately for business travel, we do not include in the calculation the fixed costs that do not change based on usage, such as crew salaries, aircraft insurance premiums, hanger lease payments, the lease or acquisition cost of the aircraft, scheduled maintenance and exterior paint, inspection and capital improvement costs intended to cover a multiple-year period. </w:t>
            </w:r>
          </w:p>
        </w:tc>
      </w:tr>
    </w:tbl>
    <w:p>
      <w:pPr>
        <w:pStyle w:val="TextBody"/>
        <w:spacing w:before="0" w:after="0"/>
        <w:jc w:val="left"/>
        <w:rPr/>
      </w:pPr>
      <w:r>
        <w:rPr/>
        <w:t> </w:t>
      </w:r>
    </w:p>
    <w:tbl>
      <w:tblPr>
        <w:tblW w:w="6205" w:type="dxa"/>
        <w:jc w:val="left"/>
        <w:tblInd w:w="0" w:type="dxa"/>
        <w:tblCellMar>
          <w:top w:w="0" w:type="dxa"/>
          <w:left w:w="0" w:type="dxa"/>
          <w:bottom w:w="0" w:type="dxa"/>
          <w:right w:w="0" w:type="dxa"/>
        </w:tblCellMar>
      </w:tblPr>
      <w:tblGrid>
        <w:gridCol w:w="365"/>
        <w:gridCol w:w="5840"/>
      </w:tblGrid>
      <w:tr>
        <w:trPr/>
        <w:tc>
          <w:tcPr>
            <w:tcW w:w="365" w:type="dxa"/>
            <w:tcBorders/>
            <w:shd w:fill="auto" w:val="clear"/>
            <w:vAlign w:val="center"/>
          </w:tcPr>
          <w:p>
            <w:pPr>
              <w:pStyle w:val="TableContents"/>
              <w:spacing w:before="0" w:after="283"/>
              <w:jc w:val="left"/>
              <w:rPr/>
            </w:pPr>
            <w:r>
              <w:rPr/>
              <w:t>(b) </w:t>
            </w:r>
          </w:p>
        </w:tc>
        <w:tc>
          <w:tcPr>
            <w:tcW w:w="5840" w:type="dxa"/>
            <w:tcBorders/>
            <w:shd w:fill="auto" w:val="clear"/>
            <w:vAlign w:val="center"/>
          </w:tcPr>
          <w:p>
            <w:pPr>
              <w:pStyle w:val="TableContents"/>
              <w:spacing w:before="0" w:after="0"/>
              <w:jc w:val="left"/>
              <w:rPr>
                <w:rFonts w:ascii="ARIAL" w:hAnsi="ARIAL"/>
                <w:sz w:val="16"/>
              </w:rPr>
            </w:pPr>
            <w:r>
              <w:rPr>
                <w:rFonts w:ascii="ARIAL" w:hAnsi="ARIAL"/>
                <w:sz w:val="16"/>
              </w:rPr>
              <w:t xml:space="preserve">Reflects contributions to the Non-Qualified Retirement Plan and the 401(k) plan. </w:t>
            </w:r>
          </w:p>
        </w:tc>
      </w:tr>
    </w:tbl>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42</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3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94" descr=""/>
                          <pic:cNvPicPr>
                            <a:picLocks noChangeAspect="1" noChangeArrowheads="1"/>
                          </pic:cNvPicPr>
                        </pic:nvPicPr>
                        <pic:blipFill>
                          <a:blip r:embed="rId95"/>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EXECUTIVE COMPENSATION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i/>
          <w:sz w:val="20"/>
        </w:rPr>
      </w:pPr>
      <w:bookmarkStart w:id="25" w:name="toc356364_22"/>
      <w:bookmarkEnd w:id="25"/>
      <w:r>
        <w:rPr>
          <w:rFonts w:ascii="ARIAL" w:hAnsi="ARIAL"/>
          <w:b/>
          <w:i/>
          <w:sz w:val="20"/>
        </w:rPr>
        <w:t xml:space="preserve">2022 Grants of Plan-Based Awards </w:t>
      </w:r>
    </w:p>
    <w:p>
      <w:pPr>
        <w:pStyle w:val="TextBody"/>
        <w:spacing w:before="120" w:after="0"/>
        <w:jc w:val="left"/>
        <w:rPr>
          <w:rFonts w:ascii="ARIAL" w:hAnsi="ARIAL"/>
          <w:sz w:val="19"/>
        </w:rPr>
      </w:pPr>
      <w:r>
        <w:rPr>
          <w:rFonts w:ascii="ARIAL" w:hAnsi="ARIAL"/>
          <w:sz w:val="19"/>
        </w:rPr>
        <w:t xml:space="preserve">The following table sets forth certain information with respect to grants of plan-based awards to the named executive officers for the fiscal year ended December 31,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05"/>
        <w:gridCol w:w="60"/>
        <w:gridCol w:w="60"/>
        <w:gridCol w:w="464"/>
        <w:gridCol w:w="60"/>
        <w:gridCol w:w="60"/>
        <w:gridCol w:w="67"/>
        <w:gridCol w:w="688"/>
        <w:gridCol w:w="62"/>
        <w:gridCol w:w="62"/>
        <w:gridCol w:w="62"/>
        <w:gridCol w:w="772"/>
        <w:gridCol w:w="62"/>
        <w:gridCol w:w="62"/>
        <w:gridCol w:w="62"/>
        <w:gridCol w:w="778"/>
        <w:gridCol w:w="60"/>
        <w:gridCol w:w="60"/>
        <w:gridCol w:w="121"/>
        <w:gridCol w:w="859"/>
        <w:gridCol w:w="64"/>
        <w:gridCol w:w="64"/>
        <w:gridCol w:w="64"/>
        <w:gridCol w:w="551"/>
        <w:gridCol w:w="60"/>
        <w:gridCol w:w="60"/>
        <w:gridCol w:w="96"/>
        <w:gridCol w:w="824"/>
        <w:gridCol w:w="189"/>
        <w:gridCol w:w="60"/>
        <w:gridCol w:w="114"/>
        <w:gridCol w:w="986"/>
        <w:gridCol w:w="60"/>
        <w:gridCol w:w="60"/>
        <w:gridCol w:w="60"/>
        <w:gridCol w:w="830"/>
        <w:gridCol w:w="77"/>
      </w:tblGrid>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50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524" w:type="dxa"/>
            <w:gridSpan w:val="2"/>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2677" w:type="dxa"/>
            <w:gridSpan w:val="10"/>
            <w:tcBorders>
              <w:bottom w:val="single" w:sz="2" w:space="0" w:color="FFFFFF"/>
            </w:tcBorders>
            <w:shd w:fill="005CB9" w:val="clear"/>
            <w:tcMar>
              <w:bottom w:w="40" w:type="dxa"/>
            </w:tcMar>
            <w:vAlign w:val="center"/>
          </w:tcPr>
          <w:p>
            <w:pPr>
              <w:pStyle w:val="TableContents"/>
              <w:spacing w:before="0" w:after="283"/>
              <w:jc w:val="right"/>
              <w:rPr/>
            </w:pPr>
            <w:r>
              <w:rPr>
                <w:color w:val="FFFFFF"/>
              </w:rPr>
              <w:t>Estimated Future</w:t>
              <w:br/>
              <w:t>Payouts Under Non-Equity</w:t>
              <w:br/>
              <w:t>Incentive Plan Awards</w:t>
            </w:r>
            <w:r>
              <w:rPr>
                <w:color w:val="FFFFFF"/>
                <w:sz w:val="10"/>
              </w:rPr>
              <w:t>(1)</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1723" w:type="dxa"/>
            <w:gridSpan w:val="6"/>
            <w:tcBorders>
              <w:bottom w:val="single" w:sz="2" w:space="0" w:color="FFFFFF"/>
            </w:tcBorders>
            <w:shd w:fill="005CB9" w:val="clear"/>
            <w:tcMar>
              <w:bottom w:w="40" w:type="dxa"/>
            </w:tcMar>
            <w:vAlign w:val="center"/>
          </w:tcPr>
          <w:p>
            <w:pPr>
              <w:pStyle w:val="TableContents"/>
              <w:spacing w:before="0" w:after="283"/>
              <w:jc w:val="right"/>
              <w:rPr/>
            </w:pPr>
            <w:r>
              <w:rPr>
                <w:color w:val="FFFFFF"/>
              </w:rPr>
              <w:t>Estimated Future</w:t>
              <w:br/>
              <w:t>Payouts Under</w:t>
              <w:br/>
              <w:t>Equity Incentive</w:t>
              <w:br/>
              <w:t>Plan Awards</w:t>
            </w:r>
            <w:r>
              <w:rPr>
                <w:color w:val="FFFFFF"/>
                <w:sz w:val="10"/>
              </w:rPr>
              <w:t>(2)</w:t>
            </w:r>
          </w:p>
        </w:tc>
        <w:tc>
          <w:tcPr>
            <w:tcW w:w="60" w:type="dxa"/>
            <w:tcBorders/>
            <w:shd w:fill="005CB9" w:val="clear"/>
            <w:vAlign w:val="center"/>
          </w:tcPr>
          <w:p>
            <w:pPr>
              <w:pStyle w:val="TableContents"/>
              <w:spacing w:before="0" w:after="283"/>
              <w:rPr/>
            </w:pPr>
            <w:r>
              <w:rPr/>
              <w:t> </w:t>
            </w:r>
          </w:p>
        </w:tc>
        <w:tc>
          <w:tcPr>
            <w:tcW w:w="60" w:type="dxa"/>
            <w:vMerge w:val="restart"/>
            <w:tcBorders/>
            <w:shd w:fill="005CB9" w:val="clear"/>
            <w:vAlign w:val="center"/>
          </w:tcPr>
          <w:p>
            <w:pPr>
              <w:pStyle w:val="TableContents"/>
              <w:spacing w:before="0" w:after="283"/>
              <w:rPr/>
            </w:pPr>
            <w:r>
              <w:rPr/>
              <w:t> </w:t>
            </w:r>
          </w:p>
        </w:tc>
        <w:tc>
          <w:tcPr>
            <w:tcW w:w="920" w:type="dxa"/>
            <w:gridSpan w:val="2"/>
            <w:vMerge w:val="restart"/>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All Other</w:t>
            </w:r>
          </w:p>
          <w:p>
            <w:pPr>
              <w:pStyle w:val="TableContents"/>
              <w:spacing w:before="0" w:after="0"/>
              <w:jc w:val="right"/>
              <w:rPr>
                <w:rFonts w:ascii="arial" w:hAnsi="arial"/>
                <w:color w:val="FFFFFF"/>
                <w:sz w:val="16"/>
              </w:rPr>
            </w:pPr>
            <w:r>
              <w:rPr>
                <w:rFonts w:ascii="arial" w:hAnsi="arial"/>
                <w:color w:val="FFFFFF"/>
                <w:sz w:val="16"/>
              </w:rPr>
              <w:t>Option</w:t>
            </w:r>
          </w:p>
          <w:p>
            <w:pPr>
              <w:pStyle w:val="TableContents"/>
              <w:spacing w:before="0" w:after="0"/>
              <w:jc w:val="right"/>
              <w:rPr>
                <w:rFonts w:ascii="arial" w:hAnsi="arial"/>
                <w:color w:val="FFFFFF"/>
                <w:sz w:val="16"/>
              </w:rPr>
            </w:pPr>
            <w:r>
              <w:rPr>
                <w:rFonts w:ascii="arial" w:hAnsi="arial"/>
                <w:color w:val="FFFFFF"/>
                <w:sz w:val="16"/>
              </w:rPr>
              <w:t>Awards:#</w:t>
            </w:r>
          </w:p>
          <w:p>
            <w:pPr>
              <w:pStyle w:val="TableContents"/>
              <w:spacing w:before="0" w:after="0"/>
              <w:jc w:val="right"/>
              <w:rPr>
                <w:rFonts w:ascii="arial" w:hAnsi="arial"/>
                <w:color w:val="FFFFFF"/>
                <w:sz w:val="16"/>
              </w:rPr>
            </w:pPr>
            <w:r>
              <w:rPr>
                <w:rFonts w:ascii="arial" w:hAnsi="arial"/>
                <w:color w:val="FFFFFF"/>
                <w:sz w:val="16"/>
              </w:rPr>
              <w:t>of Securities</w:t>
            </w:r>
          </w:p>
          <w:p>
            <w:pPr>
              <w:pStyle w:val="TableContents"/>
              <w:spacing w:before="0" w:after="0"/>
              <w:jc w:val="right"/>
              <w:rPr>
                <w:rFonts w:ascii="arial" w:hAnsi="arial"/>
                <w:color w:val="FFFFFF"/>
                <w:sz w:val="16"/>
              </w:rPr>
            </w:pPr>
            <w:r>
              <w:rPr>
                <w:rFonts w:ascii="arial" w:hAnsi="arial"/>
                <w:color w:val="FFFFFF"/>
                <w:sz w:val="16"/>
              </w:rPr>
              <w:t>Underlying</w:t>
            </w:r>
          </w:p>
          <w:p>
            <w:pPr>
              <w:pStyle w:val="TableContents"/>
              <w:spacing w:before="0" w:after="20"/>
              <w:jc w:val="right"/>
              <w:rPr>
                <w:rFonts w:ascii="arial" w:hAnsi="arial"/>
                <w:color w:val="FFFFFF"/>
                <w:sz w:val="16"/>
              </w:rPr>
            </w:pPr>
            <w:r>
              <w:rPr>
                <w:rFonts w:ascii="arial" w:hAnsi="arial"/>
                <w:color w:val="FFFFFF"/>
                <w:sz w:val="16"/>
              </w:rPr>
              <w:t>Options</w:t>
            </w:r>
          </w:p>
        </w:tc>
        <w:tc>
          <w:tcPr>
            <w:tcW w:w="189" w:type="dxa"/>
            <w:vMerge w:val="restart"/>
            <w:tcBorders/>
            <w:shd w:fill="005CB9" w:val="clear"/>
            <w:vAlign w:val="center"/>
          </w:tcPr>
          <w:p>
            <w:pPr>
              <w:pStyle w:val="TableContents"/>
              <w:spacing w:before="0" w:after="283"/>
              <w:rPr/>
            </w:pPr>
            <w:r>
              <w:rPr/>
              <w:t> </w:t>
            </w:r>
          </w:p>
        </w:tc>
        <w:tc>
          <w:tcPr>
            <w:tcW w:w="60" w:type="dxa"/>
            <w:vMerge w:val="restart"/>
            <w:tcBorders/>
            <w:shd w:fill="005CB9" w:val="clear"/>
            <w:vAlign w:val="center"/>
          </w:tcPr>
          <w:p>
            <w:pPr>
              <w:pStyle w:val="TableContents"/>
              <w:spacing w:before="0" w:after="283"/>
              <w:rPr/>
            </w:pPr>
            <w:r>
              <w:rPr/>
              <w:t> </w:t>
            </w:r>
          </w:p>
        </w:tc>
        <w:tc>
          <w:tcPr>
            <w:tcW w:w="1100" w:type="dxa"/>
            <w:gridSpan w:val="2"/>
            <w:vMerge w:val="restart"/>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Exercise /</w:t>
            </w:r>
          </w:p>
          <w:p>
            <w:pPr>
              <w:pStyle w:val="TableContents"/>
              <w:spacing w:before="0" w:after="0"/>
              <w:jc w:val="right"/>
              <w:rPr>
                <w:rFonts w:ascii="arial" w:hAnsi="arial"/>
                <w:color w:val="FFFFFF"/>
                <w:sz w:val="16"/>
              </w:rPr>
            </w:pPr>
            <w:r>
              <w:rPr>
                <w:rFonts w:ascii="arial" w:hAnsi="arial"/>
                <w:color w:val="FFFFFF"/>
                <w:sz w:val="16"/>
              </w:rPr>
              <w:t>Base Price of</w:t>
            </w:r>
          </w:p>
          <w:p>
            <w:pPr>
              <w:pStyle w:val="TableContents"/>
              <w:spacing w:before="0" w:after="0"/>
              <w:jc w:val="right"/>
              <w:rPr>
                <w:rFonts w:ascii="arial" w:hAnsi="arial"/>
                <w:color w:val="FFFFFF"/>
                <w:sz w:val="16"/>
              </w:rPr>
            </w:pPr>
            <w:r>
              <w:rPr>
                <w:rFonts w:ascii="arial" w:hAnsi="arial"/>
                <w:color w:val="FFFFFF"/>
                <w:sz w:val="16"/>
              </w:rPr>
              <w:t>Option Awards</w:t>
            </w:r>
          </w:p>
          <w:p>
            <w:pPr>
              <w:pStyle w:val="TableContents"/>
              <w:spacing w:before="0" w:after="20"/>
              <w:jc w:val="right"/>
              <w:rPr>
                <w:rFonts w:ascii="arial" w:hAnsi="arial"/>
                <w:color w:val="FFFFFF"/>
                <w:sz w:val="16"/>
              </w:rPr>
            </w:pPr>
            <w:r>
              <w:rPr>
                <w:rFonts w:ascii="arial" w:hAnsi="arial"/>
                <w:color w:val="FFFFFF"/>
                <w:sz w:val="16"/>
              </w:rPr>
              <w:t>($/Sh)</w:t>
            </w:r>
          </w:p>
        </w:tc>
        <w:tc>
          <w:tcPr>
            <w:tcW w:w="60" w:type="dxa"/>
            <w:vMerge w:val="restart"/>
            <w:tcBorders/>
            <w:shd w:fill="005CB9" w:val="clear"/>
            <w:vAlign w:val="center"/>
          </w:tcPr>
          <w:p>
            <w:pPr>
              <w:pStyle w:val="TableContents"/>
              <w:spacing w:before="0" w:after="283"/>
              <w:rPr/>
            </w:pPr>
            <w:r>
              <w:rPr/>
              <w:t> </w:t>
            </w:r>
          </w:p>
        </w:tc>
        <w:tc>
          <w:tcPr>
            <w:tcW w:w="60" w:type="dxa"/>
            <w:vMerge w:val="restart"/>
            <w:tcBorders/>
            <w:shd w:fill="005CB9" w:val="clear"/>
            <w:vAlign w:val="center"/>
          </w:tcPr>
          <w:p>
            <w:pPr>
              <w:pStyle w:val="TableContents"/>
              <w:spacing w:before="0" w:after="283"/>
              <w:rPr/>
            </w:pPr>
            <w:r>
              <w:rPr/>
              <w:t> </w:t>
            </w:r>
          </w:p>
        </w:tc>
        <w:tc>
          <w:tcPr>
            <w:tcW w:w="890" w:type="dxa"/>
            <w:gridSpan w:val="2"/>
            <w:vMerge w:val="restart"/>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Grant Date</w:t>
            </w:r>
          </w:p>
          <w:p>
            <w:pPr>
              <w:pStyle w:val="TableContents"/>
              <w:spacing w:before="0" w:after="0"/>
              <w:jc w:val="right"/>
              <w:rPr>
                <w:rFonts w:ascii="arial" w:hAnsi="arial"/>
                <w:sz w:val="16"/>
              </w:rPr>
            </w:pPr>
            <w:r>
              <w:rPr>
                <w:rFonts w:ascii="arial" w:hAnsi="arial"/>
                <w:color w:val="FFFFFF"/>
                <w:sz w:val="16"/>
              </w:rPr>
              <w:t>Fair Value</w:t>
            </w:r>
            <w:r>
              <w:rPr>
                <w:rFonts w:ascii="arial" w:hAnsi="arial"/>
                <w:color w:val="FFFFFF"/>
                <w:sz w:val="10"/>
              </w:rPr>
              <w:t>(4)</w:t>
            </w:r>
          </w:p>
          <w:p>
            <w:pPr>
              <w:pStyle w:val="TableContents"/>
              <w:spacing w:before="0" w:after="20"/>
              <w:jc w:val="right"/>
              <w:rPr>
                <w:rFonts w:ascii="arial" w:hAnsi="arial"/>
                <w:color w:val="FFFFFF"/>
                <w:sz w:val="16"/>
              </w:rPr>
            </w:pPr>
            <w:r>
              <w:rPr>
                <w:rFonts w:ascii="arial" w:hAnsi="arial"/>
                <w:color w:val="FFFFFF"/>
                <w:sz w:val="16"/>
              </w:rPr>
              <w:t>($)</w:t>
            </w:r>
          </w:p>
        </w:tc>
        <w:tc>
          <w:tcPr>
            <w:tcW w:w="77" w:type="dxa"/>
            <w:vMerge w:val="restart"/>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r>
      <w:tr>
        <w:trPr/>
        <w:tc>
          <w:tcPr>
            <w:tcW w:w="1505" w:type="dxa"/>
            <w:tcBorders/>
            <w:shd w:fill="005CB9" w:val="clear"/>
            <w:vAlign w:val="center"/>
          </w:tcPr>
          <w:p>
            <w:pPr>
              <w:pStyle w:val="TableContents"/>
              <w:spacing w:before="0" w:after="283"/>
              <w:rPr>
                <w:color w:val="FFFFFF"/>
              </w:rPr>
            </w:pPr>
            <w:r>
              <w:rPr>
                <w:color w:val="FFFFFF"/>
              </w:rPr>
              <w:t>  </w:t>
            </w:r>
            <w:r>
              <w:rPr>
                <w:color w:val="FFFFFF"/>
              </w:rPr>
              <w:t>Name</w:t>
            </w:r>
          </w:p>
        </w:tc>
        <w:tc>
          <w:tcPr>
            <w:tcW w:w="60" w:type="dxa"/>
            <w:tcBorders/>
            <w:shd w:fill="005CB9" w:val="clear"/>
            <w:vAlign w:val="center"/>
          </w:tcPr>
          <w:p>
            <w:pPr>
              <w:pStyle w:val="TableContents"/>
              <w:spacing w:before="0" w:after="283"/>
              <w:rPr/>
            </w:pPr>
            <w:r>
              <w:rPr/>
              <w:t> </w:t>
            </w:r>
          </w:p>
        </w:tc>
        <w:tc>
          <w:tcPr>
            <w:tcW w:w="524"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Grant</w:t>
            </w:r>
          </w:p>
          <w:p>
            <w:pPr>
              <w:pStyle w:val="TableContents"/>
              <w:spacing w:before="0" w:after="20"/>
              <w:jc w:val="right"/>
              <w:rPr>
                <w:rFonts w:ascii="arial" w:hAnsi="arial"/>
                <w:color w:val="FFFFFF"/>
                <w:sz w:val="16"/>
              </w:rPr>
            </w:pPr>
            <w:r>
              <w:rPr>
                <w:rFonts w:ascii="arial" w:hAnsi="arial"/>
                <w:color w:val="FFFFFF"/>
                <w:sz w:val="16"/>
              </w:rPr>
              <w:t>Date</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755"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Threshold</w:t>
            </w:r>
          </w:p>
          <w:p>
            <w:pPr>
              <w:pStyle w:val="TableContents"/>
              <w:spacing w:before="0" w:after="20"/>
              <w:jc w:val="right"/>
              <w:rPr>
                <w:rFonts w:ascii="arial" w:hAnsi="arial"/>
                <w:color w:val="FFFFFF"/>
                <w:sz w:val="16"/>
              </w:rPr>
            </w:pPr>
            <w:r>
              <w:rPr>
                <w:rFonts w:ascii="arial" w:hAnsi="arial"/>
                <w:color w:val="FFFFFF"/>
                <w:sz w:val="16"/>
              </w:rPr>
              <w:t>($)</w:t>
            </w:r>
          </w:p>
        </w:tc>
        <w:tc>
          <w:tcPr>
            <w:tcW w:w="62" w:type="dxa"/>
            <w:tcBorders/>
            <w:shd w:fill="005CB9" w:val="clear"/>
            <w:vAlign w:val="center"/>
          </w:tcPr>
          <w:p>
            <w:pPr>
              <w:pStyle w:val="TableContents"/>
              <w:spacing w:before="0" w:after="283"/>
              <w:rPr/>
            </w:pPr>
            <w:r>
              <w:rPr/>
              <w:t> </w:t>
            </w:r>
          </w:p>
        </w:tc>
        <w:tc>
          <w:tcPr>
            <w:tcW w:w="62" w:type="dxa"/>
            <w:tcBorders/>
            <w:shd w:fill="005CB9" w:val="clear"/>
            <w:vAlign w:val="center"/>
          </w:tcPr>
          <w:p>
            <w:pPr>
              <w:pStyle w:val="TableContents"/>
              <w:spacing w:before="0" w:after="283"/>
              <w:rPr/>
            </w:pPr>
            <w:r>
              <w:rPr/>
              <w:t> </w:t>
            </w:r>
          </w:p>
        </w:tc>
        <w:tc>
          <w:tcPr>
            <w:tcW w:w="834"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Target</w:t>
            </w:r>
          </w:p>
          <w:p>
            <w:pPr>
              <w:pStyle w:val="TableContents"/>
              <w:spacing w:before="0" w:after="20"/>
              <w:jc w:val="right"/>
              <w:rPr>
                <w:rFonts w:ascii="arial" w:hAnsi="arial"/>
                <w:color w:val="FFFFFF"/>
                <w:sz w:val="16"/>
              </w:rPr>
            </w:pPr>
            <w:r>
              <w:rPr>
                <w:rFonts w:ascii="arial" w:hAnsi="arial"/>
                <w:color w:val="FFFFFF"/>
                <w:sz w:val="16"/>
              </w:rPr>
              <w:t>($)</w:t>
            </w:r>
          </w:p>
        </w:tc>
        <w:tc>
          <w:tcPr>
            <w:tcW w:w="62" w:type="dxa"/>
            <w:tcBorders/>
            <w:shd w:fill="005CB9" w:val="clear"/>
            <w:vAlign w:val="center"/>
          </w:tcPr>
          <w:p>
            <w:pPr>
              <w:pStyle w:val="TableContents"/>
              <w:spacing w:before="0" w:after="283"/>
              <w:rPr/>
            </w:pPr>
            <w:r>
              <w:rPr/>
              <w:t> </w:t>
            </w:r>
          </w:p>
        </w:tc>
        <w:tc>
          <w:tcPr>
            <w:tcW w:w="62" w:type="dxa"/>
            <w:tcBorders/>
            <w:shd w:fill="005CB9" w:val="clear"/>
            <w:vAlign w:val="center"/>
          </w:tcPr>
          <w:p>
            <w:pPr>
              <w:pStyle w:val="TableContents"/>
              <w:spacing w:before="0" w:after="283"/>
              <w:rPr/>
            </w:pPr>
            <w:r>
              <w:rPr/>
              <w:t> </w:t>
            </w:r>
          </w:p>
        </w:tc>
        <w:tc>
          <w:tcPr>
            <w:tcW w:w="84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Maximum</w:t>
            </w:r>
          </w:p>
          <w:p>
            <w:pPr>
              <w:pStyle w:val="TableContents"/>
              <w:spacing w:before="0" w:after="20"/>
              <w:jc w:val="right"/>
              <w:rPr>
                <w:rFonts w:ascii="arial" w:hAnsi="arial"/>
                <w:color w:val="FFFFFF"/>
                <w:sz w:val="16"/>
              </w:rPr>
            </w:pPr>
            <w:r>
              <w:rPr>
                <w:rFonts w:ascii="arial" w:hAnsi="arial"/>
                <w:color w:val="FFFFFF"/>
                <w:sz w:val="16"/>
              </w:rPr>
              <w:t>($)</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980" w:type="dxa"/>
            <w:gridSpan w:val="2"/>
            <w:tcBorders/>
            <w:shd w:fill="005CB9" w:val="clear"/>
            <w:vAlign w:val="center"/>
          </w:tcPr>
          <w:p>
            <w:pPr>
              <w:pStyle w:val="TableContents"/>
              <w:spacing w:before="0" w:after="283"/>
              <w:jc w:val="right"/>
              <w:rPr>
                <w:color w:val="FFFFFF"/>
              </w:rPr>
            </w:pPr>
            <w:r>
              <w:rPr>
                <w:color w:val="FFFFFF"/>
              </w:rPr>
              <w:t>Threshold</w:t>
              <w:br/>
              <w:t>(#)</w:t>
            </w:r>
          </w:p>
        </w:tc>
        <w:tc>
          <w:tcPr>
            <w:tcW w:w="64" w:type="dxa"/>
            <w:tcBorders/>
            <w:shd w:fill="005CB9" w:val="clear"/>
            <w:vAlign w:val="center"/>
          </w:tcPr>
          <w:p>
            <w:pPr>
              <w:pStyle w:val="TableContents"/>
              <w:spacing w:before="0" w:after="283"/>
              <w:rPr/>
            </w:pPr>
            <w:r>
              <w:rPr/>
              <w:t> </w:t>
            </w:r>
          </w:p>
        </w:tc>
        <w:tc>
          <w:tcPr>
            <w:tcW w:w="64" w:type="dxa"/>
            <w:tcBorders/>
            <w:shd w:fill="005CB9" w:val="clear"/>
            <w:vAlign w:val="center"/>
          </w:tcPr>
          <w:p>
            <w:pPr>
              <w:pStyle w:val="TableContents"/>
              <w:spacing w:before="0" w:after="283"/>
              <w:rPr/>
            </w:pPr>
            <w:r>
              <w:rPr/>
              <w:t> </w:t>
            </w:r>
          </w:p>
        </w:tc>
        <w:tc>
          <w:tcPr>
            <w:tcW w:w="615"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Target</w:t>
            </w:r>
          </w:p>
          <w:p>
            <w:pPr>
              <w:pStyle w:val="TableContents"/>
              <w:spacing w:before="0" w:after="20"/>
              <w:jc w:val="right"/>
              <w:rPr>
                <w:rFonts w:ascii="arial" w:hAnsi="arial"/>
                <w:color w:val="FFFFFF"/>
                <w:sz w:val="16"/>
              </w:rPr>
            </w:pPr>
            <w:r>
              <w:rPr>
                <w:rFonts w:ascii="arial" w:hAnsi="arial"/>
                <w:color w:val="FFFFFF"/>
                <w:sz w:val="16"/>
              </w:rPr>
              <w:t>(#)</w:t>
            </w:r>
          </w:p>
        </w:tc>
        <w:tc>
          <w:tcPr>
            <w:tcW w:w="60" w:type="dxa"/>
            <w:tcBorders/>
            <w:shd w:fill="005CB9" w:val="clear"/>
            <w:vAlign w:val="center"/>
          </w:tcPr>
          <w:p>
            <w:pPr>
              <w:pStyle w:val="TableContents"/>
              <w:spacing w:before="0" w:after="283"/>
              <w:rPr/>
            </w:pPr>
            <w:r>
              <w:rPr/>
              <w:t> </w:t>
            </w:r>
          </w:p>
        </w:tc>
        <w:tc>
          <w:tcPr>
            <w:tcW w:w="60" w:type="dxa"/>
            <w:vMerge w:val="continue"/>
            <w:tcBorders/>
            <w:shd w:fill="005CB9" w:val="clear"/>
            <w:vAlign w:val="center"/>
          </w:tcPr>
          <w:p>
            <w:pPr>
              <w:pStyle w:val="Normal"/>
              <w:rPr/>
            </w:pPr>
            <w:r>
              <w:rPr/>
            </w:r>
          </w:p>
        </w:tc>
        <w:tc>
          <w:tcPr>
            <w:tcW w:w="920" w:type="dxa"/>
            <w:gridSpan w:val="2"/>
            <w:vMerge w:val="continue"/>
            <w:tcBorders/>
            <w:shd w:fill="005CB9" w:val="clear"/>
            <w:vAlign w:val="center"/>
          </w:tcPr>
          <w:p>
            <w:pPr>
              <w:pStyle w:val="Normal"/>
              <w:rPr/>
            </w:pPr>
            <w:r>
              <w:rPr/>
            </w:r>
          </w:p>
        </w:tc>
        <w:tc>
          <w:tcPr>
            <w:tcW w:w="189" w:type="dxa"/>
            <w:vMerge w:val="continue"/>
            <w:tcBorders/>
            <w:shd w:fill="005CB9" w:val="clear"/>
            <w:vAlign w:val="center"/>
          </w:tcPr>
          <w:p>
            <w:pPr>
              <w:pStyle w:val="Normal"/>
              <w:rPr/>
            </w:pPr>
            <w:r>
              <w:rPr/>
            </w:r>
          </w:p>
        </w:tc>
        <w:tc>
          <w:tcPr>
            <w:tcW w:w="60" w:type="dxa"/>
            <w:vMerge w:val="continue"/>
            <w:tcBorders/>
            <w:shd w:fill="005CB9" w:val="clear"/>
            <w:vAlign w:val="center"/>
          </w:tcPr>
          <w:p>
            <w:pPr>
              <w:pStyle w:val="Normal"/>
              <w:rPr/>
            </w:pPr>
            <w:r>
              <w:rPr/>
            </w:r>
          </w:p>
        </w:tc>
        <w:tc>
          <w:tcPr>
            <w:tcW w:w="1100" w:type="dxa"/>
            <w:gridSpan w:val="2"/>
            <w:vMerge w:val="continue"/>
            <w:tcBorders/>
            <w:shd w:fill="005CB9" w:val="clear"/>
            <w:vAlign w:val="center"/>
          </w:tcPr>
          <w:p>
            <w:pPr>
              <w:pStyle w:val="Normal"/>
              <w:rPr/>
            </w:pPr>
            <w:r>
              <w:rPr/>
            </w:r>
          </w:p>
        </w:tc>
        <w:tc>
          <w:tcPr>
            <w:tcW w:w="60" w:type="dxa"/>
            <w:vMerge w:val="continue"/>
            <w:tcBorders/>
            <w:shd w:fill="005CB9" w:val="clear"/>
            <w:vAlign w:val="center"/>
          </w:tcPr>
          <w:p>
            <w:pPr>
              <w:pStyle w:val="Normal"/>
              <w:rPr/>
            </w:pPr>
            <w:r>
              <w:rPr/>
            </w:r>
          </w:p>
        </w:tc>
        <w:tc>
          <w:tcPr>
            <w:tcW w:w="60" w:type="dxa"/>
            <w:vMerge w:val="continue"/>
            <w:tcBorders/>
            <w:shd w:fill="005CB9" w:val="clear"/>
            <w:vAlign w:val="center"/>
          </w:tcPr>
          <w:p>
            <w:pPr>
              <w:pStyle w:val="Normal"/>
              <w:rPr/>
            </w:pPr>
            <w:r>
              <w:rPr/>
            </w:r>
          </w:p>
        </w:tc>
        <w:tc>
          <w:tcPr>
            <w:tcW w:w="890" w:type="dxa"/>
            <w:gridSpan w:val="2"/>
            <w:vMerge w:val="continue"/>
            <w:tcBorders/>
            <w:shd w:fill="005CB9" w:val="clear"/>
            <w:vAlign w:val="center"/>
          </w:tcPr>
          <w:p>
            <w:pPr>
              <w:pStyle w:val="Normal"/>
              <w:rPr/>
            </w:pPr>
            <w:r>
              <w:rPr/>
            </w:r>
          </w:p>
        </w:tc>
        <w:tc>
          <w:tcPr>
            <w:tcW w:w="77" w:type="dxa"/>
            <w:vMerge w:val="continue"/>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Normal"/>
              <w:rPr/>
            </w:pPr>
            <w:r>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44" w:type="dxa"/>
            <w:gridSpan w:val="4"/>
            <w:tcBorders/>
            <w:shd w:fill="E5EEF8" w:val="clear"/>
            <w:vAlign w:val="center"/>
          </w:tcPr>
          <w:p>
            <w:pPr>
              <w:pStyle w:val="TableContents"/>
              <w:spacing w:before="0" w:after="283"/>
              <w:rPr>
                <w:sz w:val="4"/>
                <w:szCs w:val="4"/>
              </w:rPr>
            </w:pPr>
            <w:r>
              <w:rPr>
                <w:sz w:val="4"/>
                <w:szCs w:val="4"/>
              </w:rPr>
            </w:r>
          </w:p>
        </w:tc>
        <w:tc>
          <w:tcPr>
            <w:tcW w:w="877" w:type="dxa"/>
            <w:gridSpan w:val="4"/>
            <w:tcBorders/>
            <w:shd w:fill="E5EEF8" w:val="clear"/>
            <w:vAlign w:val="center"/>
          </w:tcPr>
          <w:p>
            <w:pPr>
              <w:pStyle w:val="TableContents"/>
              <w:spacing w:before="0" w:after="283"/>
              <w:rPr>
                <w:sz w:val="4"/>
                <w:szCs w:val="4"/>
              </w:rPr>
            </w:pPr>
            <w:r>
              <w:rPr>
                <w:sz w:val="4"/>
                <w:szCs w:val="4"/>
              </w:rPr>
            </w:r>
          </w:p>
        </w:tc>
        <w:tc>
          <w:tcPr>
            <w:tcW w:w="958" w:type="dxa"/>
            <w:gridSpan w:val="4"/>
            <w:tcBorders/>
            <w:shd w:fill="E5EEF8" w:val="clear"/>
            <w:vAlign w:val="center"/>
          </w:tcPr>
          <w:p>
            <w:pPr>
              <w:pStyle w:val="TableContents"/>
              <w:spacing w:before="0" w:after="283"/>
              <w:rPr>
                <w:sz w:val="4"/>
                <w:szCs w:val="4"/>
              </w:rPr>
            </w:pPr>
            <w:r>
              <w:rPr>
                <w:sz w:val="4"/>
                <w:szCs w:val="4"/>
              </w:rPr>
            </w:r>
          </w:p>
        </w:tc>
        <w:tc>
          <w:tcPr>
            <w:tcW w:w="962" w:type="dxa"/>
            <w:gridSpan w:val="4"/>
            <w:tcBorders/>
            <w:shd w:fill="E5EEF8" w:val="clear"/>
            <w:vAlign w:val="center"/>
          </w:tcPr>
          <w:p>
            <w:pPr>
              <w:pStyle w:val="TableContents"/>
              <w:spacing w:before="0" w:after="283"/>
              <w:rPr>
                <w:sz w:val="4"/>
                <w:szCs w:val="4"/>
              </w:rPr>
            </w:pPr>
            <w:r>
              <w:rPr>
                <w:sz w:val="4"/>
                <w:szCs w:val="4"/>
              </w:rPr>
            </w:r>
          </w:p>
        </w:tc>
        <w:tc>
          <w:tcPr>
            <w:tcW w:w="1104" w:type="dxa"/>
            <w:gridSpan w:val="4"/>
            <w:tcBorders/>
            <w:shd w:fill="E5EEF8" w:val="clear"/>
            <w:vAlign w:val="center"/>
          </w:tcPr>
          <w:p>
            <w:pPr>
              <w:pStyle w:val="TableContents"/>
              <w:spacing w:before="0" w:after="283"/>
              <w:rPr>
                <w:sz w:val="4"/>
                <w:szCs w:val="4"/>
              </w:rPr>
            </w:pPr>
            <w:r>
              <w:rPr>
                <w:sz w:val="4"/>
                <w:szCs w:val="4"/>
              </w:rPr>
            </w:r>
          </w:p>
        </w:tc>
        <w:tc>
          <w:tcPr>
            <w:tcW w:w="739" w:type="dxa"/>
            <w:gridSpan w:val="4"/>
            <w:tcBorders/>
            <w:shd w:fill="E5EEF8" w:val="clear"/>
            <w:vAlign w:val="center"/>
          </w:tcPr>
          <w:p>
            <w:pPr>
              <w:pStyle w:val="TableContents"/>
              <w:spacing w:before="0" w:after="283"/>
              <w:rPr>
                <w:sz w:val="4"/>
                <w:szCs w:val="4"/>
              </w:rPr>
            </w:pPr>
            <w:r>
              <w:rPr>
                <w:sz w:val="4"/>
                <w:szCs w:val="4"/>
              </w:rPr>
            </w:r>
          </w:p>
        </w:tc>
        <w:tc>
          <w:tcPr>
            <w:tcW w:w="1169" w:type="dxa"/>
            <w:gridSpan w:val="4"/>
            <w:tcBorders/>
            <w:shd w:fill="E5EEF8" w:val="clear"/>
            <w:vAlign w:val="center"/>
          </w:tcPr>
          <w:p>
            <w:pPr>
              <w:pStyle w:val="TableContents"/>
              <w:spacing w:before="0" w:after="283"/>
              <w:rPr>
                <w:sz w:val="4"/>
                <w:szCs w:val="4"/>
              </w:rPr>
            </w:pPr>
            <w:r>
              <w:rPr>
                <w:sz w:val="4"/>
                <w:szCs w:val="4"/>
              </w:rPr>
            </w:r>
          </w:p>
        </w:tc>
        <w:tc>
          <w:tcPr>
            <w:tcW w:w="1220" w:type="dxa"/>
            <w:gridSpan w:val="4"/>
            <w:tcBorders/>
            <w:shd w:fill="E5EEF8" w:val="clear"/>
            <w:vAlign w:val="center"/>
          </w:tcPr>
          <w:p>
            <w:pPr>
              <w:pStyle w:val="TableContents"/>
              <w:spacing w:before="0" w:after="283"/>
              <w:rPr>
                <w:sz w:val="4"/>
                <w:szCs w:val="4"/>
              </w:rPr>
            </w:pPr>
            <w:r>
              <w:rPr>
                <w:sz w:val="4"/>
                <w:szCs w:val="4"/>
              </w:rPr>
            </w:r>
          </w:p>
        </w:tc>
        <w:tc>
          <w:tcPr>
            <w:tcW w:w="1027" w:type="dxa"/>
            <w:gridSpan w:val="4"/>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lineRule="atLeast" w:line="240" w:before="0" w:after="0"/>
              <w:rPr/>
            </w:pPr>
            <w:r>
              <w:rPr/>
              <w:t>  </w:t>
            </w:r>
            <w:r>
              <w:rPr>
                <w:rFonts w:ascii="ARIAL" w:hAnsi="ARIAL"/>
                <w:sz w:val="16"/>
              </w:rPr>
              <w:t>L. Neil Hunn</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464"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01/12/2022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7" w:type="dxa"/>
            <w:tcBorders/>
            <w:shd w:fill="E5EEF8" w:val="clear"/>
            <w:vAlign w:val="center"/>
          </w:tcPr>
          <w:p>
            <w:pPr>
              <w:pStyle w:val="TableContents"/>
              <w:spacing w:before="0" w:after="283"/>
              <w:rPr>
                <w:sz w:val="4"/>
                <w:szCs w:val="4"/>
              </w:rPr>
            </w:pPr>
            <w:r>
              <w:rPr>
                <w:sz w:val="4"/>
                <w:szCs w:val="4"/>
              </w:rPr>
            </w:r>
          </w:p>
        </w:tc>
        <w:tc>
          <w:tcPr>
            <w:tcW w:w="688"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pPr>
            <w:r>
              <w:rPr/>
              <w:t> </w:t>
            </w:r>
          </w:p>
        </w:tc>
        <w:tc>
          <w:tcPr>
            <w:tcW w:w="62" w:type="dxa"/>
            <w:tcBorders/>
            <w:shd w:fill="E5EEF8" w:val="clear"/>
            <w:vAlign w:val="center"/>
          </w:tcPr>
          <w:p>
            <w:pPr>
              <w:pStyle w:val="TableContents"/>
              <w:spacing w:before="0" w:after="283"/>
              <w:rPr>
                <w:sz w:val="4"/>
                <w:szCs w:val="4"/>
              </w:rPr>
            </w:pPr>
            <w:r>
              <w:rPr>
                <w:sz w:val="4"/>
                <w:szCs w:val="4"/>
              </w:rPr>
            </w:r>
          </w:p>
        </w:tc>
        <w:tc>
          <w:tcPr>
            <w:tcW w:w="772"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pPr>
            <w:r>
              <w:rPr/>
              <w:t> </w:t>
            </w:r>
          </w:p>
        </w:tc>
        <w:tc>
          <w:tcPr>
            <w:tcW w:w="62" w:type="dxa"/>
            <w:tcBorders/>
            <w:shd w:fill="E5EEF8" w:val="clear"/>
            <w:vAlign w:val="center"/>
          </w:tcPr>
          <w:p>
            <w:pPr>
              <w:pStyle w:val="TableContents"/>
              <w:spacing w:before="0" w:after="283"/>
              <w:rPr>
                <w:sz w:val="4"/>
                <w:szCs w:val="4"/>
              </w:rPr>
            </w:pPr>
            <w:r>
              <w:rPr>
                <w:sz w:val="4"/>
                <w:szCs w:val="4"/>
              </w:rPr>
            </w:r>
          </w:p>
        </w:tc>
        <w:tc>
          <w:tcPr>
            <w:tcW w:w="778"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21" w:type="dxa"/>
            <w:tcBorders/>
            <w:shd w:fill="E5EEF8" w:val="clear"/>
            <w:vAlign w:val="center"/>
          </w:tcPr>
          <w:p>
            <w:pPr>
              <w:pStyle w:val="TableContents"/>
              <w:spacing w:lineRule="atLeast" w:line="240" w:before="0" w:after="0"/>
              <w:rPr/>
            </w:pPr>
            <w:r>
              <w:rPr/>
              <w:t> </w:t>
            </w:r>
          </w:p>
        </w:tc>
        <w:tc>
          <w:tcPr>
            <w:tcW w:w="859"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5,145</w:t>
            </w:r>
          </w:p>
        </w:tc>
        <w:tc>
          <w:tcPr>
            <w:tcW w:w="64" w:type="dxa"/>
            <w:tcBorders/>
            <w:shd w:fill="E5EEF8" w:val="clear"/>
            <w:vAlign w:val="center"/>
          </w:tcPr>
          <w:p>
            <w:pPr>
              <w:pStyle w:val="TableContents"/>
              <w:spacing w:lineRule="atLeast" w:line="240" w:before="0" w:after="0"/>
              <w:rPr/>
            </w:pPr>
            <w:r>
              <w:rPr/>
              <w:t> </w:t>
            </w:r>
          </w:p>
        </w:tc>
        <w:tc>
          <w:tcPr>
            <w:tcW w:w="64" w:type="dxa"/>
            <w:tcBorders/>
            <w:shd w:fill="E5EEF8" w:val="clear"/>
            <w:vAlign w:val="center"/>
          </w:tcPr>
          <w:p>
            <w:pPr>
              <w:pStyle w:val="TableContents"/>
              <w:spacing w:before="0" w:after="283"/>
              <w:rPr/>
            </w:pPr>
            <w:r>
              <w:rPr/>
              <w:t> </w:t>
            </w:r>
          </w:p>
        </w:tc>
        <w:tc>
          <w:tcPr>
            <w:tcW w:w="64" w:type="dxa"/>
            <w:tcBorders/>
            <w:shd w:fill="E5EEF8" w:val="clear"/>
            <w:vAlign w:val="center"/>
          </w:tcPr>
          <w:p>
            <w:pPr>
              <w:pStyle w:val="TableContents"/>
              <w:spacing w:lineRule="atLeast" w:line="240" w:before="0" w:after="0"/>
              <w:rPr/>
            </w:pPr>
            <w:r>
              <w:rPr/>
              <w:t> </w:t>
            </w:r>
          </w:p>
        </w:tc>
        <w:tc>
          <w:tcPr>
            <w:tcW w:w="551"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29,403</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96" w:type="dxa"/>
            <w:tcBorders/>
            <w:shd w:fill="E5EEF8" w:val="clear"/>
            <w:vAlign w:val="center"/>
          </w:tcPr>
          <w:p>
            <w:pPr>
              <w:pStyle w:val="TableContents"/>
              <w:spacing w:before="0" w:after="283"/>
              <w:rPr>
                <w:sz w:val="4"/>
                <w:szCs w:val="4"/>
              </w:rPr>
            </w:pPr>
            <w:r>
              <w:rPr>
                <w:sz w:val="4"/>
                <w:szCs w:val="4"/>
              </w:rPr>
            </w:r>
          </w:p>
        </w:tc>
        <w:tc>
          <w:tcPr>
            <w:tcW w:w="824" w:type="dxa"/>
            <w:tcBorders/>
            <w:shd w:fill="E5EEF8" w:val="clear"/>
            <w:vAlign w:val="center"/>
          </w:tcPr>
          <w:p>
            <w:pPr>
              <w:pStyle w:val="TableContents"/>
              <w:spacing w:before="0" w:after="283"/>
              <w:rPr>
                <w:sz w:val="4"/>
                <w:szCs w:val="4"/>
              </w:rPr>
            </w:pPr>
            <w:r>
              <w:rPr>
                <w:sz w:val="4"/>
                <w:szCs w:val="4"/>
              </w:rPr>
            </w:r>
          </w:p>
        </w:tc>
        <w:tc>
          <w:tcPr>
            <w:tcW w:w="189"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4" w:type="dxa"/>
            <w:tcBorders/>
            <w:shd w:fill="E5EEF8" w:val="clear"/>
            <w:vAlign w:val="center"/>
          </w:tcPr>
          <w:p>
            <w:pPr>
              <w:pStyle w:val="TableContents"/>
              <w:spacing w:before="0" w:after="283"/>
              <w:rPr>
                <w:sz w:val="4"/>
                <w:szCs w:val="4"/>
              </w:rPr>
            </w:pPr>
            <w:r>
              <w:rPr>
                <w:sz w:val="4"/>
                <w:szCs w:val="4"/>
              </w:rPr>
            </w:r>
          </w:p>
        </w:tc>
        <w:tc>
          <w:tcPr>
            <w:tcW w:w="986"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83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13,896,152</w:t>
            </w:r>
          </w:p>
        </w:tc>
        <w:tc>
          <w:tcPr>
            <w:tcW w:w="77" w:type="dxa"/>
            <w:tcBorders/>
            <w:shd w:fill="E5EEF8" w:val="clear"/>
            <w:vAlign w:val="center"/>
          </w:tcPr>
          <w:p>
            <w:pPr>
              <w:pStyle w:val="TableContents"/>
              <w:spacing w:lineRule="atLeast" w:line="240" w:before="0" w:after="0"/>
              <w:rPr/>
            </w:pPr>
            <w:r>
              <w:rPr/>
              <w:t> </w:t>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464"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01/12/2022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7" w:type="dxa"/>
            <w:tcBorders/>
            <w:shd w:fill="E5EEF8" w:val="clear"/>
            <w:vAlign w:val="center"/>
          </w:tcPr>
          <w:p>
            <w:pPr>
              <w:pStyle w:val="TableContents"/>
              <w:spacing w:before="0" w:after="283"/>
              <w:rPr>
                <w:sz w:val="4"/>
                <w:szCs w:val="4"/>
              </w:rPr>
            </w:pPr>
            <w:r>
              <w:rPr>
                <w:sz w:val="4"/>
                <w:szCs w:val="4"/>
              </w:rPr>
            </w:r>
          </w:p>
        </w:tc>
        <w:tc>
          <w:tcPr>
            <w:tcW w:w="688"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pPr>
            <w:r>
              <w:rPr/>
              <w:t> </w:t>
            </w:r>
          </w:p>
        </w:tc>
        <w:tc>
          <w:tcPr>
            <w:tcW w:w="62" w:type="dxa"/>
            <w:tcBorders/>
            <w:shd w:fill="E5EEF8" w:val="clear"/>
            <w:vAlign w:val="center"/>
          </w:tcPr>
          <w:p>
            <w:pPr>
              <w:pStyle w:val="TableContents"/>
              <w:spacing w:before="0" w:after="283"/>
              <w:rPr>
                <w:sz w:val="4"/>
                <w:szCs w:val="4"/>
              </w:rPr>
            </w:pPr>
            <w:r>
              <w:rPr>
                <w:sz w:val="4"/>
                <w:szCs w:val="4"/>
              </w:rPr>
            </w:r>
          </w:p>
        </w:tc>
        <w:tc>
          <w:tcPr>
            <w:tcW w:w="772"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pPr>
            <w:r>
              <w:rPr/>
              <w:t> </w:t>
            </w:r>
          </w:p>
        </w:tc>
        <w:tc>
          <w:tcPr>
            <w:tcW w:w="62" w:type="dxa"/>
            <w:tcBorders/>
            <w:shd w:fill="E5EEF8" w:val="clear"/>
            <w:vAlign w:val="center"/>
          </w:tcPr>
          <w:p>
            <w:pPr>
              <w:pStyle w:val="TableContents"/>
              <w:spacing w:before="0" w:after="283"/>
              <w:rPr>
                <w:sz w:val="4"/>
                <w:szCs w:val="4"/>
              </w:rPr>
            </w:pPr>
            <w:r>
              <w:rPr>
                <w:sz w:val="4"/>
                <w:szCs w:val="4"/>
              </w:rPr>
            </w:r>
          </w:p>
        </w:tc>
        <w:tc>
          <w:tcPr>
            <w:tcW w:w="778"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21" w:type="dxa"/>
            <w:tcBorders/>
            <w:shd w:fill="E5EEF8" w:val="clear"/>
            <w:vAlign w:val="center"/>
          </w:tcPr>
          <w:p>
            <w:pPr>
              <w:pStyle w:val="TableContents"/>
              <w:spacing w:before="0" w:after="283"/>
              <w:rPr>
                <w:sz w:val="4"/>
                <w:szCs w:val="4"/>
              </w:rPr>
            </w:pPr>
            <w:r>
              <w:rPr>
                <w:sz w:val="4"/>
                <w:szCs w:val="4"/>
              </w:rPr>
            </w:r>
          </w:p>
        </w:tc>
        <w:tc>
          <w:tcPr>
            <w:tcW w:w="859" w:type="dxa"/>
            <w:tcBorders/>
            <w:shd w:fill="E5EEF8" w:val="clear"/>
            <w:vAlign w:val="center"/>
          </w:tcPr>
          <w:p>
            <w:pPr>
              <w:pStyle w:val="TableContents"/>
              <w:spacing w:before="0" w:after="283"/>
              <w:rPr>
                <w:sz w:val="4"/>
                <w:szCs w:val="4"/>
              </w:rPr>
            </w:pPr>
            <w:r>
              <w:rPr>
                <w:sz w:val="4"/>
                <w:szCs w:val="4"/>
              </w:rPr>
            </w:r>
          </w:p>
        </w:tc>
        <w:tc>
          <w:tcPr>
            <w:tcW w:w="64" w:type="dxa"/>
            <w:tcBorders/>
            <w:shd w:fill="E5EEF8" w:val="clear"/>
            <w:vAlign w:val="center"/>
          </w:tcPr>
          <w:p>
            <w:pPr>
              <w:pStyle w:val="TableContents"/>
              <w:spacing w:before="0" w:after="283"/>
              <w:rPr>
                <w:sz w:val="4"/>
                <w:szCs w:val="4"/>
              </w:rPr>
            </w:pPr>
            <w:r>
              <w:rPr>
                <w:sz w:val="4"/>
                <w:szCs w:val="4"/>
              </w:rPr>
            </w:r>
          </w:p>
        </w:tc>
        <w:tc>
          <w:tcPr>
            <w:tcW w:w="64" w:type="dxa"/>
            <w:tcBorders/>
            <w:shd w:fill="E5EEF8" w:val="clear"/>
            <w:vAlign w:val="center"/>
          </w:tcPr>
          <w:p>
            <w:pPr>
              <w:pStyle w:val="TableContents"/>
              <w:spacing w:before="0" w:after="283"/>
              <w:rPr/>
            </w:pPr>
            <w:r>
              <w:rPr/>
              <w:t> </w:t>
            </w:r>
          </w:p>
        </w:tc>
        <w:tc>
          <w:tcPr>
            <w:tcW w:w="64" w:type="dxa"/>
            <w:tcBorders/>
            <w:shd w:fill="E5EEF8" w:val="clear"/>
            <w:vAlign w:val="center"/>
          </w:tcPr>
          <w:p>
            <w:pPr>
              <w:pStyle w:val="TableContents"/>
              <w:spacing w:before="0" w:after="283"/>
              <w:rPr>
                <w:sz w:val="4"/>
                <w:szCs w:val="4"/>
              </w:rPr>
            </w:pPr>
            <w:r>
              <w:rPr>
                <w:sz w:val="4"/>
                <w:szCs w:val="4"/>
              </w:rPr>
            </w:r>
          </w:p>
        </w:tc>
        <w:tc>
          <w:tcPr>
            <w:tcW w:w="551"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6" w:type="dxa"/>
            <w:tcBorders/>
            <w:shd w:fill="E5EEF8" w:val="clear"/>
            <w:vAlign w:val="center"/>
          </w:tcPr>
          <w:p>
            <w:pPr>
              <w:pStyle w:val="TableContents"/>
              <w:spacing w:lineRule="atLeast" w:line="240" w:before="0" w:after="0"/>
              <w:rPr/>
            </w:pPr>
            <w:r>
              <w:rPr/>
              <w:t> </w:t>
            </w:r>
          </w:p>
        </w:tc>
        <w:tc>
          <w:tcPr>
            <w:tcW w:w="824"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41,044</w:t>
            </w:r>
          </w:p>
        </w:tc>
        <w:tc>
          <w:tcPr>
            <w:tcW w:w="189" w:type="dxa"/>
            <w:tcBorders/>
            <w:shd w:fill="E5EEF8" w:val="clear"/>
            <w:vAlign w:val="center"/>
          </w:tcPr>
          <w:p>
            <w:pPr>
              <w:pStyle w:val="TableContents"/>
              <w:spacing w:lineRule="atLeast" w:line="180" w:before="0" w:after="0"/>
              <w:rPr>
                <w:rFonts w:ascii="ARIAL" w:hAnsi="ARIAL"/>
                <w:sz w:val="16"/>
              </w:rPr>
            </w:pPr>
            <w:r>
              <w:rPr>
                <w:rFonts w:ascii="ARIAL" w:hAnsi="ARIAL"/>
                <w:sz w:val="16"/>
              </w:rPr>
              <w:t>(3) </w:t>
            </w:r>
          </w:p>
        </w:tc>
        <w:tc>
          <w:tcPr>
            <w:tcW w:w="60" w:type="dxa"/>
            <w:tcBorders/>
            <w:shd w:fill="E5EEF8" w:val="clear"/>
            <w:vAlign w:val="center"/>
          </w:tcPr>
          <w:p>
            <w:pPr>
              <w:pStyle w:val="TableContents"/>
              <w:spacing w:before="0" w:after="283"/>
              <w:rPr/>
            </w:pPr>
            <w:r>
              <w:rPr/>
              <w:t> </w:t>
            </w:r>
          </w:p>
        </w:tc>
        <w:tc>
          <w:tcPr>
            <w:tcW w:w="114" w:type="dxa"/>
            <w:tcBorders/>
            <w:shd w:fill="E5EEF8" w:val="clear"/>
            <w:vAlign w:val="center"/>
          </w:tcPr>
          <w:p>
            <w:pPr>
              <w:pStyle w:val="TableContents"/>
              <w:spacing w:lineRule="atLeast" w:line="240" w:before="0" w:after="0"/>
              <w:rPr/>
            </w:pPr>
            <w:r>
              <w:rPr/>
              <w:t> </w:t>
            </w:r>
          </w:p>
        </w:tc>
        <w:tc>
          <w:tcPr>
            <w:tcW w:w="98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464.52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83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4,632,053</w:t>
            </w:r>
          </w:p>
        </w:tc>
        <w:tc>
          <w:tcPr>
            <w:tcW w:w="77" w:type="dxa"/>
            <w:tcBorders/>
            <w:shd w:fill="E5EEF8" w:val="clear"/>
            <w:vAlign w:val="center"/>
          </w:tcPr>
          <w:p>
            <w:pPr>
              <w:pStyle w:val="TableContents"/>
              <w:spacing w:lineRule="atLeast" w:line="240" w:before="0" w:after="0"/>
              <w:rPr/>
            </w:pPr>
            <w:r>
              <w:rPr/>
              <w:t> </w:t>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464"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01/12/2022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7" w:type="dxa"/>
            <w:tcBorders/>
            <w:shd w:fill="E5EEF8" w:val="clear"/>
            <w:vAlign w:val="center"/>
          </w:tcPr>
          <w:p>
            <w:pPr>
              <w:pStyle w:val="TableContents"/>
              <w:spacing w:lineRule="atLeast" w:line="240" w:before="0" w:after="0"/>
              <w:rPr/>
            </w:pPr>
            <w:r>
              <w:rPr/>
              <w:t> </w:t>
            </w:r>
          </w:p>
        </w:tc>
        <w:tc>
          <w:tcPr>
            <w:tcW w:w="688"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500,000</w:t>
            </w:r>
          </w:p>
        </w:tc>
        <w:tc>
          <w:tcPr>
            <w:tcW w:w="62" w:type="dxa"/>
            <w:tcBorders/>
            <w:shd w:fill="E5EEF8" w:val="clear"/>
            <w:vAlign w:val="center"/>
          </w:tcPr>
          <w:p>
            <w:pPr>
              <w:pStyle w:val="TableContents"/>
              <w:spacing w:lineRule="atLeast" w:line="240" w:before="0" w:after="0"/>
              <w:rPr/>
            </w:pPr>
            <w:r>
              <w:rPr/>
              <w:t> </w:t>
            </w:r>
          </w:p>
        </w:tc>
        <w:tc>
          <w:tcPr>
            <w:tcW w:w="62" w:type="dxa"/>
            <w:tcBorders/>
            <w:shd w:fill="E5EEF8" w:val="clear"/>
            <w:vAlign w:val="center"/>
          </w:tcPr>
          <w:p>
            <w:pPr>
              <w:pStyle w:val="TableContents"/>
              <w:spacing w:before="0" w:after="283"/>
              <w:rPr/>
            </w:pPr>
            <w:r>
              <w:rPr/>
              <w:t> </w:t>
            </w:r>
          </w:p>
        </w:tc>
        <w:tc>
          <w:tcPr>
            <w:tcW w:w="62" w:type="dxa"/>
            <w:tcBorders/>
            <w:shd w:fill="E5EEF8" w:val="clear"/>
            <w:vAlign w:val="center"/>
          </w:tcPr>
          <w:p>
            <w:pPr>
              <w:pStyle w:val="TableContents"/>
              <w:spacing w:lineRule="atLeast" w:line="240" w:before="0" w:after="0"/>
              <w:rPr/>
            </w:pPr>
            <w:r>
              <w:rPr/>
              <w:t> </w:t>
            </w:r>
          </w:p>
        </w:tc>
        <w:tc>
          <w:tcPr>
            <w:tcW w:w="772"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2,000,000</w:t>
            </w:r>
          </w:p>
        </w:tc>
        <w:tc>
          <w:tcPr>
            <w:tcW w:w="62" w:type="dxa"/>
            <w:tcBorders/>
            <w:shd w:fill="E5EEF8" w:val="clear"/>
            <w:vAlign w:val="center"/>
          </w:tcPr>
          <w:p>
            <w:pPr>
              <w:pStyle w:val="TableContents"/>
              <w:spacing w:lineRule="atLeast" w:line="240" w:before="0" w:after="0"/>
              <w:rPr/>
            </w:pPr>
            <w:r>
              <w:rPr/>
              <w:t> </w:t>
            </w:r>
          </w:p>
        </w:tc>
        <w:tc>
          <w:tcPr>
            <w:tcW w:w="62" w:type="dxa"/>
            <w:tcBorders/>
            <w:shd w:fill="E5EEF8" w:val="clear"/>
            <w:vAlign w:val="center"/>
          </w:tcPr>
          <w:p>
            <w:pPr>
              <w:pStyle w:val="TableContents"/>
              <w:spacing w:before="0" w:after="283"/>
              <w:rPr/>
            </w:pPr>
            <w:r>
              <w:rPr/>
              <w:t> </w:t>
            </w:r>
          </w:p>
        </w:tc>
        <w:tc>
          <w:tcPr>
            <w:tcW w:w="62" w:type="dxa"/>
            <w:tcBorders/>
            <w:shd w:fill="E5EEF8" w:val="clear"/>
            <w:vAlign w:val="center"/>
          </w:tcPr>
          <w:p>
            <w:pPr>
              <w:pStyle w:val="TableContents"/>
              <w:spacing w:lineRule="atLeast" w:line="240" w:before="0" w:after="0"/>
              <w:rPr/>
            </w:pPr>
            <w:r>
              <w:rPr/>
              <w:t> </w:t>
            </w:r>
          </w:p>
        </w:tc>
        <w:tc>
          <w:tcPr>
            <w:tcW w:w="778"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2,000,000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21" w:type="dxa"/>
            <w:tcBorders/>
            <w:shd w:fill="E5EEF8" w:val="clear"/>
            <w:vAlign w:val="center"/>
          </w:tcPr>
          <w:p>
            <w:pPr>
              <w:pStyle w:val="TableContents"/>
              <w:spacing w:before="0" w:after="283"/>
              <w:rPr>
                <w:sz w:val="4"/>
                <w:szCs w:val="4"/>
              </w:rPr>
            </w:pPr>
            <w:r>
              <w:rPr>
                <w:sz w:val="4"/>
                <w:szCs w:val="4"/>
              </w:rPr>
            </w:r>
          </w:p>
        </w:tc>
        <w:tc>
          <w:tcPr>
            <w:tcW w:w="859" w:type="dxa"/>
            <w:tcBorders/>
            <w:shd w:fill="E5EEF8" w:val="clear"/>
            <w:vAlign w:val="center"/>
          </w:tcPr>
          <w:p>
            <w:pPr>
              <w:pStyle w:val="TableContents"/>
              <w:spacing w:before="0" w:after="283"/>
              <w:rPr>
                <w:sz w:val="4"/>
                <w:szCs w:val="4"/>
              </w:rPr>
            </w:pPr>
            <w:r>
              <w:rPr>
                <w:sz w:val="4"/>
                <w:szCs w:val="4"/>
              </w:rPr>
            </w:r>
          </w:p>
        </w:tc>
        <w:tc>
          <w:tcPr>
            <w:tcW w:w="64" w:type="dxa"/>
            <w:tcBorders/>
            <w:shd w:fill="E5EEF8" w:val="clear"/>
            <w:vAlign w:val="center"/>
          </w:tcPr>
          <w:p>
            <w:pPr>
              <w:pStyle w:val="TableContents"/>
              <w:spacing w:before="0" w:after="283"/>
              <w:rPr>
                <w:sz w:val="4"/>
                <w:szCs w:val="4"/>
              </w:rPr>
            </w:pPr>
            <w:r>
              <w:rPr>
                <w:sz w:val="4"/>
                <w:szCs w:val="4"/>
              </w:rPr>
            </w:r>
          </w:p>
        </w:tc>
        <w:tc>
          <w:tcPr>
            <w:tcW w:w="64" w:type="dxa"/>
            <w:tcBorders/>
            <w:shd w:fill="E5EEF8" w:val="clear"/>
            <w:vAlign w:val="center"/>
          </w:tcPr>
          <w:p>
            <w:pPr>
              <w:pStyle w:val="TableContents"/>
              <w:spacing w:before="0" w:after="283"/>
              <w:rPr/>
            </w:pPr>
            <w:r>
              <w:rPr/>
              <w:t> </w:t>
            </w:r>
          </w:p>
        </w:tc>
        <w:tc>
          <w:tcPr>
            <w:tcW w:w="64" w:type="dxa"/>
            <w:tcBorders/>
            <w:shd w:fill="E5EEF8" w:val="clear"/>
            <w:vAlign w:val="center"/>
          </w:tcPr>
          <w:p>
            <w:pPr>
              <w:pStyle w:val="TableContents"/>
              <w:spacing w:before="0" w:after="283"/>
              <w:rPr>
                <w:sz w:val="4"/>
                <w:szCs w:val="4"/>
              </w:rPr>
            </w:pPr>
            <w:r>
              <w:rPr>
                <w:sz w:val="4"/>
                <w:szCs w:val="4"/>
              </w:rPr>
            </w:r>
          </w:p>
        </w:tc>
        <w:tc>
          <w:tcPr>
            <w:tcW w:w="551"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6" w:type="dxa"/>
            <w:tcBorders/>
            <w:shd w:fill="E5EEF8" w:val="clear"/>
            <w:vAlign w:val="center"/>
          </w:tcPr>
          <w:p>
            <w:pPr>
              <w:pStyle w:val="TableContents"/>
              <w:spacing w:before="0" w:after="283"/>
              <w:rPr>
                <w:sz w:val="4"/>
                <w:szCs w:val="4"/>
              </w:rPr>
            </w:pPr>
            <w:r>
              <w:rPr>
                <w:sz w:val="4"/>
                <w:szCs w:val="4"/>
              </w:rPr>
            </w:r>
          </w:p>
        </w:tc>
        <w:tc>
          <w:tcPr>
            <w:tcW w:w="824" w:type="dxa"/>
            <w:tcBorders/>
            <w:shd w:fill="E5EEF8" w:val="clear"/>
            <w:vAlign w:val="center"/>
          </w:tcPr>
          <w:p>
            <w:pPr>
              <w:pStyle w:val="TableContents"/>
              <w:spacing w:before="0" w:after="283"/>
              <w:rPr>
                <w:sz w:val="4"/>
                <w:szCs w:val="4"/>
              </w:rPr>
            </w:pPr>
            <w:r>
              <w:rPr>
                <w:sz w:val="4"/>
                <w:szCs w:val="4"/>
              </w:rPr>
            </w:r>
          </w:p>
        </w:tc>
        <w:tc>
          <w:tcPr>
            <w:tcW w:w="189"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4" w:type="dxa"/>
            <w:tcBorders/>
            <w:shd w:fill="E5EEF8" w:val="clear"/>
            <w:vAlign w:val="center"/>
          </w:tcPr>
          <w:p>
            <w:pPr>
              <w:pStyle w:val="TableContents"/>
              <w:spacing w:before="0" w:after="283"/>
              <w:rPr>
                <w:sz w:val="4"/>
                <w:szCs w:val="4"/>
              </w:rPr>
            </w:pPr>
            <w:r>
              <w:rPr>
                <w:sz w:val="4"/>
                <w:szCs w:val="4"/>
              </w:rPr>
            </w:r>
          </w:p>
        </w:tc>
        <w:tc>
          <w:tcPr>
            <w:tcW w:w="986"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sz w:val="4"/>
                <w:szCs w:val="4"/>
              </w:rPr>
            </w:pPr>
            <w:r>
              <w:rPr>
                <w:sz w:val="4"/>
                <w:szCs w:val="4"/>
              </w:rPr>
            </w:r>
          </w:p>
        </w:tc>
        <w:tc>
          <w:tcPr>
            <w:tcW w:w="830" w:type="dxa"/>
            <w:tcBorders/>
            <w:shd w:fill="E5EEF8" w:val="clear"/>
            <w:vAlign w:val="center"/>
          </w:tcPr>
          <w:p>
            <w:pPr>
              <w:pStyle w:val="TableContents"/>
              <w:spacing w:before="0" w:after="283"/>
              <w:rPr>
                <w:sz w:val="4"/>
                <w:szCs w:val="4"/>
              </w:rPr>
            </w:pPr>
            <w:r>
              <w:rPr>
                <w:sz w:val="4"/>
                <w:szCs w:val="4"/>
              </w:rPr>
            </w:r>
          </w:p>
        </w:tc>
        <w:tc>
          <w:tcPr>
            <w:tcW w:w="77"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c>
          <w:tcPr>
            <w:tcW w:w="877" w:type="dxa"/>
            <w:gridSpan w:val="4"/>
            <w:tcBorders/>
            <w:shd w:fill="auto" w:val="clear"/>
            <w:vAlign w:val="center"/>
          </w:tcPr>
          <w:p>
            <w:pPr>
              <w:pStyle w:val="TableContents"/>
              <w:spacing w:before="0" w:after="283"/>
              <w:rPr>
                <w:sz w:val="4"/>
                <w:szCs w:val="4"/>
              </w:rPr>
            </w:pPr>
            <w:r>
              <w:rPr>
                <w:sz w:val="4"/>
                <w:szCs w:val="4"/>
              </w:rPr>
            </w:r>
          </w:p>
        </w:tc>
        <w:tc>
          <w:tcPr>
            <w:tcW w:w="958" w:type="dxa"/>
            <w:gridSpan w:val="4"/>
            <w:tcBorders/>
            <w:shd w:fill="auto" w:val="clear"/>
            <w:vAlign w:val="center"/>
          </w:tcPr>
          <w:p>
            <w:pPr>
              <w:pStyle w:val="TableContents"/>
              <w:spacing w:before="0" w:after="283"/>
              <w:rPr>
                <w:sz w:val="4"/>
                <w:szCs w:val="4"/>
              </w:rPr>
            </w:pPr>
            <w:r>
              <w:rPr>
                <w:sz w:val="4"/>
                <w:szCs w:val="4"/>
              </w:rPr>
            </w:r>
          </w:p>
        </w:tc>
        <w:tc>
          <w:tcPr>
            <w:tcW w:w="962" w:type="dxa"/>
            <w:gridSpan w:val="4"/>
            <w:tcBorders/>
            <w:shd w:fill="auto" w:val="clear"/>
            <w:vAlign w:val="center"/>
          </w:tcPr>
          <w:p>
            <w:pPr>
              <w:pStyle w:val="TableContents"/>
              <w:spacing w:before="0" w:after="283"/>
              <w:rPr>
                <w:sz w:val="4"/>
                <w:szCs w:val="4"/>
              </w:rPr>
            </w:pPr>
            <w:r>
              <w:rPr>
                <w:sz w:val="4"/>
                <w:szCs w:val="4"/>
              </w:rPr>
            </w:r>
          </w:p>
        </w:tc>
        <w:tc>
          <w:tcPr>
            <w:tcW w:w="1104" w:type="dxa"/>
            <w:gridSpan w:val="4"/>
            <w:tcBorders/>
            <w:shd w:fill="auto" w:val="clear"/>
            <w:vAlign w:val="center"/>
          </w:tcPr>
          <w:p>
            <w:pPr>
              <w:pStyle w:val="TableContents"/>
              <w:spacing w:before="0" w:after="283"/>
              <w:rPr>
                <w:sz w:val="4"/>
                <w:szCs w:val="4"/>
              </w:rPr>
            </w:pPr>
            <w:r>
              <w:rPr>
                <w:sz w:val="4"/>
                <w:szCs w:val="4"/>
              </w:rPr>
            </w:r>
          </w:p>
        </w:tc>
        <w:tc>
          <w:tcPr>
            <w:tcW w:w="739" w:type="dxa"/>
            <w:gridSpan w:val="4"/>
            <w:tcBorders/>
            <w:shd w:fill="auto" w:val="clear"/>
            <w:vAlign w:val="center"/>
          </w:tcPr>
          <w:p>
            <w:pPr>
              <w:pStyle w:val="TableContents"/>
              <w:spacing w:before="0" w:after="283"/>
              <w:rPr>
                <w:sz w:val="4"/>
                <w:szCs w:val="4"/>
              </w:rPr>
            </w:pPr>
            <w:r>
              <w:rPr>
                <w:sz w:val="4"/>
                <w:szCs w:val="4"/>
              </w:rPr>
            </w:r>
          </w:p>
        </w:tc>
        <w:tc>
          <w:tcPr>
            <w:tcW w:w="1169"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027"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lineRule="atLeast" w:line="240" w:before="0" w:after="0"/>
              <w:rPr/>
            </w:pPr>
            <w:r>
              <w:rPr/>
              <w:t>  </w:t>
            </w:r>
            <w:r>
              <w:rPr>
                <w:rFonts w:ascii="ARIAL" w:hAnsi="ARIAL"/>
                <w:sz w:val="16"/>
              </w:rPr>
              <w:t>Robert C. Crisci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46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01/12/2022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lineRule="atLeast" w:line="240" w:before="0" w:after="0"/>
              <w:rPr/>
            </w:pPr>
            <w:r>
              <w:rPr/>
              <w:t> </w:t>
            </w:r>
          </w:p>
        </w:tc>
        <w:tc>
          <w:tcPr>
            <w:tcW w:w="85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1,629</w:t>
            </w:r>
          </w:p>
        </w:tc>
        <w:tc>
          <w:tcPr>
            <w:tcW w:w="64" w:type="dxa"/>
            <w:tcBorders/>
            <w:shd w:fill="auto" w:val="clear"/>
            <w:vAlign w:val="center"/>
          </w:tcPr>
          <w:p>
            <w:pPr>
              <w:pStyle w:val="TableContents"/>
              <w:spacing w:lineRule="atLeast" w:line="240" w:before="0" w:after="0"/>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lineRule="atLeast" w:line="240" w:before="0" w:after="0"/>
              <w:rPr/>
            </w:pPr>
            <w:r>
              <w:rPr/>
              <w:t> </w:t>
            </w:r>
          </w:p>
        </w:tc>
        <w:tc>
          <w:tcPr>
            <w:tcW w:w="551"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9,310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4,399,999</w:t>
            </w:r>
          </w:p>
        </w:tc>
        <w:tc>
          <w:tcPr>
            <w:tcW w:w="77" w:type="dxa"/>
            <w:tcBorders/>
            <w:shd w:fill="auto" w:val="clear"/>
            <w:vAlign w:val="center"/>
          </w:tcPr>
          <w:p>
            <w:pPr>
              <w:pStyle w:val="TableContents"/>
              <w:spacing w:lineRule="atLeast" w:line="240" w:before="0" w:after="0"/>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46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01/12/2022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lineRule="atLeast" w:line="240" w:before="0" w:after="0"/>
              <w:rPr/>
            </w:pPr>
            <w:r>
              <w:rPr/>
              <w:t> </w:t>
            </w:r>
          </w:p>
        </w:tc>
        <w:tc>
          <w:tcPr>
            <w:tcW w:w="82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13,291</w:t>
            </w:r>
          </w:p>
        </w:tc>
        <w:tc>
          <w:tcPr>
            <w:tcW w:w="189" w:type="dxa"/>
            <w:tcBorders/>
            <w:shd w:fill="auto" w:val="clear"/>
            <w:vAlign w:val="center"/>
          </w:tcPr>
          <w:p>
            <w:pPr>
              <w:pStyle w:val="TableContents"/>
              <w:spacing w:lineRule="atLeast" w:line="180" w:before="0" w:after="0"/>
              <w:rPr>
                <w:rFonts w:ascii="ARIAL" w:hAnsi="ARIAL"/>
                <w:sz w:val="16"/>
              </w:rPr>
            </w:pPr>
            <w:r>
              <w:rPr>
                <w:rFonts w:ascii="ARIAL" w:hAnsi="ARIAL"/>
                <w:sz w:val="16"/>
              </w:rPr>
              <w:t>(3) </w:t>
            </w:r>
          </w:p>
        </w:tc>
        <w:tc>
          <w:tcPr>
            <w:tcW w:w="6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lineRule="atLeast" w:line="240" w:before="0" w:after="0"/>
              <w:rPr/>
            </w:pPr>
            <w:r>
              <w:rPr/>
              <w:t> </w:t>
            </w:r>
          </w:p>
        </w:tc>
        <w:tc>
          <w:tcPr>
            <w:tcW w:w="98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464.52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1,499,966</w:t>
            </w:r>
          </w:p>
        </w:tc>
        <w:tc>
          <w:tcPr>
            <w:tcW w:w="77" w:type="dxa"/>
            <w:tcBorders/>
            <w:shd w:fill="auto" w:val="clear"/>
            <w:vAlign w:val="center"/>
          </w:tcPr>
          <w:p>
            <w:pPr>
              <w:pStyle w:val="TableContents"/>
              <w:spacing w:lineRule="atLeast" w:line="240" w:before="0" w:after="0"/>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46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01/12/2022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lineRule="atLeast" w:line="240" w:before="0" w:after="0"/>
              <w:rPr/>
            </w:pPr>
            <w:r>
              <w:rPr/>
              <w:t> </w:t>
            </w:r>
          </w:p>
        </w:tc>
        <w:tc>
          <w:tcPr>
            <w:tcW w:w="688"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221,875</w:t>
            </w:r>
          </w:p>
        </w:tc>
        <w:tc>
          <w:tcPr>
            <w:tcW w:w="62" w:type="dxa"/>
            <w:tcBorders/>
            <w:shd w:fill="auto" w:val="clear"/>
            <w:vAlign w:val="center"/>
          </w:tcPr>
          <w:p>
            <w:pPr>
              <w:pStyle w:val="TableContents"/>
              <w:spacing w:lineRule="atLeast" w:line="240" w:before="0" w:after="0"/>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lineRule="atLeast" w:line="240" w:before="0" w:after="0"/>
              <w:rPr/>
            </w:pPr>
            <w:r>
              <w:rPr/>
              <w:t> </w:t>
            </w:r>
          </w:p>
        </w:tc>
        <w:tc>
          <w:tcPr>
            <w:tcW w:w="77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887,500</w:t>
            </w:r>
          </w:p>
        </w:tc>
        <w:tc>
          <w:tcPr>
            <w:tcW w:w="62" w:type="dxa"/>
            <w:tcBorders/>
            <w:shd w:fill="auto" w:val="clear"/>
            <w:vAlign w:val="center"/>
          </w:tcPr>
          <w:p>
            <w:pPr>
              <w:pStyle w:val="TableContents"/>
              <w:spacing w:lineRule="atLeast" w:line="240" w:before="0" w:after="0"/>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lineRule="atLeast" w:line="240" w:before="0" w:after="0"/>
              <w:rPr/>
            </w:pPr>
            <w:r>
              <w:rPr/>
              <w:t> </w:t>
            </w:r>
          </w:p>
        </w:tc>
        <w:tc>
          <w:tcPr>
            <w:tcW w:w="778"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887,500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44" w:type="dxa"/>
            <w:gridSpan w:val="4"/>
            <w:tcBorders/>
            <w:shd w:fill="E5EEF8" w:val="clear"/>
            <w:vAlign w:val="center"/>
          </w:tcPr>
          <w:p>
            <w:pPr>
              <w:pStyle w:val="TableContents"/>
              <w:spacing w:before="0" w:after="283"/>
              <w:rPr>
                <w:sz w:val="4"/>
                <w:szCs w:val="4"/>
              </w:rPr>
            </w:pPr>
            <w:r>
              <w:rPr>
                <w:sz w:val="4"/>
                <w:szCs w:val="4"/>
              </w:rPr>
            </w:r>
          </w:p>
        </w:tc>
        <w:tc>
          <w:tcPr>
            <w:tcW w:w="877" w:type="dxa"/>
            <w:gridSpan w:val="4"/>
            <w:tcBorders/>
            <w:shd w:fill="E5EEF8" w:val="clear"/>
            <w:vAlign w:val="center"/>
          </w:tcPr>
          <w:p>
            <w:pPr>
              <w:pStyle w:val="TableContents"/>
              <w:spacing w:before="0" w:after="283"/>
              <w:rPr>
                <w:sz w:val="4"/>
                <w:szCs w:val="4"/>
              </w:rPr>
            </w:pPr>
            <w:r>
              <w:rPr>
                <w:sz w:val="4"/>
                <w:szCs w:val="4"/>
              </w:rPr>
            </w:r>
          </w:p>
        </w:tc>
        <w:tc>
          <w:tcPr>
            <w:tcW w:w="958" w:type="dxa"/>
            <w:gridSpan w:val="4"/>
            <w:tcBorders/>
            <w:shd w:fill="E5EEF8" w:val="clear"/>
            <w:vAlign w:val="center"/>
          </w:tcPr>
          <w:p>
            <w:pPr>
              <w:pStyle w:val="TableContents"/>
              <w:spacing w:before="0" w:after="283"/>
              <w:rPr>
                <w:sz w:val="4"/>
                <w:szCs w:val="4"/>
              </w:rPr>
            </w:pPr>
            <w:r>
              <w:rPr>
                <w:sz w:val="4"/>
                <w:szCs w:val="4"/>
              </w:rPr>
            </w:r>
          </w:p>
        </w:tc>
        <w:tc>
          <w:tcPr>
            <w:tcW w:w="962" w:type="dxa"/>
            <w:gridSpan w:val="4"/>
            <w:tcBorders/>
            <w:shd w:fill="E5EEF8" w:val="clear"/>
            <w:vAlign w:val="center"/>
          </w:tcPr>
          <w:p>
            <w:pPr>
              <w:pStyle w:val="TableContents"/>
              <w:spacing w:before="0" w:after="283"/>
              <w:rPr>
                <w:sz w:val="4"/>
                <w:szCs w:val="4"/>
              </w:rPr>
            </w:pPr>
            <w:r>
              <w:rPr>
                <w:sz w:val="4"/>
                <w:szCs w:val="4"/>
              </w:rPr>
            </w:r>
          </w:p>
        </w:tc>
        <w:tc>
          <w:tcPr>
            <w:tcW w:w="1104" w:type="dxa"/>
            <w:gridSpan w:val="4"/>
            <w:tcBorders/>
            <w:shd w:fill="E5EEF8" w:val="clear"/>
            <w:vAlign w:val="center"/>
          </w:tcPr>
          <w:p>
            <w:pPr>
              <w:pStyle w:val="TableContents"/>
              <w:spacing w:before="0" w:after="283"/>
              <w:rPr>
                <w:sz w:val="4"/>
                <w:szCs w:val="4"/>
              </w:rPr>
            </w:pPr>
            <w:r>
              <w:rPr>
                <w:sz w:val="4"/>
                <w:szCs w:val="4"/>
              </w:rPr>
            </w:r>
          </w:p>
        </w:tc>
        <w:tc>
          <w:tcPr>
            <w:tcW w:w="739" w:type="dxa"/>
            <w:gridSpan w:val="4"/>
            <w:tcBorders/>
            <w:shd w:fill="E5EEF8" w:val="clear"/>
            <w:vAlign w:val="center"/>
          </w:tcPr>
          <w:p>
            <w:pPr>
              <w:pStyle w:val="TableContents"/>
              <w:spacing w:before="0" w:after="283"/>
              <w:rPr>
                <w:sz w:val="4"/>
                <w:szCs w:val="4"/>
              </w:rPr>
            </w:pPr>
            <w:r>
              <w:rPr>
                <w:sz w:val="4"/>
                <w:szCs w:val="4"/>
              </w:rPr>
            </w:r>
          </w:p>
        </w:tc>
        <w:tc>
          <w:tcPr>
            <w:tcW w:w="1169" w:type="dxa"/>
            <w:gridSpan w:val="4"/>
            <w:tcBorders/>
            <w:shd w:fill="E5EEF8" w:val="clear"/>
            <w:vAlign w:val="center"/>
          </w:tcPr>
          <w:p>
            <w:pPr>
              <w:pStyle w:val="TableContents"/>
              <w:spacing w:before="0" w:after="283"/>
              <w:rPr>
                <w:sz w:val="4"/>
                <w:szCs w:val="4"/>
              </w:rPr>
            </w:pPr>
            <w:r>
              <w:rPr>
                <w:sz w:val="4"/>
                <w:szCs w:val="4"/>
              </w:rPr>
            </w:r>
          </w:p>
        </w:tc>
        <w:tc>
          <w:tcPr>
            <w:tcW w:w="1220" w:type="dxa"/>
            <w:gridSpan w:val="4"/>
            <w:tcBorders/>
            <w:shd w:fill="E5EEF8" w:val="clear"/>
            <w:vAlign w:val="center"/>
          </w:tcPr>
          <w:p>
            <w:pPr>
              <w:pStyle w:val="TableContents"/>
              <w:spacing w:before="0" w:after="283"/>
              <w:rPr>
                <w:sz w:val="4"/>
                <w:szCs w:val="4"/>
              </w:rPr>
            </w:pPr>
            <w:r>
              <w:rPr>
                <w:sz w:val="4"/>
                <w:szCs w:val="4"/>
              </w:rPr>
            </w:r>
          </w:p>
        </w:tc>
        <w:tc>
          <w:tcPr>
            <w:tcW w:w="1027" w:type="dxa"/>
            <w:gridSpan w:val="4"/>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lineRule="atLeast" w:line="240" w:before="0" w:after="0"/>
              <w:rPr/>
            </w:pPr>
            <w:r>
              <w:rPr/>
              <w:t>  </w:t>
            </w:r>
            <w:r>
              <w:rPr>
                <w:rFonts w:ascii="ARIAL" w:hAnsi="ARIAL"/>
                <w:sz w:val="16"/>
              </w:rPr>
              <w:t>John K. Stipancich</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464"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01/12/2022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7" w:type="dxa"/>
            <w:tcBorders/>
            <w:shd w:fill="E5EEF8" w:val="clear"/>
            <w:vAlign w:val="center"/>
          </w:tcPr>
          <w:p>
            <w:pPr>
              <w:pStyle w:val="TableContents"/>
              <w:spacing w:before="0" w:after="283"/>
              <w:rPr>
                <w:sz w:val="4"/>
                <w:szCs w:val="4"/>
              </w:rPr>
            </w:pPr>
            <w:r>
              <w:rPr>
                <w:sz w:val="4"/>
                <w:szCs w:val="4"/>
              </w:rPr>
            </w:r>
          </w:p>
        </w:tc>
        <w:tc>
          <w:tcPr>
            <w:tcW w:w="688"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pPr>
            <w:r>
              <w:rPr/>
              <w:t> </w:t>
            </w:r>
          </w:p>
        </w:tc>
        <w:tc>
          <w:tcPr>
            <w:tcW w:w="62" w:type="dxa"/>
            <w:tcBorders/>
            <w:shd w:fill="E5EEF8" w:val="clear"/>
            <w:vAlign w:val="center"/>
          </w:tcPr>
          <w:p>
            <w:pPr>
              <w:pStyle w:val="TableContents"/>
              <w:spacing w:before="0" w:after="283"/>
              <w:rPr>
                <w:sz w:val="4"/>
                <w:szCs w:val="4"/>
              </w:rPr>
            </w:pPr>
            <w:r>
              <w:rPr>
                <w:sz w:val="4"/>
                <w:szCs w:val="4"/>
              </w:rPr>
            </w:r>
          </w:p>
        </w:tc>
        <w:tc>
          <w:tcPr>
            <w:tcW w:w="772"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pPr>
            <w:r>
              <w:rPr/>
              <w:t> </w:t>
            </w:r>
          </w:p>
        </w:tc>
        <w:tc>
          <w:tcPr>
            <w:tcW w:w="62" w:type="dxa"/>
            <w:tcBorders/>
            <w:shd w:fill="E5EEF8" w:val="clear"/>
            <w:vAlign w:val="center"/>
          </w:tcPr>
          <w:p>
            <w:pPr>
              <w:pStyle w:val="TableContents"/>
              <w:spacing w:before="0" w:after="283"/>
              <w:rPr>
                <w:sz w:val="4"/>
                <w:szCs w:val="4"/>
              </w:rPr>
            </w:pPr>
            <w:r>
              <w:rPr>
                <w:sz w:val="4"/>
                <w:szCs w:val="4"/>
              </w:rPr>
            </w:r>
          </w:p>
        </w:tc>
        <w:tc>
          <w:tcPr>
            <w:tcW w:w="778"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21" w:type="dxa"/>
            <w:tcBorders/>
            <w:shd w:fill="E5EEF8" w:val="clear"/>
            <w:vAlign w:val="center"/>
          </w:tcPr>
          <w:p>
            <w:pPr>
              <w:pStyle w:val="TableContents"/>
              <w:spacing w:lineRule="atLeast" w:line="240" w:before="0" w:after="0"/>
              <w:rPr/>
            </w:pPr>
            <w:r>
              <w:rPr/>
              <w:t> </w:t>
            </w:r>
          </w:p>
        </w:tc>
        <w:tc>
          <w:tcPr>
            <w:tcW w:w="859"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981</w:t>
            </w:r>
          </w:p>
        </w:tc>
        <w:tc>
          <w:tcPr>
            <w:tcW w:w="64" w:type="dxa"/>
            <w:tcBorders/>
            <w:shd w:fill="E5EEF8" w:val="clear"/>
            <w:vAlign w:val="center"/>
          </w:tcPr>
          <w:p>
            <w:pPr>
              <w:pStyle w:val="TableContents"/>
              <w:spacing w:lineRule="atLeast" w:line="240" w:before="0" w:after="0"/>
              <w:rPr/>
            </w:pPr>
            <w:r>
              <w:rPr/>
              <w:t> </w:t>
            </w:r>
          </w:p>
        </w:tc>
        <w:tc>
          <w:tcPr>
            <w:tcW w:w="64" w:type="dxa"/>
            <w:tcBorders/>
            <w:shd w:fill="E5EEF8" w:val="clear"/>
            <w:vAlign w:val="center"/>
          </w:tcPr>
          <w:p>
            <w:pPr>
              <w:pStyle w:val="TableContents"/>
              <w:spacing w:before="0" w:after="283"/>
              <w:rPr/>
            </w:pPr>
            <w:r>
              <w:rPr/>
              <w:t> </w:t>
            </w:r>
          </w:p>
        </w:tc>
        <w:tc>
          <w:tcPr>
            <w:tcW w:w="64" w:type="dxa"/>
            <w:tcBorders/>
            <w:shd w:fill="E5EEF8" w:val="clear"/>
            <w:vAlign w:val="center"/>
          </w:tcPr>
          <w:p>
            <w:pPr>
              <w:pStyle w:val="TableContents"/>
              <w:spacing w:lineRule="atLeast" w:line="240" w:before="0" w:after="0"/>
              <w:rPr/>
            </w:pPr>
            <w:r>
              <w:rPr/>
              <w:t> </w:t>
            </w:r>
          </w:p>
        </w:tc>
        <w:tc>
          <w:tcPr>
            <w:tcW w:w="551"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5,607</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96" w:type="dxa"/>
            <w:tcBorders/>
            <w:shd w:fill="E5EEF8" w:val="clear"/>
            <w:vAlign w:val="center"/>
          </w:tcPr>
          <w:p>
            <w:pPr>
              <w:pStyle w:val="TableContents"/>
              <w:spacing w:before="0" w:after="283"/>
              <w:rPr>
                <w:sz w:val="4"/>
                <w:szCs w:val="4"/>
              </w:rPr>
            </w:pPr>
            <w:r>
              <w:rPr>
                <w:sz w:val="4"/>
                <w:szCs w:val="4"/>
              </w:rPr>
            </w:r>
          </w:p>
        </w:tc>
        <w:tc>
          <w:tcPr>
            <w:tcW w:w="824" w:type="dxa"/>
            <w:tcBorders/>
            <w:shd w:fill="E5EEF8" w:val="clear"/>
            <w:vAlign w:val="center"/>
          </w:tcPr>
          <w:p>
            <w:pPr>
              <w:pStyle w:val="TableContents"/>
              <w:spacing w:before="0" w:after="283"/>
              <w:rPr>
                <w:sz w:val="4"/>
                <w:szCs w:val="4"/>
              </w:rPr>
            </w:pPr>
            <w:r>
              <w:rPr>
                <w:sz w:val="4"/>
                <w:szCs w:val="4"/>
              </w:rPr>
            </w:r>
          </w:p>
        </w:tc>
        <w:tc>
          <w:tcPr>
            <w:tcW w:w="189"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4" w:type="dxa"/>
            <w:tcBorders/>
            <w:shd w:fill="E5EEF8" w:val="clear"/>
            <w:vAlign w:val="center"/>
          </w:tcPr>
          <w:p>
            <w:pPr>
              <w:pStyle w:val="TableContents"/>
              <w:spacing w:before="0" w:after="283"/>
              <w:rPr>
                <w:sz w:val="4"/>
                <w:szCs w:val="4"/>
              </w:rPr>
            </w:pPr>
            <w:r>
              <w:rPr>
                <w:sz w:val="4"/>
                <w:szCs w:val="4"/>
              </w:rPr>
            </w:r>
          </w:p>
        </w:tc>
        <w:tc>
          <w:tcPr>
            <w:tcW w:w="986"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83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2,649,924</w:t>
            </w:r>
          </w:p>
        </w:tc>
        <w:tc>
          <w:tcPr>
            <w:tcW w:w="77" w:type="dxa"/>
            <w:tcBorders/>
            <w:shd w:fill="E5EEF8" w:val="clear"/>
            <w:vAlign w:val="center"/>
          </w:tcPr>
          <w:p>
            <w:pPr>
              <w:pStyle w:val="TableContents"/>
              <w:spacing w:lineRule="atLeast" w:line="240" w:before="0" w:after="0"/>
              <w:rPr/>
            </w:pPr>
            <w:r>
              <w:rPr/>
              <w:t> </w:t>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464"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01/12/2022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7" w:type="dxa"/>
            <w:tcBorders/>
            <w:shd w:fill="E5EEF8" w:val="clear"/>
            <w:vAlign w:val="center"/>
          </w:tcPr>
          <w:p>
            <w:pPr>
              <w:pStyle w:val="TableContents"/>
              <w:spacing w:before="0" w:after="283"/>
              <w:rPr>
                <w:sz w:val="4"/>
                <w:szCs w:val="4"/>
              </w:rPr>
            </w:pPr>
            <w:r>
              <w:rPr>
                <w:sz w:val="4"/>
                <w:szCs w:val="4"/>
              </w:rPr>
            </w:r>
          </w:p>
        </w:tc>
        <w:tc>
          <w:tcPr>
            <w:tcW w:w="688"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pPr>
            <w:r>
              <w:rPr/>
              <w:t> </w:t>
            </w:r>
          </w:p>
        </w:tc>
        <w:tc>
          <w:tcPr>
            <w:tcW w:w="62" w:type="dxa"/>
            <w:tcBorders/>
            <w:shd w:fill="E5EEF8" w:val="clear"/>
            <w:vAlign w:val="center"/>
          </w:tcPr>
          <w:p>
            <w:pPr>
              <w:pStyle w:val="TableContents"/>
              <w:spacing w:before="0" w:after="283"/>
              <w:rPr>
                <w:sz w:val="4"/>
                <w:szCs w:val="4"/>
              </w:rPr>
            </w:pPr>
            <w:r>
              <w:rPr>
                <w:sz w:val="4"/>
                <w:szCs w:val="4"/>
              </w:rPr>
            </w:r>
          </w:p>
        </w:tc>
        <w:tc>
          <w:tcPr>
            <w:tcW w:w="772"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sz w:val="4"/>
                <w:szCs w:val="4"/>
              </w:rPr>
            </w:pPr>
            <w:r>
              <w:rPr>
                <w:sz w:val="4"/>
                <w:szCs w:val="4"/>
              </w:rPr>
            </w:r>
          </w:p>
        </w:tc>
        <w:tc>
          <w:tcPr>
            <w:tcW w:w="62" w:type="dxa"/>
            <w:tcBorders/>
            <w:shd w:fill="E5EEF8" w:val="clear"/>
            <w:vAlign w:val="center"/>
          </w:tcPr>
          <w:p>
            <w:pPr>
              <w:pStyle w:val="TableContents"/>
              <w:spacing w:before="0" w:after="283"/>
              <w:rPr/>
            </w:pPr>
            <w:r>
              <w:rPr/>
              <w:t> </w:t>
            </w:r>
          </w:p>
        </w:tc>
        <w:tc>
          <w:tcPr>
            <w:tcW w:w="62" w:type="dxa"/>
            <w:tcBorders/>
            <w:shd w:fill="E5EEF8" w:val="clear"/>
            <w:vAlign w:val="center"/>
          </w:tcPr>
          <w:p>
            <w:pPr>
              <w:pStyle w:val="TableContents"/>
              <w:spacing w:before="0" w:after="283"/>
              <w:rPr>
                <w:sz w:val="4"/>
                <w:szCs w:val="4"/>
              </w:rPr>
            </w:pPr>
            <w:r>
              <w:rPr>
                <w:sz w:val="4"/>
                <w:szCs w:val="4"/>
              </w:rPr>
            </w:r>
          </w:p>
        </w:tc>
        <w:tc>
          <w:tcPr>
            <w:tcW w:w="778"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21" w:type="dxa"/>
            <w:tcBorders/>
            <w:shd w:fill="E5EEF8" w:val="clear"/>
            <w:vAlign w:val="center"/>
          </w:tcPr>
          <w:p>
            <w:pPr>
              <w:pStyle w:val="TableContents"/>
              <w:spacing w:before="0" w:after="283"/>
              <w:rPr>
                <w:sz w:val="4"/>
                <w:szCs w:val="4"/>
              </w:rPr>
            </w:pPr>
            <w:r>
              <w:rPr>
                <w:sz w:val="4"/>
                <w:szCs w:val="4"/>
              </w:rPr>
            </w:r>
          </w:p>
        </w:tc>
        <w:tc>
          <w:tcPr>
            <w:tcW w:w="859" w:type="dxa"/>
            <w:tcBorders/>
            <w:shd w:fill="E5EEF8" w:val="clear"/>
            <w:vAlign w:val="center"/>
          </w:tcPr>
          <w:p>
            <w:pPr>
              <w:pStyle w:val="TableContents"/>
              <w:spacing w:before="0" w:after="283"/>
              <w:rPr>
                <w:sz w:val="4"/>
                <w:szCs w:val="4"/>
              </w:rPr>
            </w:pPr>
            <w:r>
              <w:rPr>
                <w:sz w:val="4"/>
                <w:szCs w:val="4"/>
              </w:rPr>
            </w:r>
          </w:p>
        </w:tc>
        <w:tc>
          <w:tcPr>
            <w:tcW w:w="64" w:type="dxa"/>
            <w:tcBorders/>
            <w:shd w:fill="E5EEF8" w:val="clear"/>
            <w:vAlign w:val="center"/>
          </w:tcPr>
          <w:p>
            <w:pPr>
              <w:pStyle w:val="TableContents"/>
              <w:spacing w:before="0" w:after="283"/>
              <w:rPr>
                <w:sz w:val="4"/>
                <w:szCs w:val="4"/>
              </w:rPr>
            </w:pPr>
            <w:r>
              <w:rPr>
                <w:sz w:val="4"/>
                <w:szCs w:val="4"/>
              </w:rPr>
            </w:r>
          </w:p>
        </w:tc>
        <w:tc>
          <w:tcPr>
            <w:tcW w:w="64" w:type="dxa"/>
            <w:tcBorders/>
            <w:shd w:fill="E5EEF8" w:val="clear"/>
            <w:vAlign w:val="center"/>
          </w:tcPr>
          <w:p>
            <w:pPr>
              <w:pStyle w:val="TableContents"/>
              <w:spacing w:before="0" w:after="283"/>
              <w:rPr/>
            </w:pPr>
            <w:r>
              <w:rPr/>
              <w:t> </w:t>
            </w:r>
          </w:p>
        </w:tc>
        <w:tc>
          <w:tcPr>
            <w:tcW w:w="64" w:type="dxa"/>
            <w:tcBorders/>
            <w:shd w:fill="E5EEF8" w:val="clear"/>
            <w:vAlign w:val="center"/>
          </w:tcPr>
          <w:p>
            <w:pPr>
              <w:pStyle w:val="TableContents"/>
              <w:spacing w:before="0" w:after="283"/>
              <w:rPr>
                <w:sz w:val="4"/>
                <w:szCs w:val="4"/>
              </w:rPr>
            </w:pPr>
            <w:r>
              <w:rPr>
                <w:sz w:val="4"/>
                <w:szCs w:val="4"/>
              </w:rPr>
            </w:r>
          </w:p>
        </w:tc>
        <w:tc>
          <w:tcPr>
            <w:tcW w:w="551"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6" w:type="dxa"/>
            <w:tcBorders/>
            <w:shd w:fill="E5EEF8" w:val="clear"/>
            <w:vAlign w:val="center"/>
          </w:tcPr>
          <w:p>
            <w:pPr>
              <w:pStyle w:val="TableContents"/>
              <w:spacing w:lineRule="atLeast" w:line="240" w:before="0" w:after="0"/>
              <w:rPr/>
            </w:pPr>
            <w:r>
              <w:rPr/>
              <w:t> </w:t>
            </w:r>
          </w:p>
        </w:tc>
        <w:tc>
          <w:tcPr>
            <w:tcW w:w="824"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8,152</w:t>
            </w:r>
          </w:p>
        </w:tc>
        <w:tc>
          <w:tcPr>
            <w:tcW w:w="189" w:type="dxa"/>
            <w:tcBorders/>
            <w:shd w:fill="E5EEF8" w:val="clear"/>
            <w:vAlign w:val="center"/>
          </w:tcPr>
          <w:p>
            <w:pPr>
              <w:pStyle w:val="TableContents"/>
              <w:spacing w:lineRule="atLeast" w:line="180" w:before="0" w:after="0"/>
              <w:rPr>
                <w:rFonts w:ascii="ARIAL" w:hAnsi="ARIAL"/>
                <w:sz w:val="16"/>
              </w:rPr>
            </w:pPr>
            <w:r>
              <w:rPr>
                <w:rFonts w:ascii="ARIAL" w:hAnsi="ARIAL"/>
                <w:sz w:val="16"/>
              </w:rPr>
              <w:t>(3) </w:t>
            </w:r>
          </w:p>
        </w:tc>
        <w:tc>
          <w:tcPr>
            <w:tcW w:w="60" w:type="dxa"/>
            <w:tcBorders/>
            <w:shd w:fill="E5EEF8" w:val="clear"/>
            <w:vAlign w:val="center"/>
          </w:tcPr>
          <w:p>
            <w:pPr>
              <w:pStyle w:val="TableContents"/>
              <w:spacing w:before="0" w:after="283"/>
              <w:rPr/>
            </w:pPr>
            <w:r>
              <w:rPr/>
              <w:t> </w:t>
            </w:r>
          </w:p>
        </w:tc>
        <w:tc>
          <w:tcPr>
            <w:tcW w:w="114" w:type="dxa"/>
            <w:tcBorders/>
            <w:shd w:fill="E5EEF8" w:val="clear"/>
            <w:vAlign w:val="center"/>
          </w:tcPr>
          <w:p>
            <w:pPr>
              <w:pStyle w:val="TableContents"/>
              <w:spacing w:lineRule="atLeast" w:line="240" w:before="0" w:after="0"/>
              <w:rPr/>
            </w:pPr>
            <w:r>
              <w:rPr/>
              <w:t> </w:t>
            </w:r>
          </w:p>
        </w:tc>
        <w:tc>
          <w:tcPr>
            <w:tcW w:w="98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464.52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83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920,000</w:t>
            </w:r>
          </w:p>
        </w:tc>
        <w:tc>
          <w:tcPr>
            <w:tcW w:w="77" w:type="dxa"/>
            <w:tcBorders/>
            <w:shd w:fill="E5EEF8" w:val="clear"/>
            <w:vAlign w:val="center"/>
          </w:tcPr>
          <w:p>
            <w:pPr>
              <w:pStyle w:val="TableContents"/>
              <w:spacing w:lineRule="atLeast" w:line="240" w:before="0" w:after="0"/>
              <w:rPr/>
            </w:pPr>
            <w:r>
              <w:rPr/>
              <w:t> </w:t>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464"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01/12/2022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7" w:type="dxa"/>
            <w:tcBorders/>
            <w:shd w:fill="E5EEF8" w:val="clear"/>
            <w:vAlign w:val="center"/>
          </w:tcPr>
          <w:p>
            <w:pPr>
              <w:pStyle w:val="TableContents"/>
              <w:spacing w:lineRule="atLeast" w:line="240" w:before="0" w:after="0"/>
              <w:rPr/>
            </w:pPr>
            <w:r>
              <w:rPr/>
              <w:t> </w:t>
            </w:r>
          </w:p>
        </w:tc>
        <w:tc>
          <w:tcPr>
            <w:tcW w:w="688"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240,625</w:t>
            </w:r>
          </w:p>
        </w:tc>
        <w:tc>
          <w:tcPr>
            <w:tcW w:w="62" w:type="dxa"/>
            <w:tcBorders/>
            <w:shd w:fill="E5EEF8" w:val="clear"/>
            <w:vAlign w:val="center"/>
          </w:tcPr>
          <w:p>
            <w:pPr>
              <w:pStyle w:val="TableContents"/>
              <w:spacing w:lineRule="atLeast" w:line="240" w:before="0" w:after="0"/>
              <w:rPr/>
            </w:pPr>
            <w:r>
              <w:rPr/>
              <w:t> </w:t>
            </w:r>
          </w:p>
        </w:tc>
        <w:tc>
          <w:tcPr>
            <w:tcW w:w="62" w:type="dxa"/>
            <w:tcBorders/>
            <w:shd w:fill="E5EEF8" w:val="clear"/>
            <w:vAlign w:val="center"/>
          </w:tcPr>
          <w:p>
            <w:pPr>
              <w:pStyle w:val="TableContents"/>
              <w:spacing w:before="0" w:after="283"/>
              <w:rPr/>
            </w:pPr>
            <w:r>
              <w:rPr/>
              <w:t> </w:t>
            </w:r>
          </w:p>
        </w:tc>
        <w:tc>
          <w:tcPr>
            <w:tcW w:w="62" w:type="dxa"/>
            <w:tcBorders/>
            <w:shd w:fill="E5EEF8" w:val="clear"/>
            <w:vAlign w:val="center"/>
          </w:tcPr>
          <w:p>
            <w:pPr>
              <w:pStyle w:val="TableContents"/>
              <w:spacing w:lineRule="atLeast" w:line="240" w:before="0" w:after="0"/>
              <w:rPr/>
            </w:pPr>
            <w:r>
              <w:rPr/>
              <w:t> </w:t>
            </w:r>
          </w:p>
        </w:tc>
        <w:tc>
          <w:tcPr>
            <w:tcW w:w="772"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962,500</w:t>
            </w:r>
          </w:p>
        </w:tc>
        <w:tc>
          <w:tcPr>
            <w:tcW w:w="62" w:type="dxa"/>
            <w:tcBorders/>
            <w:shd w:fill="E5EEF8" w:val="clear"/>
            <w:vAlign w:val="center"/>
          </w:tcPr>
          <w:p>
            <w:pPr>
              <w:pStyle w:val="TableContents"/>
              <w:spacing w:lineRule="atLeast" w:line="240" w:before="0" w:after="0"/>
              <w:rPr/>
            </w:pPr>
            <w:r>
              <w:rPr/>
              <w:t> </w:t>
            </w:r>
          </w:p>
        </w:tc>
        <w:tc>
          <w:tcPr>
            <w:tcW w:w="62" w:type="dxa"/>
            <w:tcBorders/>
            <w:shd w:fill="E5EEF8" w:val="clear"/>
            <w:vAlign w:val="center"/>
          </w:tcPr>
          <w:p>
            <w:pPr>
              <w:pStyle w:val="TableContents"/>
              <w:spacing w:before="0" w:after="283"/>
              <w:rPr/>
            </w:pPr>
            <w:r>
              <w:rPr/>
              <w:t> </w:t>
            </w:r>
          </w:p>
        </w:tc>
        <w:tc>
          <w:tcPr>
            <w:tcW w:w="62" w:type="dxa"/>
            <w:tcBorders/>
            <w:shd w:fill="E5EEF8" w:val="clear"/>
            <w:vAlign w:val="center"/>
          </w:tcPr>
          <w:p>
            <w:pPr>
              <w:pStyle w:val="TableContents"/>
              <w:spacing w:lineRule="atLeast" w:line="240" w:before="0" w:after="0"/>
              <w:rPr/>
            </w:pPr>
            <w:r>
              <w:rPr/>
              <w:t> </w:t>
            </w:r>
          </w:p>
        </w:tc>
        <w:tc>
          <w:tcPr>
            <w:tcW w:w="778"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962,500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21" w:type="dxa"/>
            <w:tcBorders/>
            <w:shd w:fill="E5EEF8" w:val="clear"/>
            <w:vAlign w:val="center"/>
          </w:tcPr>
          <w:p>
            <w:pPr>
              <w:pStyle w:val="TableContents"/>
              <w:spacing w:before="0" w:after="283"/>
              <w:rPr>
                <w:sz w:val="4"/>
                <w:szCs w:val="4"/>
              </w:rPr>
            </w:pPr>
            <w:r>
              <w:rPr>
                <w:sz w:val="4"/>
                <w:szCs w:val="4"/>
              </w:rPr>
            </w:r>
          </w:p>
        </w:tc>
        <w:tc>
          <w:tcPr>
            <w:tcW w:w="859" w:type="dxa"/>
            <w:tcBorders/>
            <w:shd w:fill="E5EEF8" w:val="clear"/>
            <w:vAlign w:val="center"/>
          </w:tcPr>
          <w:p>
            <w:pPr>
              <w:pStyle w:val="TableContents"/>
              <w:spacing w:before="0" w:after="283"/>
              <w:rPr>
                <w:sz w:val="4"/>
                <w:szCs w:val="4"/>
              </w:rPr>
            </w:pPr>
            <w:r>
              <w:rPr>
                <w:sz w:val="4"/>
                <w:szCs w:val="4"/>
              </w:rPr>
            </w:r>
          </w:p>
        </w:tc>
        <w:tc>
          <w:tcPr>
            <w:tcW w:w="64" w:type="dxa"/>
            <w:tcBorders/>
            <w:shd w:fill="E5EEF8" w:val="clear"/>
            <w:vAlign w:val="center"/>
          </w:tcPr>
          <w:p>
            <w:pPr>
              <w:pStyle w:val="TableContents"/>
              <w:spacing w:before="0" w:after="283"/>
              <w:rPr>
                <w:sz w:val="4"/>
                <w:szCs w:val="4"/>
              </w:rPr>
            </w:pPr>
            <w:r>
              <w:rPr>
                <w:sz w:val="4"/>
                <w:szCs w:val="4"/>
              </w:rPr>
            </w:r>
          </w:p>
        </w:tc>
        <w:tc>
          <w:tcPr>
            <w:tcW w:w="64" w:type="dxa"/>
            <w:tcBorders/>
            <w:shd w:fill="E5EEF8" w:val="clear"/>
            <w:vAlign w:val="center"/>
          </w:tcPr>
          <w:p>
            <w:pPr>
              <w:pStyle w:val="TableContents"/>
              <w:spacing w:before="0" w:after="283"/>
              <w:rPr/>
            </w:pPr>
            <w:r>
              <w:rPr/>
              <w:t> </w:t>
            </w:r>
          </w:p>
        </w:tc>
        <w:tc>
          <w:tcPr>
            <w:tcW w:w="64" w:type="dxa"/>
            <w:tcBorders/>
            <w:shd w:fill="E5EEF8" w:val="clear"/>
            <w:vAlign w:val="center"/>
          </w:tcPr>
          <w:p>
            <w:pPr>
              <w:pStyle w:val="TableContents"/>
              <w:spacing w:before="0" w:after="283"/>
              <w:rPr>
                <w:sz w:val="4"/>
                <w:szCs w:val="4"/>
              </w:rPr>
            </w:pPr>
            <w:r>
              <w:rPr>
                <w:sz w:val="4"/>
                <w:szCs w:val="4"/>
              </w:rPr>
            </w:r>
          </w:p>
        </w:tc>
        <w:tc>
          <w:tcPr>
            <w:tcW w:w="551"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6" w:type="dxa"/>
            <w:tcBorders/>
            <w:shd w:fill="E5EEF8" w:val="clear"/>
            <w:vAlign w:val="center"/>
          </w:tcPr>
          <w:p>
            <w:pPr>
              <w:pStyle w:val="TableContents"/>
              <w:spacing w:before="0" w:after="283"/>
              <w:rPr>
                <w:sz w:val="4"/>
                <w:szCs w:val="4"/>
              </w:rPr>
            </w:pPr>
            <w:r>
              <w:rPr>
                <w:sz w:val="4"/>
                <w:szCs w:val="4"/>
              </w:rPr>
            </w:r>
          </w:p>
        </w:tc>
        <w:tc>
          <w:tcPr>
            <w:tcW w:w="824" w:type="dxa"/>
            <w:tcBorders/>
            <w:shd w:fill="E5EEF8" w:val="clear"/>
            <w:vAlign w:val="center"/>
          </w:tcPr>
          <w:p>
            <w:pPr>
              <w:pStyle w:val="TableContents"/>
              <w:spacing w:before="0" w:after="283"/>
              <w:rPr>
                <w:sz w:val="4"/>
                <w:szCs w:val="4"/>
              </w:rPr>
            </w:pPr>
            <w:r>
              <w:rPr>
                <w:sz w:val="4"/>
                <w:szCs w:val="4"/>
              </w:rPr>
            </w:r>
          </w:p>
        </w:tc>
        <w:tc>
          <w:tcPr>
            <w:tcW w:w="189"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4" w:type="dxa"/>
            <w:tcBorders/>
            <w:shd w:fill="E5EEF8" w:val="clear"/>
            <w:vAlign w:val="center"/>
          </w:tcPr>
          <w:p>
            <w:pPr>
              <w:pStyle w:val="TableContents"/>
              <w:spacing w:before="0" w:after="283"/>
              <w:rPr>
                <w:sz w:val="4"/>
                <w:szCs w:val="4"/>
              </w:rPr>
            </w:pPr>
            <w:r>
              <w:rPr>
                <w:sz w:val="4"/>
                <w:szCs w:val="4"/>
              </w:rPr>
            </w:r>
          </w:p>
        </w:tc>
        <w:tc>
          <w:tcPr>
            <w:tcW w:w="986"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sz w:val="4"/>
                <w:szCs w:val="4"/>
              </w:rPr>
            </w:pPr>
            <w:r>
              <w:rPr>
                <w:sz w:val="4"/>
                <w:szCs w:val="4"/>
              </w:rPr>
            </w:r>
          </w:p>
        </w:tc>
        <w:tc>
          <w:tcPr>
            <w:tcW w:w="830" w:type="dxa"/>
            <w:tcBorders/>
            <w:shd w:fill="E5EEF8" w:val="clear"/>
            <w:vAlign w:val="center"/>
          </w:tcPr>
          <w:p>
            <w:pPr>
              <w:pStyle w:val="TableContents"/>
              <w:spacing w:before="0" w:after="283"/>
              <w:rPr>
                <w:sz w:val="4"/>
                <w:szCs w:val="4"/>
              </w:rPr>
            </w:pPr>
            <w:r>
              <w:rPr>
                <w:sz w:val="4"/>
                <w:szCs w:val="4"/>
              </w:rPr>
            </w:r>
          </w:p>
        </w:tc>
        <w:tc>
          <w:tcPr>
            <w:tcW w:w="77"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44" w:type="dxa"/>
            <w:gridSpan w:val="4"/>
            <w:tcBorders/>
            <w:shd w:fill="auto" w:val="clear"/>
            <w:vAlign w:val="center"/>
          </w:tcPr>
          <w:p>
            <w:pPr>
              <w:pStyle w:val="TableContents"/>
              <w:spacing w:before="0" w:after="283"/>
              <w:rPr>
                <w:sz w:val="4"/>
                <w:szCs w:val="4"/>
              </w:rPr>
            </w:pPr>
            <w:r>
              <w:rPr>
                <w:sz w:val="4"/>
                <w:szCs w:val="4"/>
              </w:rPr>
            </w:r>
          </w:p>
        </w:tc>
        <w:tc>
          <w:tcPr>
            <w:tcW w:w="877" w:type="dxa"/>
            <w:gridSpan w:val="4"/>
            <w:tcBorders/>
            <w:shd w:fill="auto" w:val="clear"/>
            <w:vAlign w:val="center"/>
          </w:tcPr>
          <w:p>
            <w:pPr>
              <w:pStyle w:val="TableContents"/>
              <w:spacing w:before="0" w:after="283"/>
              <w:rPr>
                <w:sz w:val="4"/>
                <w:szCs w:val="4"/>
              </w:rPr>
            </w:pPr>
            <w:r>
              <w:rPr>
                <w:sz w:val="4"/>
                <w:szCs w:val="4"/>
              </w:rPr>
            </w:r>
          </w:p>
        </w:tc>
        <w:tc>
          <w:tcPr>
            <w:tcW w:w="958" w:type="dxa"/>
            <w:gridSpan w:val="4"/>
            <w:tcBorders/>
            <w:shd w:fill="auto" w:val="clear"/>
            <w:vAlign w:val="center"/>
          </w:tcPr>
          <w:p>
            <w:pPr>
              <w:pStyle w:val="TableContents"/>
              <w:spacing w:before="0" w:after="283"/>
              <w:rPr>
                <w:sz w:val="4"/>
                <w:szCs w:val="4"/>
              </w:rPr>
            </w:pPr>
            <w:r>
              <w:rPr>
                <w:sz w:val="4"/>
                <w:szCs w:val="4"/>
              </w:rPr>
            </w:r>
          </w:p>
        </w:tc>
        <w:tc>
          <w:tcPr>
            <w:tcW w:w="962" w:type="dxa"/>
            <w:gridSpan w:val="4"/>
            <w:tcBorders/>
            <w:shd w:fill="auto" w:val="clear"/>
            <w:vAlign w:val="center"/>
          </w:tcPr>
          <w:p>
            <w:pPr>
              <w:pStyle w:val="TableContents"/>
              <w:spacing w:before="0" w:after="283"/>
              <w:rPr>
                <w:sz w:val="4"/>
                <w:szCs w:val="4"/>
              </w:rPr>
            </w:pPr>
            <w:r>
              <w:rPr>
                <w:sz w:val="4"/>
                <w:szCs w:val="4"/>
              </w:rPr>
            </w:r>
          </w:p>
        </w:tc>
        <w:tc>
          <w:tcPr>
            <w:tcW w:w="1104" w:type="dxa"/>
            <w:gridSpan w:val="4"/>
            <w:tcBorders/>
            <w:shd w:fill="auto" w:val="clear"/>
            <w:vAlign w:val="center"/>
          </w:tcPr>
          <w:p>
            <w:pPr>
              <w:pStyle w:val="TableContents"/>
              <w:spacing w:before="0" w:after="283"/>
              <w:rPr>
                <w:sz w:val="4"/>
                <w:szCs w:val="4"/>
              </w:rPr>
            </w:pPr>
            <w:r>
              <w:rPr>
                <w:sz w:val="4"/>
                <w:szCs w:val="4"/>
              </w:rPr>
            </w:r>
          </w:p>
        </w:tc>
        <w:tc>
          <w:tcPr>
            <w:tcW w:w="739" w:type="dxa"/>
            <w:gridSpan w:val="4"/>
            <w:tcBorders/>
            <w:shd w:fill="auto" w:val="clear"/>
            <w:vAlign w:val="center"/>
          </w:tcPr>
          <w:p>
            <w:pPr>
              <w:pStyle w:val="TableContents"/>
              <w:spacing w:before="0" w:after="283"/>
              <w:rPr>
                <w:sz w:val="4"/>
                <w:szCs w:val="4"/>
              </w:rPr>
            </w:pPr>
            <w:r>
              <w:rPr>
                <w:sz w:val="4"/>
                <w:szCs w:val="4"/>
              </w:rPr>
            </w:r>
          </w:p>
        </w:tc>
        <w:tc>
          <w:tcPr>
            <w:tcW w:w="1169"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027"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lineRule="atLeast" w:line="240" w:before="0" w:after="0"/>
              <w:rPr/>
            </w:pPr>
            <w:r>
              <w:rPr/>
              <w:t>  </w:t>
            </w:r>
            <w:r>
              <w:rPr>
                <w:rFonts w:ascii="ARIAL" w:hAnsi="ARIAL"/>
                <w:sz w:val="16"/>
              </w:rPr>
              <w:t>Jason Conley</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46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01/12/2022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lineRule="atLeast" w:line="240" w:before="0" w:after="0"/>
              <w:rPr/>
            </w:pPr>
            <w:r>
              <w:rPr/>
              <w:t> </w:t>
            </w:r>
          </w:p>
        </w:tc>
        <w:tc>
          <w:tcPr>
            <w:tcW w:w="85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981</w:t>
            </w:r>
          </w:p>
        </w:tc>
        <w:tc>
          <w:tcPr>
            <w:tcW w:w="64" w:type="dxa"/>
            <w:tcBorders/>
            <w:shd w:fill="auto" w:val="clear"/>
            <w:vAlign w:val="center"/>
          </w:tcPr>
          <w:p>
            <w:pPr>
              <w:pStyle w:val="TableContents"/>
              <w:spacing w:lineRule="atLeast" w:line="240" w:before="0" w:after="0"/>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lineRule="atLeast" w:line="240" w:before="0" w:after="0"/>
              <w:rPr/>
            </w:pPr>
            <w:r>
              <w:rPr/>
              <w:t> </w:t>
            </w:r>
          </w:p>
        </w:tc>
        <w:tc>
          <w:tcPr>
            <w:tcW w:w="551"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5,607</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2,649,924</w:t>
            </w:r>
          </w:p>
        </w:tc>
        <w:tc>
          <w:tcPr>
            <w:tcW w:w="77" w:type="dxa"/>
            <w:tcBorders/>
            <w:shd w:fill="auto" w:val="clear"/>
            <w:vAlign w:val="center"/>
          </w:tcPr>
          <w:p>
            <w:pPr>
              <w:pStyle w:val="TableContents"/>
              <w:spacing w:lineRule="atLeast" w:line="240" w:before="0" w:after="0"/>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46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01/12/2022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lineRule="atLeast" w:line="240" w:before="0" w:after="0"/>
              <w:rPr/>
            </w:pPr>
            <w:r>
              <w:rPr/>
              <w:t> </w:t>
            </w:r>
          </w:p>
        </w:tc>
        <w:tc>
          <w:tcPr>
            <w:tcW w:w="82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7,753</w:t>
            </w:r>
          </w:p>
        </w:tc>
        <w:tc>
          <w:tcPr>
            <w:tcW w:w="189" w:type="dxa"/>
            <w:tcBorders/>
            <w:shd w:fill="auto" w:val="clear"/>
            <w:vAlign w:val="center"/>
          </w:tcPr>
          <w:p>
            <w:pPr>
              <w:pStyle w:val="TableContents"/>
              <w:spacing w:lineRule="atLeast" w:line="180" w:before="0" w:after="0"/>
              <w:rPr>
                <w:rFonts w:ascii="ARIAL" w:hAnsi="ARIAL"/>
                <w:sz w:val="16"/>
              </w:rPr>
            </w:pPr>
            <w:r>
              <w:rPr>
                <w:rFonts w:ascii="ARIAL" w:hAnsi="ARIAL"/>
                <w:sz w:val="16"/>
              </w:rPr>
              <w:t>(3) </w:t>
            </w:r>
          </w:p>
        </w:tc>
        <w:tc>
          <w:tcPr>
            <w:tcW w:w="6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lineRule="atLeast" w:line="240" w:before="0" w:after="0"/>
              <w:rPr/>
            </w:pPr>
            <w:r>
              <w:rPr/>
              <w:t> </w:t>
            </w:r>
          </w:p>
        </w:tc>
        <w:tc>
          <w:tcPr>
            <w:tcW w:w="98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464.52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874,971</w:t>
            </w:r>
          </w:p>
        </w:tc>
        <w:tc>
          <w:tcPr>
            <w:tcW w:w="77" w:type="dxa"/>
            <w:tcBorders/>
            <w:shd w:fill="auto" w:val="clear"/>
            <w:vAlign w:val="center"/>
          </w:tcPr>
          <w:p>
            <w:pPr>
              <w:pStyle w:val="TableContents"/>
              <w:spacing w:lineRule="atLeast" w:line="240" w:before="0" w:after="0"/>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46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01/12/2022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lineRule="atLeast" w:line="240" w:before="0" w:after="0"/>
              <w:rPr/>
            </w:pPr>
            <w:r>
              <w:rPr/>
              <w:t> </w:t>
            </w:r>
          </w:p>
        </w:tc>
        <w:tc>
          <w:tcPr>
            <w:tcW w:w="688"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189,062</w:t>
            </w:r>
          </w:p>
        </w:tc>
        <w:tc>
          <w:tcPr>
            <w:tcW w:w="62" w:type="dxa"/>
            <w:tcBorders/>
            <w:shd w:fill="auto" w:val="clear"/>
            <w:vAlign w:val="center"/>
          </w:tcPr>
          <w:p>
            <w:pPr>
              <w:pStyle w:val="TableContents"/>
              <w:spacing w:lineRule="atLeast" w:line="240" w:before="0" w:after="0"/>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lineRule="atLeast" w:line="240" w:before="0" w:after="0"/>
              <w:rPr/>
            </w:pPr>
            <w:r>
              <w:rPr/>
              <w:t> </w:t>
            </w:r>
          </w:p>
        </w:tc>
        <w:tc>
          <w:tcPr>
            <w:tcW w:w="77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756, 250</w:t>
            </w:r>
          </w:p>
        </w:tc>
        <w:tc>
          <w:tcPr>
            <w:tcW w:w="62" w:type="dxa"/>
            <w:tcBorders/>
            <w:shd w:fill="auto" w:val="clear"/>
            <w:vAlign w:val="center"/>
          </w:tcPr>
          <w:p>
            <w:pPr>
              <w:pStyle w:val="TableContents"/>
              <w:spacing w:lineRule="atLeast" w:line="240" w:before="0" w:after="0"/>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lineRule="atLeast" w:line="240" w:before="0" w:after="0"/>
              <w:rPr/>
            </w:pPr>
            <w:r>
              <w:rPr/>
              <w:t> </w:t>
            </w:r>
          </w:p>
        </w:tc>
        <w:tc>
          <w:tcPr>
            <w:tcW w:w="778"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756,250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283"/>
              <w:jc w:val="left"/>
              <w:rPr/>
            </w:pPr>
            <w:r>
              <w:rPr/>
              <w:t>(1) </w:t>
            </w:r>
          </w:p>
        </w:tc>
        <w:tc>
          <w:tcPr>
            <w:tcW w:w="9904" w:type="dxa"/>
            <w:tcBorders/>
            <w:shd w:fill="auto" w:val="clear"/>
            <w:vAlign w:val="center"/>
          </w:tcPr>
          <w:p>
            <w:pPr>
              <w:pStyle w:val="TableContents"/>
              <w:spacing w:before="0" w:after="0"/>
              <w:jc w:val="left"/>
              <w:rPr>
                <w:rFonts w:ascii="ARIAL" w:hAnsi="ARIAL"/>
                <w:sz w:val="16"/>
              </w:rPr>
            </w:pPr>
            <w:r>
              <w:rPr>
                <w:rFonts w:ascii="ARIAL" w:hAnsi="ARIAL"/>
                <w:sz w:val="16"/>
              </w:rPr>
              <w:t xml:space="preserve">For an explanation of the material terms, refer to the CD&amp;A section above captioned “Analysis of 2022 Compensation—Annual Cash Incentive.” Amounts paid under this program for 2022 are set forth in the 2022 Summary Compensation Table.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t>(2) </w:t>
            </w:r>
          </w:p>
        </w:tc>
        <w:tc>
          <w:tcPr>
            <w:tcW w:w="9949"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performance restricted shares awarded to the named executive officers generally vest in November 2024. All awards are subject to the performance criteria described in the CD&amp;A under “Analysis of 2022 Compensation—Long-Term Stock Incentives.” The threshold payout represents the number of shares that would vest upon the satisfaction of the threshold level of performance for one of the two performance criteria. No maximum payout is provided as there is no incremental payout in the event the target level of performance is exceeded. Dividends on restricted shares will be paid only if the shares are earned by performance.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jc w:val="left"/>
              <w:rPr/>
            </w:pPr>
            <w:r>
              <w:rPr/>
              <w:t>(3) </w:t>
            </w:r>
          </w:p>
        </w:tc>
        <w:tc>
          <w:tcPr>
            <w:tcW w:w="9910"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stock options awarded to the named executive officers generally vest in January 2025. All stock options expire on the tenth anniversary of the grant. The exercise price of the stock options is 100% of the fair market value of our common stock on the date of grant. </w:t>
            </w:r>
          </w:p>
        </w:tc>
      </w:tr>
    </w:tbl>
    <w:p>
      <w:pPr>
        <w:pStyle w:val="TextBody"/>
        <w:spacing w:before="0" w:after="0"/>
        <w:jc w:val="left"/>
        <w:rPr/>
      </w:pPr>
      <w:r>
        <w:rPr/>
        <w:t> </w:t>
      </w:r>
    </w:p>
    <w:tbl>
      <w:tblPr>
        <w:tblW w:w="8575" w:type="dxa"/>
        <w:jc w:val="left"/>
        <w:tblInd w:w="0" w:type="dxa"/>
        <w:tblCellMar>
          <w:top w:w="0" w:type="dxa"/>
          <w:left w:w="0" w:type="dxa"/>
          <w:bottom w:w="0" w:type="dxa"/>
          <w:right w:w="0" w:type="dxa"/>
        </w:tblCellMar>
      </w:tblPr>
      <w:tblGrid>
        <w:gridCol w:w="365"/>
        <w:gridCol w:w="8210"/>
      </w:tblGrid>
      <w:tr>
        <w:trPr/>
        <w:tc>
          <w:tcPr>
            <w:tcW w:w="365" w:type="dxa"/>
            <w:tcBorders/>
            <w:shd w:fill="auto" w:val="clear"/>
            <w:vAlign w:val="center"/>
          </w:tcPr>
          <w:p>
            <w:pPr>
              <w:pStyle w:val="TableContents"/>
              <w:spacing w:before="0" w:after="283"/>
              <w:jc w:val="left"/>
              <w:rPr/>
            </w:pPr>
            <w:r>
              <w:rPr/>
              <w:t>(4) </w:t>
            </w:r>
          </w:p>
        </w:tc>
        <w:tc>
          <w:tcPr>
            <w:tcW w:w="8210"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dollar values reflect the grant date fair value of the awards as calculated in accordance with ASC Topic 718. </w:t>
            </w:r>
          </w:p>
        </w:tc>
      </w:tr>
    </w:tbl>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40"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5" descr=""/>
                          <pic:cNvPicPr>
                            <a:picLocks noChangeAspect="1" noChangeArrowheads="1"/>
                          </pic:cNvPicPr>
                        </pic:nvPicPr>
                        <pic:blipFill>
                          <a:blip r:embed="rId96"/>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43</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20"/>
        </w:rPr>
      </w:pPr>
      <w:r>
        <w:rPr>
          <w:rFonts w:ascii="ARIAL" w:hAnsi="ARIAL"/>
          <w:color w:val="005CB9"/>
          <w:sz w:val="20"/>
        </w:rPr>
        <w:t xml:space="preserve">EXECUTIVE COMPENSATION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i/>
          <w:sz w:val="20"/>
        </w:rPr>
      </w:pPr>
      <w:bookmarkStart w:id="26" w:name="toc356364_23"/>
      <w:bookmarkEnd w:id="26"/>
      <w:r>
        <w:rPr>
          <w:rFonts w:ascii="ARIAL" w:hAnsi="ARIAL"/>
          <w:b/>
          <w:i/>
          <w:sz w:val="20"/>
        </w:rPr>
        <w:t xml:space="preserve">2022 Outstanding Equity Awards at Fiscal Year End </w:t>
      </w:r>
    </w:p>
    <w:p>
      <w:pPr>
        <w:pStyle w:val="TextBody"/>
        <w:spacing w:before="120" w:after="0"/>
        <w:jc w:val="left"/>
        <w:rPr>
          <w:rFonts w:ascii="ARIAL" w:hAnsi="ARIAL"/>
          <w:sz w:val="19"/>
        </w:rPr>
      </w:pPr>
      <w:r>
        <w:rPr>
          <w:rFonts w:ascii="ARIAL" w:hAnsi="ARIAL"/>
          <w:sz w:val="19"/>
        </w:rPr>
        <w:t xml:space="preserve">The following table sets forth certain information with respect to outstanding equity awards at December 31, 2022 for the named executive officers. </w:t>
      </w:r>
    </w:p>
    <w:p>
      <w:pPr>
        <w:pStyle w:val="TextBody"/>
        <w:spacing w:before="0" w:after="0"/>
        <w:jc w:val="left"/>
        <w:rPr/>
      </w:pPr>
      <w:r>
        <w:rPr/>
        <w:t> </w:t>
      </w:r>
    </w:p>
    <w:tbl>
      <w:tblPr>
        <w:tblW w:w="10345" w:type="dxa"/>
        <w:jc w:val="left"/>
        <w:tblInd w:w="0" w:type="dxa"/>
        <w:tblCellMar>
          <w:top w:w="0" w:type="dxa"/>
          <w:left w:w="0" w:type="dxa"/>
          <w:bottom w:w="0" w:type="dxa"/>
          <w:right w:w="0" w:type="dxa"/>
        </w:tblCellMar>
      </w:tblPr>
      <w:tblGrid>
        <w:gridCol w:w="1505"/>
        <w:gridCol w:w="60"/>
        <w:gridCol w:w="110"/>
        <w:gridCol w:w="945"/>
        <w:gridCol w:w="60"/>
        <w:gridCol w:w="60"/>
        <w:gridCol w:w="111"/>
        <w:gridCol w:w="959"/>
        <w:gridCol w:w="170"/>
        <w:gridCol w:w="60"/>
        <w:gridCol w:w="69"/>
        <w:gridCol w:w="596"/>
        <w:gridCol w:w="60"/>
        <w:gridCol w:w="60"/>
        <w:gridCol w:w="60"/>
        <w:gridCol w:w="680"/>
        <w:gridCol w:w="60"/>
        <w:gridCol w:w="60"/>
        <w:gridCol w:w="392"/>
        <w:gridCol w:w="393"/>
        <w:gridCol w:w="60"/>
        <w:gridCol w:w="60"/>
        <w:gridCol w:w="415"/>
        <w:gridCol w:w="415"/>
        <w:gridCol w:w="60"/>
        <w:gridCol w:w="60"/>
        <w:gridCol w:w="108"/>
        <w:gridCol w:w="932"/>
        <w:gridCol w:w="260"/>
        <w:gridCol w:w="60"/>
        <w:gridCol w:w="92"/>
        <w:gridCol w:w="1278"/>
        <w:gridCol w:w="75"/>
      </w:tblGrid>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4000" w:type="dxa"/>
            <w:gridSpan w:val="14"/>
            <w:tcBorders>
              <w:bottom w:val="single" w:sz="2" w:space="0" w:color="FFFFFF"/>
            </w:tcBorders>
            <w:shd w:fill="005CB9" w:val="clear"/>
            <w:tcMar>
              <w:bottom w:w="28" w:type="dxa"/>
            </w:tcMar>
            <w:vAlign w:val="center"/>
          </w:tcPr>
          <w:p>
            <w:pPr>
              <w:pStyle w:val="TableContents"/>
              <w:spacing w:before="0" w:after="283"/>
              <w:jc w:val="center"/>
              <w:rPr>
                <w:color w:val="FFFFFF"/>
              </w:rPr>
            </w:pPr>
            <w:r>
              <w:rPr>
                <w:color w:val="FFFFFF"/>
              </w:rPr>
              <w:t>Option Awards</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4585" w:type="dxa"/>
            <w:gridSpan w:val="14"/>
            <w:tcBorders>
              <w:bottom w:val="single" w:sz="2" w:space="0" w:color="FFFFFF"/>
            </w:tcBorders>
            <w:shd w:fill="005CB9" w:val="clear"/>
            <w:tcMar>
              <w:bottom w:w="28" w:type="dxa"/>
            </w:tcMar>
            <w:vAlign w:val="center"/>
          </w:tcPr>
          <w:p>
            <w:pPr>
              <w:pStyle w:val="TableContents"/>
              <w:spacing w:before="0" w:after="283"/>
              <w:jc w:val="center"/>
              <w:rPr>
                <w:color w:val="FFFFFF"/>
              </w:rPr>
            </w:pPr>
            <w:r>
              <w:rPr>
                <w:color w:val="FFFFFF"/>
              </w:rPr>
              <w:t>Stock Awards</w:t>
            </w:r>
          </w:p>
        </w:tc>
        <w:tc>
          <w:tcPr>
            <w:tcW w:w="7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r>
      <w:tr>
        <w:trPr/>
        <w:tc>
          <w:tcPr>
            <w:tcW w:w="1505" w:type="dxa"/>
            <w:tcBorders/>
            <w:shd w:fill="005CB9" w:val="clear"/>
            <w:vAlign w:val="center"/>
          </w:tcPr>
          <w:p>
            <w:pPr>
              <w:pStyle w:val="TableContents"/>
              <w:spacing w:before="0" w:after="283"/>
              <w:rPr>
                <w:color w:val="FFFFFF"/>
              </w:rPr>
            </w:pPr>
            <w:r>
              <w:rPr>
                <w:color w:val="FFFFFF"/>
              </w:rPr>
              <w:t>  </w:t>
            </w:r>
            <w:r>
              <w:rPr>
                <w:color w:val="FFFFFF"/>
              </w:rPr>
              <w:t>Name</w:t>
            </w:r>
          </w:p>
        </w:tc>
        <w:tc>
          <w:tcPr>
            <w:tcW w:w="60" w:type="dxa"/>
            <w:tcBorders/>
            <w:shd w:fill="005CB9" w:val="clear"/>
            <w:vAlign w:val="center"/>
          </w:tcPr>
          <w:p>
            <w:pPr>
              <w:pStyle w:val="TableContents"/>
              <w:spacing w:before="0" w:after="283"/>
              <w:rPr/>
            </w:pPr>
            <w:r>
              <w:rPr/>
              <w:t> </w:t>
            </w:r>
          </w:p>
        </w:tc>
        <w:tc>
          <w:tcPr>
            <w:tcW w:w="1055"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 of Securities</w:t>
            </w:r>
          </w:p>
          <w:p>
            <w:pPr>
              <w:pStyle w:val="TableContents"/>
              <w:spacing w:before="0" w:after="0"/>
              <w:jc w:val="right"/>
              <w:rPr>
                <w:rFonts w:ascii="arial" w:hAnsi="arial"/>
                <w:color w:val="FFFFFF"/>
                <w:sz w:val="16"/>
              </w:rPr>
            </w:pPr>
            <w:r>
              <w:rPr>
                <w:rFonts w:ascii="arial" w:hAnsi="arial"/>
                <w:color w:val="FFFFFF"/>
                <w:sz w:val="16"/>
              </w:rPr>
              <w:t>Underlying</w:t>
            </w:r>
          </w:p>
          <w:p>
            <w:pPr>
              <w:pStyle w:val="TableContents"/>
              <w:spacing w:before="0" w:after="0"/>
              <w:jc w:val="right"/>
              <w:rPr>
                <w:rFonts w:ascii="arial" w:hAnsi="arial"/>
                <w:color w:val="FFFFFF"/>
                <w:sz w:val="16"/>
              </w:rPr>
            </w:pPr>
            <w:r>
              <w:rPr>
                <w:rFonts w:ascii="arial" w:hAnsi="arial"/>
                <w:color w:val="FFFFFF"/>
                <w:sz w:val="16"/>
              </w:rPr>
              <w:t>Unexercised</w:t>
            </w:r>
          </w:p>
          <w:p>
            <w:pPr>
              <w:pStyle w:val="TableContents"/>
              <w:spacing w:before="0" w:after="0"/>
              <w:jc w:val="right"/>
              <w:rPr>
                <w:rFonts w:ascii="arial" w:hAnsi="arial"/>
                <w:color w:val="FFFFFF"/>
                <w:sz w:val="16"/>
              </w:rPr>
            </w:pPr>
            <w:r>
              <w:rPr>
                <w:rFonts w:ascii="arial" w:hAnsi="arial"/>
                <w:color w:val="FFFFFF"/>
                <w:sz w:val="16"/>
              </w:rPr>
              <w:t>Options</w:t>
            </w:r>
          </w:p>
          <w:p>
            <w:pPr>
              <w:pStyle w:val="TableContents"/>
              <w:spacing w:before="0" w:after="20"/>
              <w:jc w:val="right"/>
              <w:rPr>
                <w:rFonts w:ascii="arial" w:hAnsi="arial"/>
                <w:color w:val="FFFFFF"/>
                <w:sz w:val="16"/>
              </w:rPr>
            </w:pPr>
            <w:r>
              <w:rPr>
                <w:rFonts w:ascii="arial" w:hAnsi="arial"/>
                <w:color w:val="FFFFFF"/>
                <w:sz w:val="16"/>
              </w:rPr>
              <w:t>Exercisable</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107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 of</w:t>
            </w:r>
          </w:p>
          <w:p>
            <w:pPr>
              <w:pStyle w:val="TableContents"/>
              <w:spacing w:before="0" w:after="0"/>
              <w:jc w:val="right"/>
              <w:rPr>
                <w:rFonts w:ascii="arial" w:hAnsi="arial"/>
                <w:color w:val="FFFFFF"/>
                <w:sz w:val="16"/>
              </w:rPr>
            </w:pPr>
            <w:r>
              <w:rPr>
                <w:rFonts w:ascii="arial" w:hAnsi="arial"/>
                <w:color w:val="FFFFFF"/>
                <w:sz w:val="16"/>
              </w:rPr>
              <w:t>Securities</w:t>
            </w:r>
          </w:p>
          <w:p>
            <w:pPr>
              <w:pStyle w:val="TableContents"/>
              <w:spacing w:before="0" w:after="0"/>
              <w:jc w:val="right"/>
              <w:rPr>
                <w:rFonts w:ascii="arial" w:hAnsi="arial"/>
                <w:color w:val="FFFFFF"/>
                <w:sz w:val="16"/>
              </w:rPr>
            </w:pPr>
            <w:r>
              <w:rPr>
                <w:rFonts w:ascii="arial" w:hAnsi="arial"/>
                <w:color w:val="FFFFFF"/>
                <w:sz w:val="16"/>
              </w:rPr>
              <w:t>Underlying</w:t>
            </w:r>
          </w:p>
          <w:p>
            <w:pPr>
              <w:pStyle w:val="TableContents"/>
              <w:spacing w:before="0" w:after="0"/>
              <w:jc w:val="right"/>
              <w:rPr>
                <w:rFonts w:ascii="arial" w:hAnsi="arial"/>
                <w:color w:val="FFFFFF"/>
                <w:sz w:val="16"/>
              </w:rPr>
            </w:pPr>
            <w:r>
              <w:rPr>
                <w:rFonts w:ascii="arial" w:hAnsi="arial"/>
                <w:color w:val="FFFFFF"/>
                <w:sz w:val="16"/>
              </w:rPr>
              <w:t>Unexercised</w:t>
            </w:r>
          </w:p>
          <w:p>
            <w:pPr>
              <w:pStyle w:val="TableContents"/>
              <w:spacing w:before="0" w:after="0"/>
              <w:jc w:val="right"/>
              <w:rPr>
                <w:rFonts w:ascii="arial" w:hAnsi="arial"/>
                <w:color w:val="FFFFFF"/>
                <w:sz w:val="16"/>
              </w:rPr>
            </w:pPr>
            <w:r>
              <w:rPr>
                <w:rFonts w:ascii="arial" w:hAnsi="arial"/>
                <w:color w:val="FFFFFF"/>
                <w:sz w:val="16"/>
              </w:rPr>
              <w:t>Options</w:t>
            </w:r>
          </w:p>
          <w:p>
            <w:pPr>
              <w:pStyle w:val="TableContents"/>
              <w:spacing w:before="0" w:after="20"/>
              <w:jc w:val="right"/>
              <w:rPr>
                <w:rFonts w:ascii="arial" w:hAnsi="arial"/>
                <w:color w:val="FFFFFF"/>
                <w:sz w:val="16"/>
              </w:rPr>
            </w:pPr>
            <w:r>
              <w:rPr>
                <w:rFonts w:ascii="arial" w:hAnsi="arial"/>
                <w:color w:val="FFFFFF"/>
                <w:sz w:val="16"/>
              </w:rPr>
              <w:t>Unexercisable</w:t>
            </w:r>
          </w:p>
        </w:tc>
        <w:tc>
          <w:tcPr>
            <w:tcW w:w="17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665"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Option</w:t>
            </w:r>
          </w:p>
          <w:p>
            <w:pPr>
              <w:pStyle w:val="TableContents"/>
              <w:spacing w:before="0" w:after="0"/>
              <w:jc w:val="right"/>
              <w:rPr>
                <w:rFonts w:ascii="arial" w:hAnsi="arial"/>
                <w:color w:val="FFFFFF"/>
                <w:sz w:val="16"/>
              </w:rPr>
            </w:pPr>
            <w:r>
              <w:rPr>
                <w:rFonts w:ascii="arial" w:hAnsi="arial"/>
                <w:color w:val="FFFFFF"/>
                <w:sz w:val="16"/>
              </w:rPr>
              <w:t>Exercise</w:t>
            </w:r>
          </w:p>
          <w:p>
            <w:pPr>
              <w:pStyle w:val="TableContents"/>
              <w:spacing w:before="0" w:after="20"/>
              <w:jc w:val="right"/>
              <w:rPr>
                <w:rFonts w:ascii="arial" w:hAnsi="arial"/>
                <w:color w:val="FFFFFF"/>
                <w:sz w:val="16"/>
              </w:rPr>
            </w:pPr>
            <w:r>
              <w:rPr>
                <w:rFonts w:ascii="arial" w:hAnsi="arial"/>
                <w:color w:val="FFFFFF"/>
                <w:sz w:val="16"/>
              </w:rPr>
              <w:t>Price ($)</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74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Option</w:t>
            </w:r>
          </w:p>
          <w:p>
            <w:pPr>
              <w:pStyle w:val="TableContents"/>
              <w:spacing w:before="0" w:after="0"/>
              <w:jc w:val="right"/>
              <w:rPr>
                <w:rFonts w:ascii="arial" w:hAnsi="arial"/>
                <w:color w:val="FFFFFF"/>
                <w:sz w:val="16"/>
              </w:rPr>
            </w:pPr>
            <w:r>
              <w:rPr>
                <w:rFonts w:ascii="arial" w:hAnsi="arial"/>
                <w:color w:val="FFFFFF"/>
                <w:sz w:val="16"/>
              </w:rPr>
              <w:t>Expiration</w:t>
            </w:r>
          </w:p>
          <w:p>
            <w:pPr>
              <w:pStyle w:val="TableContents"/>
              <w:spacing w:before="0" w:after="20"/>
              <w:jc w:val="right"/>
              <w:rPr>
                <w:rFonts w:ascii="arial" w:hAnsi="arial"/>
                <w:color w:val="FFFFFF"/>
                <w:sz w:val="16"/>
              </w:rPr>
            </w:pPr>
            <w:r>
              <w:rPr>
                <w:rFonts w:ascii="arial" w:hAnsi="arial"/>
                <w:color w:val="FFFFFF"/>
                <w:sz w:val="16"/>
              </w:rPr>
              <w:t>Date</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785"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 of</w:t>
            </w:r>
          </w:p>
          <w:p>
            <w:pPr>
              <w:pStyle w:val="TableContents"/>
              <w:spacing w:before="0" w:after="0"/>
              <w:jc w:val="right"/>
              <w:rPr>
                <w:rFonts w:ascii="arial" w:hAnsi="arial"/>
                <w:color w:val="FFFFFF"/>
                <w:sz w:val="16"/>
              </w:rPr>
            </w:pPr>
            <w:r>
              <w:rPr>
                <w:rFonts w:ascii="arial" w:hAnsi="arial"/>
                <w:color w:val="FFFFFF"/>
                <w:sz w:val="16"/>
              </w:rPr>
              <w:t>Shares</w:t>
            </w:r>
          </w:p>
          <w:p>
            <w:pPr>
              <w:pStyle w:val="TableContents"/>
              <w:spacing w:before="0" w:after="0"/>
              <w:jc w:val="right"/>
              <w:rPr>
                <w:rFonts w:ascii="arial" w:hAnsi="arial"/>
                <w:color w:val="FFFFFF"/>
                <w:sz w:val="16"/>
              </w:rPr>
            </w:pPr>
            <w:r>
              <w:rPr>
                <w:rFonts w:ascii="arial" w:hAnsi="arial"/>
                <w:color w:val="FFFFFF"/>
                <w:sz w:val="16"/>
              </w:rPr>
              <w:t>or Units of</w:t>
            </w:r>
          </w:p>
          <w:p>
            <w:pPr>
              <w:pStyle w:val="TableContents"/>
              <w:spacing w:before="0" w:after="0"/>
              <w:jc w:val="right"/>
              <w:rPr>
                <w:rFonts w:ascii="arial" w:hAnsi="arial"/>
                <w:color w:val="FFFFFF"/>
                <w:sz w:val="16"/>
              </w:rPr>
            </w:pPr>
            <w:r>
              <w:rPr>
                <w:rFonts w:ascii="arial" w:hAnsi="arial"/>
                <w:color w:val="FFFFFF"/>
                <w:sz w:val="16"/>
              </w:rPr>
              <w:t>Stock</w:t>
            </w:r>
          </w:p>
          <w:p>
            <w:pPr>
              <w:pStyle w:val="TableContents"/>
              <w:spacing w:before="0" w:after="0"/>
              <w:jc w:val="right"/>
              <w:rPr>
                <w:rFonts w:ascii="arial" w:hAnsi="arial"/>
                <w:color w:val="FFFFFF"/>
                <w:sz w:val="16"/>
              </w:rPr>
            </w:pPr>
            <w:r>
              <w:rPr>
                <w:rFonts w:ascii="arial" w:hAnsi="arial"/>
                <w:color w:val="FFFFFF"/>
                <w:sz w:val="16"/>
              </w:rPr>
              <w:t>That Have</w:t>
            </w:r>
          </w:p>
          <w:p>
            <w:pPr>
              <w:pStyle w:val="TableContents"/>
              <w:spacing w:before="0" w:after="20"/>
              <w:jc w:val="right"/>
              <w:rPr>
                <w:rFonts w:ascii="arial" w:hAnsi="arial"/>
                <w:color w:val="FFFFFF"/>
                <w:sz w:val="16"/>
              </w:rPr>
            </w:pPr>
            <w:r>
              <w:rPr>
                <w:rFonts w:ascii="arial" w:hAnsi="arial"/>
                <w:color w:val="FFFFFF"/>
                <w:sz w:val="16"/>
              </w:rPr>
              <w:t>Not</w:t>
              <w:br/>
              <w:t>Vested</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83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Market</w:t>
            </w:r>
          </w:p>
          <w:p>
            <w:pPr>
              <w:pStyle w:val="TableContents"/>
              <w:spacing w:before="0" w:after="0"/>
              <w:jc w:val="right"/>
              <w:rPr>
                <w:rFonts w:ascii="arial" w:hAnsi="arial"/>
                <w:color w:val="FFFFFF"/>
                <w:sz w:val="16"/>
              </w:rPr>
            </w:pPr>
            <w:r>
              <w:rPr>
                <w:rFonts w:ascii="arial" w:hAnsi="arial"/>
                <w:color w:val="FFFFFF"/>
                <w:sz w:val="16"/>
              </w:rPr>
              <w:t>Value of</w:t>
            </w:r>
          </w:p>
          <w:p>
            <w:pPr>
              <w:pStyle w:val="TableContents"/>
              <w:spacing w:before="0" w:after="0"/>
              <w:jc w:val="right"/>
              <w:rPr>
                <w:rFonts w:ascii="arial" w:hAnsi="arial"/>
                <w:color w:val="FFFFFF"/>
                <w:sz w:val="16"/>
              </w:rPr>
            </w:pPr>
            <w:r>
              <w:rPr>
                <w:rFonts w:ascii="arial" w:hAnsi="arial"/>
                <w:color w:val="FFFFFF"/>
                <w:sz w:val="16"/>
              </w:rPr>
              <w:t>Shares or</w:t>
            </w:r>
          </w:p>
          <w:p>
            <w:pPr>
              <w:pStyle w:val="TableContents"/>
              <w:spacing w:before="0" w:after="0"/>
              <w:jc w:val="right"/>
              <w:rPr>
                <w:rFonts w:ascii="arial" w:hAnsi="arial"/>
                <w:color w:val="FFFFFF"/>
                <w:sz w:val="16"/>
              </w:rPr>
            </w:pPr>
            <w:r>
              <w:rPr>
                <w:rFonts w:ascii="arial" w:hAnsi="arial"/>
                <w:color w:val="FFFFFF"/>
                <w:sz w:val="16"/>
              </w:rPr>
              <w:t>Units of</w:t>
            </w:r>
          </w:p>
          <w:p>
            <w:pPr>
              <w:pStyle w:val="TableContents"/>
              <w:spacing w:before="0" w:after="0"/>
              <w:jc w:val="right"/>
              <w:rPr>
                <w:rFonts w:ascii="arial" w:hAnsi="arial"/>
                <w:color w:val="FFFFFF"/>
                <w:sz w:val="16"/>
              </w:rPr>
            </w:pPr>
            <w:r>
              <w:rPr>
                <w:rFonts w:ascii="arial" w:hAnsi="arial"/>
                <w:color w:val="FFFFFF"/>
                <w:sz w:val="16"/>
              </w:rPr>
              <w:t>Stock</w:t>
            </w:r>
          </w:p>
          <w:p>
            <w:pPr>
              <w:pStyle w:val="TableContents"/>
              <w:spacing w:before="0" w:after="0"/>
              <w:jc w:val="right"/>
              <w:rPr>
                <w:rFonts w:ascii="arial" w:hAnsi="arial"/>
                <w:color w:val="FFFFFF"/>
                <w:sz w:val="16"/>
              </w:rPr>
            </w:pPr>
            <w:r>
              <w:rPr>
                <w:rFonts w:ascii="arial" w:hAnsi="arial"/>
                <w:color w:val="FFFFFF"/>
                <w:sz w:val="16"/>
              </w:rPr>
              <w:t>That Have</w:t>
            </w:r>
          </w:p>
          <w:p>
            <w:pPr>
              <w:pStyle w:val="TableContents"/>
              <w:spacing w:before="0" w:after="0"/>
              <w:jc w:val="right"/>
              <w:rPr>
                <w:rFonts w:ascii="arial" w:hAnsi="arial"/>
                <w:color w:val="FFFFFF"/>
                <w:sz w:val="16"/>
              </w:rPr>
            </w:pPr>
            <w:r>
              <w:rPr>
                <w:rFonts w:ascii="arial" w:hAnsi="arial"/>
                <w:color w:val="FFFFFF"/>
                <w:sz w:val="16"/>
              </w:rPr>
              <w:t>Not Vested</w:t>
            </w:r>
          </w:p>
          <w:p>
            <w:pPr>
              <w:pStyle w:val="TableContents"/>
              <w:spacing w:before="0" w:after="20"/>
              <w:jc w:val="right"/>
              <w:rPr>
                <w:rFonts w:ascii="arial" w:hAnsi="arial"/>
                <w:color w:val="FFFFFF"/>
                <w:sz w:val="16"/>
              </w:rPr>
            </w:pPr>
            <w:r>
              <w:rPr>
                <w:rFonts w:ascii="arial" w:hAnsi="arial"/>
                <w:color w:val="FFFFFF"/>
                <w:sz w:val="16"/>
              </w:rPr>
              <w:t>($)</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104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Equity</w:t>
            </w:r>
          </w:p>
          <w:p>
            <w:pPr>
              <w:pStyle w:val="TableContents"/>
              <w:spacing w:before="0" w:after="0"/>
              <w:jc w:val="right"/>
              <w:rPr>
                <w:rFonts w:ascii="arial" w:hAnsi="arial"/>
                <w:color w:val="FFFFFF"/>
                <w:sz w:val="16"/>
              </w:rPr>
            </w:pPr>
            <w:r>
              <w:rPr>
                <w:rFonts w:ascii="arial" w:hAnsi="arial"/>
                <w:color w:val="FFFFFF"/>
                <w:sz w:val="16"/>
              </w:rPr>
              <w:t>Incentive Plan</w:t>
            </w:r>
          </w:p>
          <w:p>
            <w:pPr>
              <w:pStyle w:val="TableContents"/>
              <w:spacing w:before="0" w:after="0"/>
              <w:jc w:val="right"/>
              <w:rPr>
                <w:rFonts w:ascii="arial" w:hAnsi="arial"/>
                <w:color w:val="FFFFFF"/>
                <w:sz w:val="16"/>
              </w:rPr>
            </w:pPr>
            <w:r>
              <w:rPr>
                <w:rFonts w:ascii="arial" w:hAnsi="arial"/>
                <w:color w:val="FFFFFF"/>
                <w:sz w:val="16"/>
              </w:rPr>
              <w:t>Awards: # of</w:t>
            </w:r>
          </w:p>
          <w:p>
            <w:pPr>
              <w:pStyle w:val="TableContents"/>
              <w:spacing w:before="0" w:after="0"/>
              <w:jc w:val="right"/>
              <w:rPr>
                <w:rFonts w:ascii="arial" w:hAnsi="arial"/>
                <w:color w:val="FFFFFF"/>
                <w:sz w:val="16"/>
              </w:rPr>
            </w:pPr>
            <w:r>
              <w:rPr>
                <w:rFonts w:ascii="arial" w:hAnsi="arial"/>
                <w:color w:val="FFFFFF"/>
                <w:sz w:val="16"/>
              </w:rPr>
              <w:t>Unearned</w:t>
            </w:r>
          </w:p>
          <w:p>
            <w:pPr>
              <w:pStyle w:val="TableContents"/>
              <w:spacing w:before="0" w:after="0"/>
              <w:jc w:val="right"/>
              <w:rPr>
                <w:rFonts w:ascii="arial" w:hAnsi="arial"/>
                <w:color w:val="FFFFFF"/>
                <w:sz w:val="16"/>
              </w:rPr>
            </w:pPr>
            <w:r>
              <w:rPr>
                <w:rFonts w:ascii="arial" w:hAnsi="arial"/>
                <w:color w:val="FFFFFF"/>
                <w:sz w:val="16"/>
              </w:rPr>
              <w:t>Shares, Units</w:t>
            </w:r>
          </w:p>
          <w:p>
            <w:pPr>
              <w:pStyle w:val="TableContents"/>
              <w:spacing w:before="0" w:after="0"/>
              <w:jc w:val="right"/>
              <w:rPr>
                <w:rFonts w:ascii="arial" w:hAnsi="arial"/>
                <w:color w:val="FFFFFF"/>
                <w:sz w:val="16"/>
              </w:rPr>
            </w:pPr>
            <w:r>
              <w:rPr>
                <w:rFonts w:ascii="arial" w:hAnsi="arial"/>
                <w:color w:val="FFFFFF"/>
                <w:sz w:val="16"/>
              </w:rPr>
              <w:t>or Other</w:t>
            </w:r>
          </w:p>
          <w:p>
            <w:pPr>
              <w:pStyle w:val="TableContents"/>
              <w:spacing w:before="0" w:after="0"/>
              <w:jc w:val="right"/>
              <w:rPr>
                <w:rFonts w:ascii="arial" w:hAnsi="arial"/>
                <w:color w:val="FFFFFF"/>
                <w:sz w:val="16"/>
              </w:rPr>
            </w:pPr>
            <w:r>
              <w:rPr>
                <w:rFonts w:ascii="arial" w:hAnsi="arial"/>
                <w:color w:val="FFFFFF"/>
                <w:sz w:val="16"/>
              </w:rPr>
              <w:t>Rights That</w:t>
            </w:r>
          </w:p>
          <w:p>
            <w:pPr>
              <w:pStyle w:val="TableContents"/>
              <w:spacing w:before="0" w:after="0"/>
              <w:jc w:val="right"/>
              <w:rPr>
                <w:rFonts w:ascii="arial" w:hAnsi="arial"/>
                <w:color w:val="FFFFFF"/>
                <w:sz w:val="16"/>
              </w:rPr>
            </w:pPr>
            <w:r>
              <w:rPr>
                <w:rFonts w:ascii="arial" w:hAnsi="arial"/>
                <w:color w:val="FFFFFF"/>
                <w:sz w:val="16"/>
              </w:rPr>
              <w:t>Have Not</w:t>
            </w:r>
          </w:p>
          <w:p>
            <w:pPr>
              <w:pStyle w:val="TableContents"/>
              <w:spacing w:before="0" w:after="20"/>
              <w:jc w:val="right"/>
              <w:rPr>
                <w:rFonts w:ascii="arial" w:hAnsi="arial"/>
                <w:color w:val="FFFFFF"/>
                <w:sz w:val="16"/>
              </w:rPr>
            </w:pPr>
            <w:r>
              <w:rPr>
                <w:rFonts w:ascii="arial" w:hAnsi="arial"/>
                <w:color w:val="FFFFFF"/>
                <w:sz w:val="16"/>
              </w:rPr>
              <w:t>Vested</w:t>
            </w:r>
          </w:p>
        </w:tc>
        <w:tc>
          <w:tcPr>
            <w:tcW w:w="2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137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Equity</w:t>
            </w:r>
          </w:p>
          <w:p>
            <w:pPr>
              <w:pStyle w:val="TableContents"/>
              <w:spacing w:before="0" w:after="0"/>
              <w:jc w:val="right"/>
              <w:rPr>
                <w:rFonts w:ascii="arial" w:hAnsi="arial"/>
                <w:color w:val="FFFFFF"/>
                <w:sz w:val="16"/>
              </w:rPr>
            </w:pPr>
            <w:r>
              <w:rPr>
                <w:rFonts w:ascii="arial" w:hAnsi="arial"/>
                <w:color w:val="FFFFFF"/>
                <w:sz w:val="16"/>
              </w:rPr>
              <w:t>Incentive Plan</w:t>
            </w:r>
          </w:p>
          <w:p>
            <w:pPr>
              <w:pStyle w:val="TableContents"/>
              <w:spacing w:before="0" w:after="0"/>
              <w:jc w:val="right"/>
              <w:rPr>
                <w:rFonts w:ascii="arial" w:hAnsi="arial"/>
                <w:color w:val="FFFFFF"/>
                <w:sz w:val="16"/>
              </w:rPr>
            </w:pPr>
            <w:r>
              <w:rPr>
                <w:rFonts w:ascii="arial" w:hAnsi="arial"/>
                <w:color w:val="FFFFFF"/>
                <w:sz w:val="16"/>
              </w:rPr>
              <w:t>Awards: Market or</w:t>
            </w:r>
          </w:p>
          <w:p>
            <w:pPr>
              <w:pStyle w:val="TableContents"/>
              <w:spacing w:before="0" w:after="0"/>
              <w:jc w:val="right"/>
              <w:rPr>
                <w:rFonts w:ascii="arial" w:hAnsi="arial"/>
                <w:color w:val="FFFFFF"/>
                <w:sz w:val="16"/>
              </w:rPr>
            </w:pPr>
            <w:r>
              <w:rPr>
                <w:rFonts w:ascii="arial" w:hAnsi="arial"/>
                <w:color w:val="FFFFFF"/>
                <w:sz w:val="16"/>
              </w:rPr>
              <w:t>Payout Value</w:t>
            </w:r>
          </w:p>
          <w:p>
            <w:pPr>
              <w:pStyle w:val="TableContents"/>
              <w:spacing w:before="0" w:after="0"/>
              <w:jc w:val="right"/>
              <w:rPr>
                <w:rFonts w:ascii="arial" w:hAnsi="arial"/>
                <w:color w:val="FFFFFF"/>
                <w:sz w:val="16"/>
              </w:rPr>
            </w:pPr>
            <w:r>
              <w:rPr>
                <w:rFonts w:ascii="arial" w:hAnsi="arial"/>
                <w:color w:val="FFFFFF"/>
                <w:sz w:val="16"/>
              </w:rPr>
              <w:t>of Unearned</w:t>
            </w:r>
          </w:p>
          <w:p>
            <w:pPr>
              <w:pStyle w:val="TableContents"/>
              <w:spacing w:before="0" w:after="0"/>
              <w:jc w:val="right"/>
              <w:rPr>
                <w:rFonts w:ascii="arial" w:hAnsi="arial"/>
                <w:color w:val="FFFFFF"/>
                <w:sz w:val="16"/>
              </w:rPr>
            </w:pPr>
            <w:r>
              <w:rPr>
                <w:rFonts w:ascii="arial" w:hAnsi="arial"/>
                <w:color w:val="FFFFFF"/>
                <w:sz w:val="16"/>
              </w:rPr>
              <w:t>Shares, Units or</w:t>
            </w:r>
          </w:p>
          <w:p>
            <w:pPr>
              <w:pStyle w:val="TableContents"/>
              <w:spacing w:before="0" w:after="0"/>
              <w:jc w:val="right"/>
              <w:rPr>
                <w:rFonts w:ascii="arial" w:hAnsi="arial"/>
                <w:color w:val="FFFFFF"/>
                <w:sz w:val="16"/>
              </w:rPr>
            </w:pPr>
            <w:r>
              <w:rPr>
                <w:rFonts w:ascii="arial" w:hAnsi="arial"/>
                <w:color w:val="FFFFFF"/>
                <w:sz w:val="16"/>
              </w:rPr>
              <w:t>Other Rights that</w:t>
            </w:r>
          </w:p>
          <w:p>
            <w:pPr>
              <w:pStyle w:val="TableContents"/>
              <w:spacing w:before="0" w:after="0"/>
              <w:jc w:val="right"/>
              <w:rPr>
                <w:rFonts w:ascii="arial" w:hAnsi="arial"/>
                <w:color w:val="FFFFFF"/>
                <w:sz w:val="16"/>
              </w:rPr>
            </w:pPr>
            <w:r>
              <w:rPr>
                <w:rFonts w:ascii="arial" w:hAnsi="arial"/>
                <w:color w:val="FFFFFF"/>
                <w:sz w:val="16"/>
              </w:rPr>
              <w:t>Have Not Vested</w:t>
            </w:r>
          </w:p>
          <w:p>
            <w:pPr>
              <w:pStyle w:val="TableContents"/>
              <w:spacing w:before="0" w:after="20"/>
              <w:jc w:val="right"/>
              <w:rPr>
                <w:rFonts w:ascii="arial" w:hAnsi="arial"/>
                <w:sz w:val="16"/>
              </w:rPr>
            </w:pPr>
            <w:r>
              <w:rPr>
                <w:rFonts w:ascii="arial" w:hAnsi="arial"/>
                <w:color w:val="FFFFFF"/>
                <w:sz w:val="16"/>
              </w:rPr>
              <w:t>($)</w:t>
            </w:r>
            <w:r>
              <w:rPr>
                <w:rFonts w:ascii="arial" w:hAnsi="arial"/>
                <w:color w:val="FFFFFF"/>
                <w:sz w:val="10"/>
              </w:rPr>
              <w:t>(1)</w:t>
            </w:r>
          </w:p>
        </w:tc>
        <w:tc>
          <w:tcPr>
            <w:tcW w:w="75" w:type="dxa"/>
            <w:tcBorders/>
            <w:shd w:fill="005CB9" w:val="clear"/>
            <w:vAlign w:val="center"/>
          </w:tcPr>
          <w:p>
            <w:pPr>
              <w:pStyle w:val="TableContents"/>
              <w:spacing w:before="0" w:after="283"/>
              <w:rPr/>
            </w:pPr>
            <w:r>
              <w:rPr/>
              <w:t> </w:t>
            </w:r>
          </w:p>
        </w:tc>
      </w:tr>
      <w:tr>
        <w:trPr/>
        <w:tc>
          <w:tcPr>
            <w:tcW w:w="1505" w:type="dxa"/>
            <w:tcBorders/>
            <w:shd w:fill="E5EEF8" w:val="clear"/>
            <w:vAlign w:val="center"/>
          </w:tcPr>
          <w:p>
            <w:pPr>
              <w:pStyle w:val="TableContents"/>
              <w:spacing w:lineRule="atLeast" w:line="240" w:before="0" w:after="0"/>
              <w:rPr/>
            </w:pPr>
            <w:r>
              <w:rPr/>
              <w:t>  </w:t>
            </w:r>
            <w:r>
              <w:rPr>
                <w:rFonts w:ascii="ARIAL" w:hAnsi="ARIAL"/>
                <w:sz w:val="16"/>
              </w:rPr>
              <w:t>L. Neil Hunn</w:t>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lineRule="atLeast" w:line="240" w:before="0" w:after="0"/>
              <w:rPr/>
            </w:pPr>
            <w:r>
              <w:rPr/>
              <w:t> </w:t>
            </w:r>
          </w:p>
        </w:tc>
        <w:tc>
          <w:tcPr>
            <w:tcW w:w="945"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5,000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before="0" w:after="283"/>
              <w:rPr>
                <w:sz w:val="4"/>
                <w:szCs w:val="4"/>
              </w:rPr>
            </w:pPr>
            <w:r>
              <w:rPr>
                <w:sz w:val="4"/>
                <w:szCs w:val="4"/>
              </w:rPr>
            </w:r>
          </w:p>
        </w:tc>
        <w:tc>
          <w:tcPr>
            <w:tcW w:w="959" w:type="dxa"/>
            <w:tcBorders/>
            <w:shd w:fill="E5EEF8" w:val="clear"/>
            <w:vAlign w:val="center"/>
          </w:tcPr>
          <w:p>
            <w:pPr>
              <w:pStyle w:val="TableContents"/>
              <w:spacing w:before="0" w:after="283"/>
              <w:rPr>
                <w:sz w:val="4"/>
                <w:szCs w:val="4"/>
              </w:rPr>
            </w:pPr>
            <w:r>
              <w:rPr>
                <w:sz w:val="4"/>
                <w:szCs w:val="4"/>
              </w:rPr>
            </w:r>
          </w:p>
        </w:tc>
        <w:tc>
          <w:tcPr>
            <w:tcW w:w="17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115.22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01/17/2023</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lineRule="atLeast" w:line="240" w:before="0" w:after="0"/>
              <w:rPr/>
            </w:pPr>
            <w:r>
              <w:rPr/>
              <w:t> </w:t>
            </w:r>
          </w:p>
        </w:tc>
        <w:tc>
          <w:tcPr>
            <w:tcW w:w="945"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30,000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before="0" w:after="283"/>
              <w:rPr>
                <w:sz w:val="4"/>
                <w:szCs w:val="4"/>
              </w:rPr>
            </w:pPr>
            <w:r>
              <w:rPr>
                <w:sz w:val="4"/>
                <w:szCs w:val="4"/>
              </w:rPr>
            </w:r>
          </w:p>
        </w:tc>
        <w:tc>
          <w:tcPr>
            <w:tcW w:w="959" w:type="dxa"/>
            <w:tcBorders/>
            <w:shd w:fill="E5EEF8" w:val="clear"/>
            <w:vAlign w:val="center"/>
          </w:tcPr>
          <w:p>
            <w:pPr>
              <w:pStyle w:val="TableContents"/>
              <w:spacing w:before="0" w:after="283"/>
              <w:rPr>
                <w:sz w:val="4"/>
                <w:szCs w:val="4"/>
              </w:rPr>
            </w:pPr>
            <w:r>
              <w:rPr>
                <w:sz w:val="4"/>
                <w:szCs w:val="4"/>
              </w:rPr>
            </w:r>
          </w:p>
        </w:tc>
        <w:tc>
          <w:tcPr>
            <w:tcW w:w="17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125.68</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11/19/2023</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lineRule="atLeast" w:line="240" w:before="0" w:after="0"/>
              <w:rPr/>
            </w:pPr>
            <w:r>
              <w:rPr/>
              <w:t> </w:t>
            </w:r>
          </w:p>
        </w:tc>
        <w:tc>
          <w:tcPr>
            <w:tcW w:w="945"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30,000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before="0" w:after="283"/>
              <w:rPr>
                <w:sz w:val="4"/>
                <w:szCs w:val="4"/>
              </w:rPr>
            </w:pPr>
            <w:r>
              <w:rPr>
                <w:sz w:val="4"/>
                <w:szCs w:val="4"/>
              </w:rPr>
            </w:r>
          </w:p>
        </w:tc>
        <w:tc>
          <w:tcPr>
            <w:tcW w:w="959" w:type="dxa"/>
            <w:tcBorders/>
            <w:shd w:fill="E5EEF8" w:val="clear"/>
            <w:vAlign w:val="center"/>
          </w:tcPr>
          <w:p>
            <w:pPr>
              <w:pStyle w:val="TableContents"/>
              <w:spacing w:before="0" w:after="283"/>
              <w:rPr>
                <w:sz w:val="4"/>
                <w:szCs w:val="4"/>
              </w:rPr>
            </w:pPr>
            <w:r>
              <w:rPr>
                <w:sz w:val="4"/>
                <w:szCs w:val="4"/>
              </w:rPr>
            </w:r>
          </w:p>
        </w:tc>
        <w:tc>
          <w:tcPr>
            <w:tcW w:w="17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156.40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11/17/2024</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lineRule="atLeast" w:line="240" w:before="0" w:after="0"/>
              <w:rPr/>
            </w:pPr>
            <w:r>
              <w:rPr/>
              <w:t> </w:t>
            </w:r>
          </w:p>
        </w:tc>
        <w:tc>
          <w:tcPr>
            <w:tcW w:w="945"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30,000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before="0" w:after="283"/>
              <w:rPr>
                <w:sz w:val="4"/>
                <w:szCs w:val="4"/>
              </w:rPr>
            </w:pPr>
            <w:r>
              <w:rPr>
                <w:sz w:val="4"/>
                <w:szCs w:val="4"/>
              </w:rPr>
            </w:r>
          </w:p>
        </w:tc>
        <w:tc>
          <w:tcPr>
            <w:tcW w:w="959" w:type="dxa"/>
            <w:tcBorders/>
            <w:shd w:fill="E5EEF8" w:val="clear"/>
            <w:vAlign w:val="center"/>
          </w:tcPr>
          <w:p>
            <w:pPr>
              <w:pStyle w:val="TableContents"/>
              <w:spacing w:before="0" w:after="283"/>
              <w:rPr>
                <w:sz w:val="4"/>
                <w:szCs w:val="4"/>
              </w:rPr>
            </w:pPr>
            <w:r>
              <w:rPr>
                <w:sz w:val="4"/>
                <w:szCs w:val="4"/>
              </w:rPr>
            </w:r>
          </w:p>
        </w:tc>
        <w:tc>
          <w:tcPr>
            <w:tcW w:w="17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185.75</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11/17/2025</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lineRule="atLeast" w:line="240" w:before="0" w:after="0"/>
              <w:rPr/>
            </w:pPr>
            <w:r>
              <w:rPr/>
              <w:t> </w:t>
            </w:r>
          </w:p>
        </w:tc>
        <w:tc>
          <w:tcPr>
            <w:tcW w:w="945"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40,000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before="0" w:after="283"/>
              <w:rPr>
                <w:sz w:val="4"/>
                <w:szCs w:val="4"/>
              </w:rPr>
            </w:pPr>
            <w:r>
              <w:rPr>
                <w:sz w:val="4"/>
                <w:szCs w:val="4"/>
              </w:rPr>
            </w:r>
          </w:p>
        </w:tc>
        <w:tc>
          <w:tcPr>
            <w:tcW w:w="959" w:type="dxa"/>
            <w:tcBorders/>
            <w:shd w:fill="E5EEF8" w:val="clear"/>
            <w:vAlign w:val="center"/>
          </w:tcPr>
          <w:p>
            <w:pPr>
              <w:pStyle w:val="TableContents"/>
              <w:spacing w:before="0" w:after="283"/>
              <w:rPr>
                <w:sz w:val="4"/>
                <w:szCs w:val="4"/>
              </w:rPr>
            </w:pPr>
            <w:r>
              <w:rPr>
                <w:sz w:val="4"/>
                <w:szCs w:val="4"/>
              </w:rPr>
            </w:r>
          </w:p>
        </w:tc>
        <w:tc>
          <w:tcPr>
            <w:tcW w:w="17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185.42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01/19/2027</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lineRule="atLeast" w:line="240" w:before="0" w:after="0"/>
              <w:rPr/>
            </w:pPr>
            <w:r>
              <w:rPr/>
              <w:t> </w:t>
            </w:r>
          </w:p>
        </w:tc>
        <w:tc>
          <w:tcPr>
            <w:tcW w:w="945"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60,000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before="0" w:after="283"/>
              <w:rPr>
                <w:sz w:val="4"/>
                <w:szCs w:val="4"/>
              </w:rPr>
            </w:pPr>
            <w:r>
              <w:rPr>
                <w:sz w:val="4"/>
                <w:szCs w:val="4"/>
              </w:rPr>
            </w:r>
          </w:p>
        </w:tc>
        <w:tc>
          <w:tcPr>
            <w:tcW w:w="959" w:type="dxa"/>
            <w:tcBorders/>
            <w:shd w:fill="E5EEF8" w:val="clear"/>
            <w:vAlign w:val="center"/>
          </w:tcPr>
          <w:p>
            <w:pPr>
              <w:pStyle w:val="TableContents"/>
              <w:spacing w:before="0" w:after="283"/>
              <w:rPr>
                <w:sz w:val="4"/>
                <w:szCs w:val="4"/>
              </w:rPr>
            </w:pPr>
            <w:r>
              <w:rPr>
                <w:sz w:val="4"/>
                <w:szCs w:val="4"/>
              </w:rPr>
            </w:r>
          </w:p>
        </w:tc>
        <w:tc>
          <w:tcPr>
            <w:tcW w:w="17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275.69</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01/19/2028</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lineRule="atLeast" w:line="240" w:before="0" w:after="0"/>
              <w:rPr/>
            </w:pPr>
            <w:r>
              <w:rPr/>
              <w:t> </w:t>
            </w:r>
          </w:p>
        </w:tc>
        <w:tc>
          <w:tcPr>
            <w:tcW w:w="945"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60,000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before="0" w:after="283"/>
              <w:rPr>
                <w:sz w:val="4"/>
                <w:szCs w:val="4"/>
              </w:rPr>
            </w:pPr>
            <w:r>
              <w:rPr>
                <w:sz w:val="4"/>
                <w:szCs w:val="4"/>
              </w:rPr>
            </w:r>
          </w:p>
        </w:tc>
        <w:tc>
          <w:tcPr>
            <w:tcW w:w="959" w:type="dxa"/>
            <w:tcBorders/>
            <w:shd w:fill="E5EEF8" w:val="clear"/>
            <w:vAlign w:val="center"/>
          </w:tcPr>
          <w:p>
            <w:pPr>
              <w:pStyle w:val="TableContents"/>
              <w:spacing w:before="0" w:after="283"/>
              <w:rPr>
                <w:sz w:val="4"/>
                <w:szCs w:val="4"/>
              </w:rPr>
            </w:pPr>
            <w:r>
              <w:rPr>
                <w:sz w:val="4"/>
                <w:szCs w:val="4"/>
              </w:rPr>
            </w:r>
          </w:p>
        </w:tc>
        <w:tc>
          <w:tcPr>
            <w:tcW w:w="17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270.30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01/15/2029</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before="0" w:after="283"/>
              <w:rPr>
                <w:sz w:val="4"/>
                <w:szCs w:val="4"/>
              </w:rPr>
            </w:pPr>
            <w:r>
              <w:rPr>
                <w:sz w:val="4"/>
                <w:szCs w:val="4"/>
              </w:rPr>
            </w:r>
          </w:p>
        </w:tc>
        <w:tc>
          <w:tcPr>
            <w:tcW w:w="94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lineRule="atLeast" w:line="240" w:before="0" w:after="0"/>
              <w:rPr/>
            </w:pPr>
            <w:r>
              <w:rPr/>
              <w:t> </w:t>
            </w:r>
          </w:p>
        </w:tc>
        <w:tc>
          <w:tcPr>
            <w:tcW w:w="959"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57,068</w:t>
            </w:r>
          </w:p>
        </w:tc>
        <w:tc>
          <w:tcPr>
            <w:tcW w:w="170" w:type="dxa"/>
            <w:tcBorders/>
            <w:shd w:fill="E5EEF8" w:val="clear"/>
            <w:vAlign w:val="center"/>
          </w:tcPr>
          <w:p>
            <w:pPr>
              <w:pStyle w:val="TableContents"/>
              <w:spacing w:lineRule="atLeast" w:line="180" w:before="0" w:after="0"/>
              <w:rPr>
                <w:rFonts w:ascii="ARIAL" w:hAnsi="ARIAL"/>
                <w:sz w:val="16"/>
              </w:rPr>
            </w:pPr>
            <w:r>
              <w:rPr>
                <w:rFonts w:ascii="ARIAL" w:hAnsi="ARIAL"/>
                <w:sz w:val="16"/>
              </w:rPr>
              <w:t>(2) </w:t>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372.60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01/14/2030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before="0" w:after="283"/>
              <w:rPr>
                <w:sz w:val="4"/>
                <w:szCs w:val="4"/>
              </w:rPr>
            </w:pPr>
            <w:r>
              <w:rPr>
                <w:sz w:val="4"/>
                <w:szCs w:val="4"/>
              </w:rPr>
            </w:r>
          </w:p>
        </w:tc>
        <w:tc>
          <w:tcPr>
            <w:tcW w:w="94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lineRule="atLeast" w:line="240" w:before="0" w:after="0"/>
              <w:rPr/>
            </w:pPr>
            <w:r>
              <w:rPr/>
              <w:t> </w:t>
            </w:r>
          </w:p>
        </w:tc>
        <w:tc>
          <w:tcPr>
            <w:tcW w:w="959"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47,432</w:t>
            </w:r>
          </w:p>
        </w:tc>
        <w:tc>
          <w:tcPr>
            <w:tcW w:w="170" w:type="dxa"/>
            <w:tcBorders/>
            <w:shd w:fill="E5EEF8" w:val="clear"/>
            <w:vAlign w:val="center"/>
          </w:tcPr>
          <w:p>
            <w:pPr>
              <w:pStyle w:val="TableContents"/>
              <w:spacing w:lineRule="atLeast" w:line="180" w:before="0" w:after="0"/>
              <w:rPr>
                <w:rFonts w:ascii="ARIAL" w:hAnsi="ARIAL"/>
                <w:sz w:val="16"/>
              </w:rPr>
            </w:pPr>
            <w:r>
              <w:rPr>
                <w:rFonts w:ascii="ARIAL" w:hAnsi="ARIAL"/>
                <w:sz w:val="16"/>
              </w:rPr>
              <w:t>(3) </w:t>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413.15</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01/13/2031</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before="0" w:after="283"/>
              <w:rPr>
                <w:sz w:val="4"/>
                <w:szCs w:val="4"/>
              </w:rPr>
            </w:pPr>
            <w:r>
              <w:rPr>
                <w:sz w:val="4"/>
                <w:szCs w:val="4"/>
              </w:rPr>
            </w:r>
          </w:p>
        </w:tc>
        <w:tc>
          <w:tcPr>
            <w:tcW w:w="94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lineRule="atLeast" w:line="240" w:before="0" w:after="0"/>
              <w:rPr/>
            </w:pPr>
            <w:r>
              <w:rPr/>
              <w:t> </w:t>
            </w:r>
          </w:p>
        </w:tc>
        <w:tc>
          <w:tcPr>
            <w:tcW w:w="959"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41,044</w:t>
            </w:r>
          </w:p>
        </w:tc>
        <w:tc>
          <w:tcPr>
            <w:tcW w:w="170" w:type="dxa"/>
            <w:tcBorders/>
            <w:shd w:fill="E5EEF8" w:val="clear"/>
            <w:vAlign w:val="center"/>
          </w:tcPr>
          <w:p>
            <w:pPr>
              <w:pStyle w:val="TableContents"/>
              <w:spacing w:lineRule="atLeast" w:line="180" w:before="0" w:after="0"/>
              <w:rPr>
                <w:rFonts w:ascii="ARIAL" w:hAnsi="ARIAL"/>
                <w:sz w:val="16"/>
              </w:rPr>
            </w:pPr>
            <w:r>
              <w:rPr>
                <w:rFonts w:ascii="ARIAL" w:hAnsi="ARIAL"/>
                <w:sz w:val="16"/>
              </w:rPr>
              <w:t>(4) </w:t>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464.52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01/12/2032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before="0" w:after="283"/>
              <w:rPr>
                <w:sz w:val="4"/>
                <w:szCs w:val="4"/>
              </w:rPr>
            </w:pPr>
            <w:r>
              <w:rPr>
                <w:sz w:val="4"/>
                <w:szCs w:val="4"/>
              </w:rPr>
            </w:r>
          </w:p>
        </w:tc>
        <w:tc>
          <w:tcPr>
            <w:tcW w:w="94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before="0" w:after="283"/>
              <w:rPr>
                <w:sz w:val="4"/>
                <w:szCs w:val="4"/>
              </w:rPr>
            </w:pPr>
            <w:r>
              <w:rPr>
                <w:sz w:val="4"/>
                <w:szCs w:val="4"/>
              </w:rPr>
            </w:r>
          </w:p>
        </w:tc>
        <w:tc>
          <w:tcPr>
            <w:tcW w:w="959" w:type="dxa"/>
            <w:tcBorders/>
            <w:shd w:fill="E5EEF8" w:val="clear"/>
            <w:vAlign w:val="center"/>
          </w:tcPr>
          <w:p>
            <w:pPr>
              <w:pStyle w:val="TableContents"/>
              <w:spacing w:before="0" w:after="283"/>
              <w:rPr>
                <w:sz w:val="4"/>
                <w:szCs w:val="4"/>
              </w:rPr>
            </w:pPr>
            <w:r>
              <w:rPr>
                <w:sz w:val="4"/>
                <w:szCs w:val="4"/>
              </w:rPr>
            </w:r>
          </w:p>
        </w:tc>
        <w:tc>
          <w:tcPr>
            <w:tcW w:w="17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before="0" w:after="283"/>
              <w:rPr>
                <w:sz w:val="4"/>
                <w:szCs w:val="4"/>
              </w:rPr>
            </w:pPr>
            <w:r>
              <w:rPr>
                <w:sz w:val="4"/>
                <w:szCs w:val="4"/>
              </w:rPr>
            </w:r>
          </w:p>
        </w:tc>
        <w:tc>
          <w:tcPr>
            <w:tcW w:w="596"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sz w:val="4"/>
                <w:szCs w:val="4"/>
              </w:rPr>
            </w:pPr>
            <w:r>
              <w:rPr>
                <w:sz w:val="4"/>
                <w:szCs w:val="4"/>
              </w:rPr>
            </w:r>
          </w:p>
        </w:tc>
        <w:tc>
          <w:tcPr>
            <w:tcW w:w="68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lineRule="atLeast" w:line="240" w:before="0" w:after="0"/>
              <w:rPr/>
            </w:pPr>
            <w:r>
              <w:rPr/>
              <w:t> </w:t>
            </w:r>
          </w:p>
        </w:tc>
        <w:tc>
          <w:tcPr>
            <w:tcW w:w="932"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60,739</w:t>
            </w:r>
          </w:p>
        </w:tc>
        <w:tc>
          <w:tcPr>
            <w:tcW w:w="260" w:type="dxa"/>
            <w:tcBorders/>
            <w:shd w:fill="E5EEF8" w:val="clear"/>
            <w:vAlign w:val="center"/>
          </w:tcPr>
          <w:p>
            <w:pPr>
              <w:pStyle w:val="TableContents"/>
              <w:spacing w:lineRule="atLeast" w:line="180" w:before="0" w:after="0"/>
              <w:rPr>
                <w:rFonts w:ascii="ARIAL" w:hAnsi="ARIAL"/>
                <w:sz w:val="16"/>
              </w:rPr>
            </w:pPr>
            <w:r>
              <w:rPr>
                <w:rFonts w:ascii="ARIAL" w:hAnsi="ARIAL"/>
                <w:sz w:val="16"/>
              </w:rPr>
              <w:t>(6)(10) </w:t>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lineRule="atLeast" w:line="240" w:before="0" w:after="0"/>
              <w:rPr/>
            </w:pPr>
            <w:r>
              <w:rPr/>
              <w:t> </w:t>
            </w:r>
          </w:p>
        </w:tc>
        <w:tc>
          <w:tcPr>
            <w:tcW w:w="1278"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26,244,715</w:t>
            </w:r>
          </w:p>
        </w:tc>
        <w:tc>
          <w:tcPr>
            <w:tcW w:w="75" w:type="dxa"/>
            <w:tcBorders/>
            <w:shd w:fill="E5EEF8" w:val="clear"/>
            <w:vAlign w:val="center"/>
          </w:tcPr>
          <w:p>
            <w:pPr>
              <w:pStyle w:val="TableContents"/>
              <w:spacing w:lineRule="atLeast" w:line="240" w:before="0" w:after="0"/>
              <w:rPr/>
            </w:pPr>
            <w:r>
              <w:rPr/>
              <w:t> </w:t>
            </w:r>
          </w:p>
        </w:tc>
      </w:tr>
      <w:tr>
        <w:trPr/>
        <w:tc>
          <w:tcPr>
            <w:tcW w:w="1505" w:type="dxa"/>
            <w:tcBorders/>
            <w:shd w:fill="auto" w:val="clear"/>
            <w:vAlign w:val="center"/>
          </w:tcPr>
          <w:p>
            <w:pPr>
              <w:pStyle w:val="TableContents"/>
              <w:spacing w:lineRule="atLeast" w:line="240" w:before="0" w:after="0"/>
              <w:rPr/>
            </w:pPr>
            <w:r>
              <w:rPr/>
              <w:t>  </w:t>
            </w:r>
            <w:r>
              <w:rPr>
                <w:rFonts w:ascii="ARIAL" w:hAnsi="ARIAL"/>
                <w:sz w:val="16"/>
              </w:rPr>
              <w:t>Robert C. Crisci</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lineRule="atLeast" w:line="240" w:before="0" w:after="0"/>
              <w:rPr/>
            </w:pPr>
            <w:r>
              <w:rPr/>
              <w:t> </w:t>
            </w:r>
          </w:p>
        </w:tc>
        <w:tc>
          <w:tcPr>
            <w:tcW w:w="94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25,000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59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275.69</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01/19/2028</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lineRule="atLeast" w:line="240" w:before="0" w:after="0"/>
              <w:rPr/>
            </w:pPr>
            <w:r>
              <w:rPr/>
              <w:t> </w:t>
            </w:r>
          </w:p>
        </w:tc>
        <w:tc>
          <w:tcPr>
            <w:tcW w:w="94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25,000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59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270.30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01/15/2029</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lineRule="atLeast" w:line="240" w:before="0" w:after="0"/>
              <w:rPr/>
            </w:pPr>
            <w:r>
              <w:rPr/>
              <w:t> </w:t>
            </w:r>
          </w:p>
        </w:tc>
        <w:tc>
          <w:tcPr>
            <w:tcW w:w="94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9,399</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lineRule="atLeast" w:line="240" w:before="0" w:after="0"/>
              <w:rPr/>
            </w:pPr>
            <w:r>
              <w:rPr/>
              <w:t> </w:t>
            </w:r>
          </w:p>
        </w:tc>
        <w:tc>
          <w:tcPr>
            <w:tcW w:w="95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9,400</w:t>
            </w:r>
          </w:p>
        </w:tc>
        <w:tc>
          <w:tcPr>
            <w:tcW w:w="170" w:type="dxa"/>
            <w:tcBorders/>
            <w:shd w:fill="auto" w:val="clear"/>
            <w:vAlign w:val="center"/>
          </w:tcPr>
          <w:p>
            <w:pPr>
              <w:pStyle w:val="TableContents"/>
              <w:spacing w:lineRule="atLeast" w:line="180" w:before="0" w:after="0"/>
              <w:rPr>
                <w:rFonts w:ascii="ARIAL" w:hAnsi="ARIAL"/>
                <w:sz w:val="16"/>
              </w:rPr>
            </w:pPr>
            <w:r>
              <w:rPr>
                <w:rFonts w:ascii="ARIAL" w:hAnsi="ARIAL"/>
                <w:sz w:val="16"/>
              </w:rPr>
              <w:t>(2)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59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372.60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01/14/2030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lineRule="atLeast" w:line="240" w:before="0" w:after="0"/>
              <w:rPr/>
            </w:pPr>
            <w:r>
              <w:rPr/>
              <w:t> </w:t>
            </w:r>
          </w:p>
        </w:tc>
        <w:tc>
          <w:tcPr>
            <w:tcW w:w="95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15,543</w:t>
            </w:r>
          </w:p>
        </w:tc>
        <w:tc>
          <w:tcPr>
            <w:tcW w:w="170" w:type="dxa"/>
            <w:tcBorders/>
            <w:shd w:fill="auto" w:val="clear"/>
            <w:vAlign w:val="center"/>
          </w:tcPr>
          <w:p>
            <w:pPr>
              <w:pStyle w:val="TableContents"/>
              <w:spacing w:lineRule="atLeast" w:line="180" w:before="0" w:after="0"/>
              <w:rPr>
                <w:rFonts w:ascii="ARIAL" w:hAnsi="ARIAL"/>
                <w:sz w:val="16"/>
              </w:rPr>
            </w:pPr>
            <w:r>
              <w:rPr>
                <w:rFonts w:ascii="ARIAL" w:hAnsi="ARIAL"/>
                <w:sz w:val="16"/>
              </w:rPr>
              <w:t>(5)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59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413.15</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01/13/2031</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lineRule="atLeast" w:line="240" w:before="0" w:after="0"/>
              <w:rPr/>
            </w:pPr>
            <w:r>
              <w:rPr/>
              <w:t> </w:t>
            </w:r>
          </w:p>
        </w:tc>
        <w:tc>
          <w:tcPr>
            <w:tcW w:w="95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13,291</w:t>
            </w:r>
          </w:p>
        </w:tc>
        <w:tc>
          <w:tcPr>
            <w:tcW w:w="170" w:type="dxa"/>
            <w:tcBorders/>
            <w:shd w:fill="auto" w:val="clear"/>
            <w:vAlign w:val="center"/>
          </w:tcPr>
          <w:p>
            <w:pPr>
              <w:pStyle w:val="TableContents"/>
              <w:spacing w:lineRule="atLeast" w:line="180" w:before="0" w:after="0"/>
              <w:rPr>
                <w:rFonts w:ascii="ARIAL" w:hAnsi="ARIAL"/>
                <w:sz w:val="16"/>
              </w:rPr>
            </w:pPr>
            <w:r>
              <w:rPr>
                <w:rFonts w:ascii="ARIAL" w:hAnsi="ARIAL"/>
                <w:sz w:val="16"/>
              </w:rPr>
              <w:t>(4)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59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464.52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01/12/2032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lineRule="atLeast" w:line="240" w:before="0" w:after="0"/>
              <w:rPr/>
            </w:pPr>
            <w:r>
              <w:rPr/>
              <w:t> </w:t>
            </w:r>
          </w:p>
        </w:tc>
        <w:tc>
          <w:tcPr>
            <w:tcW w:w="93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14,267</w:t>
            </w:r>
          </w:p>
        </w:tc>
        <w:tc>
          <w:tcPr>
            <w:tcW w:w="260" w:type="dxa"/>
            <w:tcBorders/>
            <w:shd w:fill="auto" w:val="clear"/>
            <w:vAlign w:val="center"/>
          </w:tcPr>
          <w:p>
            <w:pPr>
              <w:pStyle w:val="TableContents"/>
              <w:spacing w:lineRule="atLeast" w:line="180" w:before="0" w:after="0"/>
              <w:rPr>
                <w:rFonts w:ascii="ARIAL" w:hAnsi="ARIAL"/>
                <w:sz w:val="16"/>
              </w:rPr>
            </w:pPr>
            <w:r>
              <w:rPr>
                <w:rFonts w:ascii="ARIAL" w:hAnsi="ARIAL"/>
                <w:sz w:val="16"/>
              </w:rPr>
              <w:t>(7)(10)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lineRule="atLeast" w:line="240" w:before="0" w:after="0"/>
              <w:rPr/>
            </w:pPr>
            <w:r>
              <w:rPr/>
              <w:t> </w:t>
            </w:r>
          </w:p>
        </w:tc>
        <w:tc>
          <w:tcPr>
            <w:tcW w:w="1278"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6,164,628</w:t>
            </w:r>
          </w:p>
        </w:tc>
        <w:tc>
          <w:tcPr>
            <w:tcW w:w="75" w:type="dxa"/>
            <w:tcBorders/>
            <w:shd w:fill="auto" w:val="clear"/>
            <w:vAlign w:val="center"/>
          </w:tcPr>
          <w:p>
            <w:pPr>
              <w:pStyle w:val="TableContents"/>
              <w:spacing w:lineRule="atLeast" w:line="240" w:before="0" w:after="0"/>
              <w:rPr/>
            </w:pPr>
            <w:r>
              <w:rPr/>
              <w:t> </w:t>
            </w:r>
          </w:p>
        </w:tc>
      </w:tr>
      <w:tr>
        <w:trPr/>
        <w:tc>
          <w:tcPr>
            <w:tcW w:w="1505" w:type="dxa"/>
            <w:tcBorders/>
            <w:shd w:fill="E5EEF8" w:val="clear"/>
            <w:vAlign w:val="center"/>
          </w:tcPr>
          <w:p>
            <w:pPr>
              <w:pStyle w:val="TableContents"/>
              <w:spacing w:lineRule="atLeast" w:line="240" w:before="0" w:after="0"/>
              <w:rPr/>
            </w:pPr>
            <w:r>
              <w:rPr/>
              <w:t>  </w:t>
            </w:r>
            <w:r>
              <w:rPr>
                <w:rFonts w:ascii="ARIAL" w:hAnsi="ARIAL"/>
                <w:sz w:val="16"/>
              </w:rPr>
              <w:t>John K. Stipancich</w:t>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lineRule="atLeast" w:line="240" w:before="0" w:after="0"/>
              <w:rPr/>
            </w:pPr>
            <w:r>
              <w:rPr/>
              <w:t> </w:t>
            </w:r>
          </w:p>
        </w:tc>
        <w:tc>
          <w:tcPr>
            <w:tcW w:w="945"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4,500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before="0" w:after="283"/>
              <w:rPr>
                <w:sz w:val="4"/>
                <w:szCs w:val="4"/>
              </w:rPr>
            </w:pPr>
            <w:r>
              <w:rPr>
                <w:sz w:val="4"/>
                <w:szCs w:val="4"/>
              </w:rPr>
            </w:r>
          </w:p>
        </w:tc>
        <w:tc>
          <w:tcPr>
            <w:tcW w:w="959" w:type="dxa"/>
            <w:tcBorders/>
            <w:shd w:fill="E5EEF8" w:val="clear"/>
            <w:vAlign w:val="center"/>
          </w:tcPr>
          <w:p>
            <w:pPr>
              <w:pStyle w:val="TableContents"/>
              <w:spacing w:before="0" w:after="283"/>
              <w:rPr>
                <w:sz w:val="4"/>
                <w:szCs w:val="4"/>
              </w:rPr>
            </w:pPr>
            <w:r>
              <w:rPr>
                <w:sz w:val="4"/>
                <w:szCs w:val="4"/>
              </w:rPr>
            </w:r>
          </w:p>
        </w:tc>
        <w:tc>
          <w:tcPr>
            <w:tcW w:w="17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228.84</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06/09/2027</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lineRule="atLeast" w:line="240" w:before="0" w:after="0"/>
              <w:rPr/>
            </w:pPr>
            <w:r>
              <w:rPr/>
              <w:t> </w:t>
            </w:r>
          </w:p>
        </w:tc>
        <w:tc>
          <w:tcPr>
            <w:tcW w:w="945"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15,000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before="0" w:after="283"/>
              <w:rPr>
                <w:sz w:val="4"/>
                <w:szCs w:val="4"/>
              </w:rPr>
            </w:pPr>
            <w:r>
              <w:rPr>
                <w:sz w:val="4"/>
                <w:szCs w:val="4"/>
              </w:rPr>
            </w:r>
          </w:p>
        </w:tc>
        <w:tc>
          <w:tcPr>
            <w:tcW w:w="959" w:type="dxa"/>
            <w:tcBorders/>
            <w:shd w:fill="E5EEF8" w:val="clear"/>
            <w:vAlign w:val="center"/>
          </w:tcPr>
          <w:p>
            <w:pPr>
              <w:pStyle w:val="TableContents"/>
              <w:spacing w:before="0" w:after="283"/>
              <w:rPr>
                <w:sz w:val="4"/>
                <w:szCs w:val="4"/>
              </w:rPr>
            </w:pPr>
            <w:r>
              <w:rPr>
                <w:sz w:val="4"/>
                <w:szCs w:val="4"/>
              </w:rPr>
            </w:r>
          </w:p>
        </w:tc>
        <w:tc>
          <w:tcPr>
            <w:tcW w:w="17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275.69</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01/19/2028</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lineRule="atLeast" w:line="240" w:before="0" w:after="0"/>
              <w:rPr/>
            </w:pPr>
            <w:r>
              <w:rPr/>
              <w:t> </w:t>
            </w:r>
          </w:p>
        </w:tc>
        <w:tc>
          <w:tcPr>
            <w:tcW w:w="945"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15,000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before="0" w:after="283"/>
              <w:rPr>
                <w:sz w:val="4"/>
                <w:szCs w:val="4"/>
              </w:rPr>
            </w:pPr>
            <w:r>
              <w:rPr>
                <w:sz w:val="4"/>
                <w:szCs w:val="4"/>
              </w:rPr>
            </w:r>
          </w:p>
        </w:tc>
        <w:tc>
          <w:tcPr>
            <w:tcW w:w="959" w:type="dxa"/>
            <w:tcBorders/>
            <w:shd w:fill="E5EEF8" w:val="clear"/>
            <w:vAlign w:val="center"/>
          </w:tcPr>
          <w:p>
            <w:pPr>
              <w:pStyle w:val="TableContents"/>
              <w:spacing w:before="0" w:after="283"/>
              <w:rPr>
                <w:sz w:val="4"/>
                <w:szCs w:val="4"/>
              </w:rPr>
            </w:pPr>
            <w:r>
              <w:rPr>
                <w:sz w:val="4"/>
                <w:szCs w:val="4"/>
              </w:rPr>
            </w:r>
          </w:p>
        </w:tc>
        <w:tc>
          <w:tcPr>
            <w:tcW w:w="17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270.30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01/15/2029</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lineRule="atLeast" w:line="240" w:before="0" w:after="0"/>
              <w:rPr/>
            </w:pPr>
            <w:r>
              <w:rPr/>
              <w:t> </w:t>
            </w:r>
          </w:p>
        </w:tc>
        <w:tc>
          <w:tcPr>
            <w:tcW w:w="945"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5,707</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lineRule="atLeast" w:line="240" w:before="0" w:after="0"/>
              <w:rPr/>
            </w:pPr>
            <w:r>
              <w:rPr/>
              <w:t> </w:t>
            </w:r>
          </w:p>
        </w:tc>
        <w:tc>
          <w:tcPr>
            <w:tcW w:w="959"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5,707</w:t>
            </w:r>
          </w:p>
        </w:tc>
        <w:tc>
          <w:tcPr>
            <w:tcW w:w="170" w:type="dxa"/>
            <w:tcBorders/>
            <w:shd w:fill="E5EEF8" w:val="clear"/>
            <w:vAlign w:val="center"/>
          </w:tcPr>
          <w:p>
            <w:pPr>
              <w:pStyle w:val="TableContents"/>
              <w:spacing w:lineRule="atLeast" w:line="180" w:before="0" w:after="0"/>
              <w:rPr>
                <w:rFonts w:ascii="ARIAL" w:hAnsi="ARIAL"/>
                <w:sz w:val="16"/>
              </w:rPr>
            </w:pPr>
            <w:r>
              <w:rPr>
                <w:rFonts w:ascii="ARIAL" w:hAnsi="ARIAL"/>
                <w:sz w:val="16"/>
              </w:rPr>
              <w:t>(2) </w:t>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372.60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01/14/2030</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before="0" w:after="283"/>
              <w:rPr>
                <w:sz w:val="4"/>
                <w:szCs w:val="4"/>
              </w:rPr>
            </w:pPr>
            <w:r>
              <w:rPr>
                <w:sz w:val="4"/>
                <w:szCs w:val="4"/>
              </w:rPr>
            </w:r>
          </w:p>
        </w:tc>
        <w:tc>
          <w:tcPr>
            <w:tcW w:w="94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lineRule="atLeast" w:line="240" w:before="0" w:after="0"/>
              <w:rPr/>
            </w:pPr>
            <w:r>
              <w:rPr/>
              <w:t> </w:t>
            </w:r>
          </w:p>
        </w:tc>
        <w:tc>
          <w:tcPr>
            <w:tcW w:w="959"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9,647</w:t>
            </w:r>
          </w:p>
        </w:tc>
        <w:tc>
          <w:tcPr>
            <w:tcW w:w="170" w:type="dxa"/>
            <w:tcBorders/>
            <w:shd w:fill="E5EEF8" w:val="clear"/>
            <w:vAlign w:val="center"/>
          </w:tcPr>
          <w:p>
            <w:pPr>
              <w:pStyle w:val="TableContents"/>
              <w:spacing w:lineRule="atLeast" w:line="180" w:before="0" w:after="0"/>
              <w:rPr>
                <w:rFonts w:ascii="ARIAL" w:hAnsi="ARIAL"/>
                <w:sz w:val="16"/>
              </w:rPr>
            </w:pPr>
            <w:r>
              <w:rPr>
                <w:rFonts w:ascii="ARIAL" w:hAnsi="ARIAL"/>
                <w:sz w:val="16"/>
              </w:rPr>
              <w:t>(5) </w:t>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413.15</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01/13/2031</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before="0" w:after="283"/>
              <w:rPr>
                <w:sz w:val="4"/>
                <w:szCs w:val="4"/>
              </w:rPr>
            </w:pPr>
            <w:r>
              <w:rPr>
                <w:sz w:val="4"/>
                <w:szCs w:val="4"/>
              </w:rPr>
            </w:r>
          </w:p>
        </w:tc>
        <w:tc>
          <w:tcPr>
            <w:tcW w:w="94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lineRule="atLeast" w:line="240" w:before="0" w:after="0"/>
              <w:rPr/>
            </w:pPr>
            <w:r>
              <w:rPr/>
              <w:t> </w:t>
            </w:r>
          </w:p>
        </w:tc>
        <w:tc>
          <w:tcPr>
            <w:tcW w:w="959"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8,152</w:t>
            </w:r>
          </w:p>
        </w:tc>
        <w:tc>
          <w:tcPr>
            <w:tcW w:w="170" w:type="dxa"/>
            <w:tcBorders/>
            <w:shd w:fill="E5EEF8" w:val="clear"/>
            <w:vAlign w:val="center"/>
          </w:tcPr>
          <w:p>
            <w:pPr>
              <w:pStyle w:val="TableContents"/>
              <w:spacing w:lineRule="atLeast" w:line="180" w:before="0" w:after="0"/>
              <w:rPr>
                <w:rFonts w:ascii="ARIAL" w:hAnsi="ARIAL"/>
                <w:sz w:val="16"/>
              </w:rPr>
            </w:pPr>
            <w:r>
              <w:rPr>
                <w:rFonts w:ascii="ARIAL" w:hAnsi="ARIAL"/>
                <w:sz w:val="16"/>
              </w:rPr>
              <w:t>(4) </w:t>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lineRule="atLeast" w:line="240" w:before="0" w:after="0"/>
              <w:rPr/>
            </w:pPr>
            <w:r>
              <w:rPr/>
              <w:t> </w:t>
            </w:r>
          </w:p>
        </w:tc>
        <w:tc>
          <w:tcPr>
            <w:tcW w:w="596"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464.52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lineRule="atLeast" w:line="240" w:before="0" w:after="0"/>
              <w:rPr/>
            </w:pPr>
            <w:r>
              <w:rPr/>
              <w:t> </w:t>
            </w:r>
          </w:p>
        </w:tc>
        <w:tc>
          <w:tcPr>
            <w:tcW w:w="680"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01/12/2032</w:t>
            </w:r>
          </w:p>
        </w:tc>
        <w:tc>
          <w:tcPr>
            <w:tcW w:w="60" w:type="dxa"/>
            <w:tcBorders/>
            <w:shd w:fill="E5EEF8" w:val="clear"/>
            <w:vAlign w:val="center"/>
          </w:tcPr>
          <w:p>
            <w:pPr>
              <w:pStyle w:val="TableContents"/>
              <w:spacing w:lineRule="atLeast" w:line="240" w:before="0" w:after="0"/>
              <w:rPr/>
            </w:pPr>
            <w:r>
              <w:rPr/>
              <w:t> </w:t>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before="0" w:after="283"/>
              <w:rPr>
                <w:sz w:val="4"/>
                <w:szCs w:val="4"/>
              </w:rPr>
            </w:pPr>
            <w:r>
              <w:rPr>
                <w:sz w:val="4"/>
                <w:szCs w:val="4"/>
              </w:rPr>
            </w:r>
          </w:p>
        </w:tc>
        <w:tc>
          <w:tcPr>
            <w:tcW w:w="932" w:type="dxa"/>
            <w:tcBorders/>
            <w:shd w:fill="E5EEF8" w:val="clear"/>
            <w:vAlign w:val="center"/>
          </w:tcPr>
          <w:p>
            <w:pPr>
              <w:pStyle w:val="TableContents"/>
              <w:spacing w:before="0" w:after="283"/>
              <w:rPr>
                <w:sz w:val="4"/>
                <w:szCs w:val="4"/>
              </w:rPr>
            </w:pPr>
            <w:r>
              <w:rPr>
                <w:sz w:val="4"/>
                <w:szCs w:val="4"/>
              </w:rPr>
            </w:r>
          </w:p>
        </w:tc>
        <w:tc>
          <w:tcPr>
            <w:tcW w:w="2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before="0" w:after="283"/>
              <w:rPr>
                <w:sz w:val="4"/>
                <w:szCs w:val="4"/>
              </w:rPr>
            </w:pPr>
            <w:r>
              <w:rPr>
                <w:sz w:val="4"/>
                <w:szCs w:val="4"/>
              </w:rPr>
            </w:r>
          </w:p>
        </w:tc>
        <w:tc>
          <w:tcPr>
            <w:tcW w:w="1278" w:type="dxa"/>
            <w:tcBorders/>
            <w:shd w:fill="E5EEF8" w:val="clear"/>
            <w:vAlign w:val="center"/>
          </w:tcPr>
          <w:p>
            <w:pPr>
              <w:pStyle w:val="TableContents"/>
              <w:spacing w:before="0" w:after="283"/>
              <w:rPr>
                <w:sz w:val="4"/>
                <w:szCs w:val="4"/>
              </w:rPr>
            </w:pPr>
            <w:r>
              <w:rPr>
                <w:sz w:val="4"/>
                <w:szCs w:val="4"/>
              </w:rPr>
            </w:r>
          </w:p>
        </w:tc>
        <w:tc>
          <w:tcPr>
            <w:tcW w:w="75" w:type="dxa"/>
            <w:tcBorders/>
            <w:shd w:fill="E5EEF8" w:val="clear"/>
            <w:vAlign w:val="center"/>
          </w:tcPr>
          <w:p>
            <w:pPr>
              <w:pStyle w:val="TableContents"/>
              <w:spacing w:before="0" w:after="283"/>
              <w:rPr>
                <w:sz w:val="4"/>
                <w:szCs w:val="4"/>
              </w:rPr>
            </w:pPr>
            <w:r>
              <w:rPr>
                <w:sz w:val="4"/>
                <w:szCs w:val="4"/>
              </w:rPr>
            </w:r>
          </w:p>
        </w:tc>
      </w:tr>
      <w:tr>
        <w:trPr/>
        <w:tc>
          <w:tcPr>
            <w:tcW w:w="150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0" w:type="dxa"/>
            <w:tcBorders/>
            <w:shd w:fill="E5EEF8" w:val="clear"/>
            <w:vAlign w:val="center"/>
          </w:tcPr>
          <w:p>
            <w:pPr>
              <w:pStyle w:val="TableContents"/>
              <w:spacing w:before="0" w:after="283"/>
              <w:rPr>
                <w:sz w:val="4"/>
                <w:szCs w:val="4"/>
              </w:rPr>
            </w:pPr>
            <w:r>
              <w:rPr>
                <w:sz w:val="4"/>
                <w:szCs w:val="4"/>
              </w:rPr>
            </w:r>
          </w:p>
        </w:tc>
        <w:tc>
          <w:tcPr>
            <w:tcW w:w="94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11" w:type="dxa"/>
            <w:tcBorders/>
            <w:shd w:fill="E5EEF8" w:val="clear"/>
            <w:vAlign w:val="center"/>
          </w:tcPr>
          <w:p>
            <w:pPr>
              <w:pStyle w:val="TableContents"/>
              <w:spacing w:before="0" w:after="283"/>
              <w:rPr>
                <w:sz w:val="4"/>
                <w:szCs w:val="4"/>
              </w:rPr>
            </w:pPr>
            <w:r>
              <w:rPr>
                <w:sz w:val="4"/>
                <w:szCs w:val="4"/>
              </w:rPr>
            </w:r>
          </w:p>
        </w:tc>
        <w:tc>
          <w:tcPr>
            <w:tcW w:w="959" w:type="dxa"/>
            <w:tcBorders/>
            <w:shd w:fill="E5EEF8" w:val="clear"/>
            <w:vAlign w:val="center"/>
          </w:tcPr>
          <w:p>
            <w:pPr>
              <w:pStyle w:val="TableContents"/>
              <w:spacing w:before="0" w:after="283"/>
              <w:rPr>
                <w:sz w:val="4"/>
                <w:szCs w:val="4"/>
              </w:rPr>
            </w:pPr>
            <w:r>
              <w:rPr>
                <w:sz w:val="4"/>
                <w:szCs w:val="4"/>
              </w:rPr>
            </w:r>
          </w:p>
        </w:tc>
        <w:tc>
          <w:tcPr>
            <w:tcW w:w="17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9" w:type="dxa"/>
            <w:tcBorders/>
            <w:shd w:fill="E5EEF8" w:val="clear"/>
            <w:vAlign w:val="center"/>
          </w:tcPr>
          <w:p>
            <w:pPr>
              <w:pStyle w:val="TableContents"/>
              <w:spacing w:before="0" w:after="283"/>
              <w:rPr>
                <w:sz w:val="4"/>
                <w:szCs w:val="4"/>
              </w:rPr>
            </w:pPr>
            <w:r>
              <w:rPr>
                <w:sz w:val="4"/>
                <w:szCs w:val="4"/>
              </w:rPr>
            </w:r>
          </w:p>
        </w:tc>
        <w:tc>
          <w:tcPr>
            <w:tcW w:w="596"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60" w:type="dxa"/>
            <w:tcBorders/>
            <w:shd w:fill="E5EEF8" w:val="clear"/>
            <w:vAlign w:val="center"/>
          </w:tcPr>
          <w:p>
            <w:pPr>
              <w:pStyle w:val="TableContents"/>
              <w:spacing w:before="0" w:after="283"/>
              <w:rPr>
                <w:sz w:val="4"/>
                <w:szCs w:val="4"/>
              </w:rPr>
            </w:pPr>
            <w:r>
              <w:rPr>
                <w:sz w:val="4"/>
                <w:szCs w:val="4"/>
              </w:rPr>
            </w:r>
          </w:p>
        </w:tc>
        <w:tc>
          <w:tcPr>
            <w:tcW w:w="68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392" w:type="dxa"/>
            <w:tcBorders/>
            <w:shd w:fill="E5EEF8" w:val="clear"/>
            <w:vAlign w:val="center"/>
          </w:tcPr>
          <w:p>
            <w:pPr>
              <w:pStyle w:val="TableContents"/>
              <w:spacing w:before="0" w:after="283"/>
              <w:rPr>
                <w:sz w:val="4"/>
                <w:szCs w:val="4"/>
              </w:rPr>
            </w:pPr>
            <w:r>
              <w:rPr>
                <w:sz w:val="4"/>
                <w:szCs w:val="4"/>
              </w:rPr>
            </w:r>
          </w:p>
        </w:tc>
        <w:tc>
          <w:tcPr>
            <w:tcW w:w="393"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415" w:type="dxa"/>
            <w:tcBorders/>
            <w:shd w:fill="E5EEF8" w:val="clear"/>
            <w:vAlign w:val="center"/>
          </w:tcPr>
          <w:p>
            <w:pPr>
              <w:pStyle w:val="TableContents"/>
              <w:spacing w:before="0" w:after="283"/>
              <w:rPr>
                <w:sz w:val="4"/>
                <w:szCs w:val="4"/>
              </w:rPr>
            </w:pPr>
            <w:r>
              <w:rPr>
                <w:sz w:val="4"/>
                <w:szCs w:val="4"/>
              </w:rPr>
            </w:r>
          </w:p>
        </w:tc>
        <w:tc>
          <w:tcPr>
            <w:tcW w:w="415"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sz w:val="4"/>
                <w:szCs w:val="4"/>
              </w:rPr>
            </w:pPr>
            <w:r>
              <w:rPr>
                <w:sz w:val="4"/>
                <w:szCs w:val="4"/>
              </w:rPr>
            </w:r>
          </w:p>
        </w:tc>
        <w:tc>
          <w:tcPr>
            <w:tcW w:w="60" w:type="dxa"/>
            <w:tcBorders/>
            <w:shd w:fill="E5EEF8" w:val="clear"/>
            <w:vAlign w:val="center"/>
          </w:tcPr>
          <w:p>
            <w:pPr>
              <w:pStyle w:val="TableContents"/>
              <w:spacing w:before="0" w:after="283"/>
              <w:rPr/>
            </w:pPr>
            <w:r>
              <w:rPr/>
              <w:t> </w:t>
            </w:r>
          </w:p>
        </w:tc>
        <w:tc>
          <w:tcPr>
            <w:tcW w:w="108" w:type="dxa"/>
            <w:tcBorders/>
            <w:shd w:fill="E5EEF8" w:val="clear"/>
            <w:vAlign w:val="center"/>
          </w:tcPr>
          <w:p>
            <w:pPr>
              <w:pStyle w:val="TableContents"/>
              <w:spacing w:lineRule="atLeast" w:line="240" w:before="0" w:after="0"/>
              <w:rPr/>
            </w:pPr>
            <w:r>
              <w:rPr/>
              <w:t> </w:t>
            </w:r>
          </w:p>
        </w:tc>
        <w:tc>
          <w:tcPr>
            <w:tcW w:w="932"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8,558</w:t>
            </w:r>
          </w:p>
        </w:tc>
        <w:tc>
          <w:tcPr>
            <w:tcW w:w="260" w:type="dxa"/>
            <w:tcBorders/>
            <w:shd w:fill="E5EEF8" w:val="clear"/>
            <w:vAlign w:val="center"/>
          </w:tcPr>
          <w:p>
            <w:pPr>
              <w:pStyle w:val="TableContents"/>
              <w:spacing w:lineRule="atLeast" w:line="180" w:before="0" w:after="0"/>
              <w:rPr>
                <w:rFonts w:ascii="ARIAL" w:hAnsi="ARIAL"/>
                <w:sz w:val="16"/>
              </w:rPr>
            </w:pPr>
            <w:r>
              <w:rPr>
                <w:rFonts w:ascii="ARIAL" w:hAnsi="ARIAL"/>
                <w:sz w:val="16"/>
              </w:rPr>
              <w:t>(8)(10) </w:t>
            </w:r>
          </w:p>
        </w:tc>
        <w:tc>
          <w:tcPr>
            <w:tcW w:w="60" w:type="dxa"/>
            <w:tcBorders/>
            <w:shd w:fill="E5EEF8" w:val="clear"/>
            <w:vAlign w:val="center"/>
          </w:tcPr>
          <w:p>
            <w:pPr>
              <w:pStyle w:val="TableContents"/>
              <w:spacing w:before="0" w:after="283"/>
              <w:rPr/>
            </w:pPr>
            <w:r>
              <w:rPr/>
              <w:t> </w:t>
            </w:r>
          </w:p>
        </w:tc>
        <w:tc>
          <w:tcPr>
            <w:tcW w:w="92" w:type="dxa"/>
            <w:tcBorders/>
            <w:shd w:fill="E5EEF8" w:val="clear"/>
            <w:vAlign w:val="center"/>
          </w:tcPr>
          <w:p>
            <w:pPr>
              <w:pStyle w:val="TableContents"/>
              <w:spacing w:lineRule="atLeast" w:line="240" w:before="0" w:after="0"/>
              <w:rPr/>
            </w:pPr>
            <w:r>
              <w:rPr/>
              <w:t> </w:t>
            </w:r>
          </w:p>
        </w:tc>
        <w:tc>
          <w:tcPr>
            <w:tcW w:w="1278" w:type="dxa"/>
            <w:tcBorders/>
            <w:shd w:fill="E5EEF8" w:val="clear"/>
            <w:vAlign w:val="center"/>
          </w:tcPr>
          <w:p>
            <w:pPr>
              <w:pStyle w:val="TableContents"/>
              <w:spacing w:lineRule="atLeast" w:line="240" w:before="0" w:after="0"/>
              <w:jc w:val="right"/>
              <w:rPr>
                <w:rFonts w:ascii="ARIAL" w:hAnsi="ARIAL"/>
                <w:sz w:val="16"/>
              </w:rPr>
            </w:pPr>
            <w:r>
              <w:rPr>
                <w:rFonts w:ascii="ARIAL" w:hAnsi="ARIAL"/>
                <w:sz w:val="16"/>
              </w:rPr>
              <w:t>3,697,826</w:t>
            </w:r>
          </w:p>
        </w:tc>
        <w:tc>
          <w:tcPr>
            <w:tcW w:w="75" w:type="dxa"/>
            <w:tcBorders/>
            <w:shd w:fill="E5EEF8" w:val="clear"/>
            <w:vAlign w:val="center"/>
          </w:tcPr>
          <w:p>
            <w:pPr>
              <w:pStyle w:val="TableContents"/>
              <w:spacing w:lineRule="atLeast" w:line="240" w:before="0" w:after="0"/>
              <w:rPr/>
            </w:pPr>
            <w:r>
              <w:rPr/>
              <w:t> </w:t>
            </w:r>
          </w:p>
        </w:tc>
      </w:tr>
      <w:tr>
        <w:trPr/>
        <w:tc>
          <w:tcPr>
            <w:tcW w:w="1505" w:type="dxa"/>
            <w:tcBorders/>
            <w:shd w:fill="auto" w:val="clear"/>
            <w:vAlign w:val="center"/>
          </w:tcPr>
          <w:p>
            <w:pPr>
              <w:pStyle w:val="TableContents"/>
              <w:spacing w:lineRule="atLeast" w:line="240" w:before="0" w:after="0"/>
              <w:rPr/>
            </w:pPr>
            <w:r>
              <w:rPr/>
              <w:t>  </w:t>
            </w:r>
            <w:r>
              <w:rPr>
                <w:rFonts w:ascii="ARIAL" w:hAnsi="ARIAL"/>
                <w:sz w:val="16"/>
              </w:rPr>
              <w:t>Jason Conley</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lineRule="atLeast" w:line="240" w:before="0" w:after="0"/>
              <w:rPr/>
            </w:pPr>
            <w:r>
              <w:rPr/>
              <w:t> </w:t>
            </w:r>
          </w:p>
        </w:tc>
        <w:tc>
          <w:tcPr>
            <w:tcW w:w="94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5,000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59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134.23</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03/11/2024</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lineRule="atLeast" w:line="240" w:before="0" w:after="0"/>
              <w:rPr/>
            </w:pPr>
            <w:r>
              <w:rPr/>
              <w:t> </w:t>
            </w:r>
          </w:p>
        </w:tc>
        <w:tc>
          <w:tcPr>
            <w:tcW w:w="94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6,000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59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165.97</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03/11/2025</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lineRule="atLeast" w:line="240" w:before="0" w:after="0"/>
              <w:rPr/>
            </w:pPr>
            <w:r>
              <w:rPr/>
              <w:t> </w:t>
            </w:r>
          </w:p>
        </w:tc>
        <w:tc>
          <w:tcPr>
            <w:tcW w:w="94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6,000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59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170.61</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03/09/2026</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lineRule="atLeast" w:line="240" w:before="0" w:after="0"/>
              <w:rPr/>
            </w:pPr>
            <w:r>
              <w:rPr/>
              <w:t> </w:t>
            </w:r>
          </w:p>
        </w:tc>
        <w:tc>
          <w:tcPr>
            <w:tcW w:w="94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10,000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59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185.42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01/19/2027</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lineRule="atLeast" w:line="240" w:before="0" w:after="0"/>
              <w:rPr/>
            </w:pPr>
            <w:r>
              <w:rPr/>
              <w:t> </w:t>
            </w:r>
          </w:p>
        </w:tc>
        <w:tc>
          <w:tcPr>
            <w:tcW w:w="94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12,000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59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275.69</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01/19/2028</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lineRule="atLeast" w:line="240" w:before="0" w:after="0"/>
              <w:rPr/>
            </w:pPr>
            <w:r>
              <w:rPr/>
              <w:t> </w:t>
            </w:r>
          </w:p>
        </w:tc>
        <w:tc>
          <w:tcPr>
            <w:tcW w:w="94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14,300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59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270.30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01/15/2029</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lineRule="atLeast" w:line="240" w:before="0" w:after="0"/>
              <w:rPr/>
            </w:pPr>
            <w:r>
              <w:rPr/>
              <w:t> </w:t>
            </w:r>
          </w:p>
        </w:tc>
        <w:tc>
          <w:tcPr>
            <w:tcW w:w="94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5,539</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lineRule="atLeast" w:line="240" w:before="0" w:after="0"/>
              <w:rPr/>
            </w:pPr>
            <w:r>
              <w:rPr/>
              <w:t> </w:t>
            </w:r>
          </w:p>
        </w:tc>
        <w:tc>
          <w:tcPr>
            <w:tcW w:w="95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5,539</w:t>
            </w:r>
          </w:p>
        </w:tc>
        <w:tc>
          <w:tcPr>
            <w:tcW w:w="170" w:type="dxa"/>
            <w:tcBorders/>
            <w:shd w:fill="auto" w:val="clear"/>
            <w:vAlign w:val="center"/>
          </w:tcPr>
          <w:p>
            <w:pPr>
              <w:pStyle w:val="TableContents"/>
              <w:spacing w:lineRule="atLeast" w:line="180" w:before="0" w:after="0"/>
              <w:rPr>
                <w:rFonts w:ascii="ARIAL" w:hAnsi="ARIAL"/>
                <w:sz w:val="16"/>
              </w:rPr>
            </w:pPr>
            <w:r>
              <w:rPr>
                <w:rFonts w:ascii="ARIAL" w:hAnsi="ARIAL"/>
                <w:sz w:val="16"/>
              </w:rPr>
              <w:t>(2)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59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372.60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01/14/2030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lineRule="atLeast" w:line="240" w:before="0" w:after="0"/>
              <w:rPr/>
            </w:pPr>
            <w:r>
              <w:rPr/>
              <w:t> </w:t>
            </w:r>
          </w:p>
        </w:tc>
        <w:tc>
          <w:tcPr>
            <w:tcW w:w="95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9,111</w:t>
            </w:r>
          </w:p>
        </w:tc>
        <w:tc>
          <w:tcPr>
            <w:tcW w:w="170" w:type="dxa"/>
            <w:tcBorders/>
            <w:shd w:fill="auto" w:val="clear"/>
            <w:vAlign w:val="center"/>
          </w:tcPr>
          <w:p>
            <w:pPr>
              <w:pStyle w:val="TableContents"/>
              <w:spacing w:lineRule="atLeast" w:line="180" w:before="0" w:after="0"/>
              <w:rPr>
                <w:rFonts w:ascii="ARIAL" w:hAnsi="ARIAL"/>
                <w:sz w:val="16"/>
              </w:rPr>
            </w:pPr>
            <w:r>
              <w:rPr>
                <w:rFonts w:ascii="ARIAL" w:hAnsi="ARIAL"/>
                <w:sz w:val="16"/>
              </w:rPr>
              <w:t>(5)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59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413.15</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01/13/2021</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lineRule="atLeast" w:line="240" w:before="0" w:after="0"/>
              <w:rPr/>
            </w:pPr>
            <w:r>
              <w:rPr/>
              <w:t> </w:t>
            </w:r>
          </w:p>
        </w:tc>
        <w:tc>
          <w:tcPr>
            <w:tcW w:w="95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7,753</w:t>
            </w:r>
          </w:p>
        </w:tc>
        <w:tc>
          <w:tcPr>
            <w:tcW w:w="170" w:type="dxa"/>
            <w:tcBorders/>
            <w:shd w:fill="auto" w:val="clear"/>
            <w:vAlign w:val="center"/>
          </w:tcPr>
          <w:p>
            <w:pPr>
              <w:pStyle w:val="TableContents"/>
              <w:spacing w:lineRule="atLeast" w:line="180" w:before="0" w:after="0"/>
              <w:rPr>
                <w:rFonts w:ascii="ARIAL" w:hAnsi="ARIAL"/>
                <w:sz w:val="16"/>
              </w:rPr>
            </w:pPr>
            <w:r>
              <w:rPr>
                <w:rFonts w:ascii="ARIAL" w:hAnsi="ARIAL"/>
                <w:sz w:val="16"/>
              </w:rPr>
              <w:t>(4)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59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464.52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01/12/2032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lineRule="atLeast" w:line="240" w:before="0" w:after="0"/>
              <w:rPr/>
            </w:pPr>
            <w:r>
              <w:rPr/>
              <w:t> </w:t>
            </w:r>
          </w:p>
        </w:tc>
        <w:tc>
          <w:tcPr>
            <w:tcW w:w="93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8,587</w:t>
            </w:r>
          </w:p>
        </w:tc>
        <w:tc>
          <w:tcPr>
            <w:tcW w:w="260" w:type="dxa"/>
            <w:tcBorders/>
            <w:shd w:fill="auto" w:val="clear"/>
            <w:vAlign w:val="center"/>
          </w:tcPr>
          <w:p>
            <w:pPr>
              <w:pStyle w:val="TableContents"/>
              <w:spacing w:lineRule="atLeast" w:line="180" w:before="0" w:after="0"/>
              <w:rPr>
                <w:rFonts w:ascii="ARIAL" w:hAnsi="ARIAL"/>
                <w:sz w:val="16"/>
              </w:rPr>
            </w:pPr>
            <w:r>
              <w:rPr>
                <w:rFonts w:ascii="ARIAL" w:hAnsi="ARIAL"/>
                <w:sz w:val="16"/>
              </w:rPr>
              <w:t>(9)(10)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lineRule="atLeast" w:line="240" w:before="0" w:after="0"/>
              <w:rPr/>
            </w:pPr>
            <w:r>
              <w:rPr/>
              <w:t> </w:t>
            </w:r>
          </w:p>
        </w:tc>
        <w:tc>
          <w:tcPr>
            <w:tcW w:w="1278"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3,710,357</w:t>
            </w:r>
          </w:p>
        </w:tc>
        <w:tc>
          <w:tcPr>
            <w:tcW w:w="75" w:type="dxa"/>
            <w:tcBorders/>
            <w:shd w:fill="auto" w:val="clear"/>
            <w:vAlign w:val="center"/>
          </w:tcPr>
          <w:p>
            <w:pPr>
              <w:pStyle w:val="TableContents"/>
              <w:spacing w:lineRule="atLeast" w:line="240" w:before="0" w:after="0"/>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40"/>
        <w:gridCol w:w="9865"/>
      </w:tblGrid>
      <w:tr>
        <w:trPr/>
        <w:tc>
          <w:tcPr>
            <w:tcW w:w="340" w:type="dxa"/>
            <w:tcBorders/>
            <w:shd w:fill="auto" w:val="clear"/>
            <w:vAlign w:val="center"/>
          </w:tcPr>
          <w:p>
            <w:pPr>
              <w:pStyle w:val="TableContents"/>
              <w:spacing w:before="0" w:after="283"/>
              <w:jc w:val="left"/>
              <w:rPr/>
            </w:pPr>
            <w:r>
              <w:rPr/>
              <w:t>(1) </w:t>
            </w:r>
          </w:p>
        </w:tc>
        <w:tc>
          <w:tcPr>
            <w:tcW w:w="9865" w:type="dxa"/>
            <w:tcBorders/>
            <w:shd w:fill="auto" w:val="clear"/>
            <w:vAlign w:val="center"/>
          </w:tcPr>
          <w:p>
            <w:pPr>
              <w:pStyle w:val="TableContents"/>
              <w:spacing w:before="0" w:after="0"/>
              <w:jc w:val="left"/>
              <w:rPr>
                <w:rFonts w:ascii="ARIAL" w:hAnsi="ARIAL"/>
                <w:sz w:val="16"/>
              </w:rPr>
            </w:pPr>
            <w:r>
              <w:rPr>
                <w:rFonts w:ascii="ARIAL" w:hAnsi="ARIAL"/>
                <w:sz w:val="16"/>
              </w:rPr>
              <w:t xml:space="preserve">Calculated by multiplying $432.09, the closing market price of our common stock on December 30, 2022, by the number of restricted shares that have not vested. </w:t>
            </w:r>
          </w:p>
        </w:tc>
      </w:tr>
    </w:tbl>
    <w:p>
      <w:pPr>
        <w:pStyle w:val="TextBody"/>
        <w:spacing w:before="0" w:after="0"/>
        <w:jc w:val="left"/>
        <w:rPr/>
      </w:pPr>
      <w:r>
        <w:rPr/>
        <w:t> </w:t>
      </w:r>
    </w:p>
    <w:tbl>
      <w:tblPr>
        <w:tblW w:w="8305" w:type="dxa"/>
        <w:jc w:val="left"/>
        <w:tblInd w:w="0" w:type="dxa"/>
        <w:tblCellMar>
          <w:top w:w="0" w:type="dxa"/>
          <w:left w:w="0" w:type="dxa"/>
          <w:bottom w:w="0" w:type="dxa"/>
          <w:right w:w="0" w:type="dxa"/>
        </w:tblCellMar>
      </w:tblPr>
      <w:tblGrid>
        <w:gridCol w:w="365"/>
        <w:gridCol w:w="7940"/>
      </w:tblGrid>
      <w:tr>
        <w:trPr/>
        <w:tc>
          <w:tcPr>
            <w:tcW w:w="365" w:type="dxa"/>
            <w:tcBorders/>
            <w:shd w:fill="auto" w:val="clear"/>
            <w:vAlign w:val="center"/>
          </w:tcPr>
          <w:p>
            <w:pPr>
              <w:pStyle w:val="TableContents"/>
              <w:spacing w:before="0" w:after="283"/>
              <w:jc w:val="left"/>
              <w:rPr/>
            </w:pPr>
            <w:r>
              <w:rPr/>
              <w:t>(2) </w:t>
            </w:r>
          </w:p>
        </w:tc>
        <w:tc>
          <w:tcPr>
            <w:tcW w:w="7940"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These stock options were granted on January 14, 2020, with unexercisable shares vesting in January 2023. </w:t>
            </w:r>
          </w:p>
        </w:tc>
      </w:tr>
    </w:tbl>
    <w:p>
      <w:pPr>
        <w:pStyle w:val="TextBody"/>
        <w:spacing w:before="0" w:after="0"/>
        <w:jc w:val="left"/>
        <w:rPr/>
      </w:pPr>
      <w:r>
        <w:rPr/>
        <w:t> </w:t>
      </w:r>
    </w:p>
    <w:tbl>
      <w:tblPr>
        <w:tblW w:w="8260" w:type="dxa"/>
        <w:jc w:val="left"/>
        <w:tblInd w:w="0" w:type="dxa"/>
        <w:tblCellMar>
          <w:top w:w="0" w:type="dxa"/>
          <w:left w:w="0" w:type="dxa"/>
          <w:bottom w:w="0" w:type="dxa"/>
          <w:right w:w="0" w:type="dxa"/>
        </w:tblCellMar>
      </w:tblPr>
      <w:tblGrid>
        <w:gridCol w:w="365"/>
        <w:gridCol w:w="7895"/>
      </w:tblGrid>
      <w:tr>
        <w:trPr/>
        <w:tc>
          <w:tcPr>
            <w:tcW w:w="365" w:type="dxa"/>
            <w:tcBorders/>
            <w:shd w:fill="auto" w:val="clear"/>
            <w:vAlign w:val="center"/>
          </w:tcPr>
          <w:p>
            <w:pPr>
              <w:pStyle w:val="TableContents"/>
              <w:spacing w:before="0" w:after="283"/>
              <w:jc w:val="left"/>
              <w:rPr/>
            </w:pPr>
            <w:r>
              <w:rPr/>
              <w:t>(3) </w:t>
            </w:r>
          </w:p>
        </w:tc>
        <w:tc>
          <w:tcPr>
            <w:tcW w:w="7895"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These stock options were granted on January 13, 2021 with unexercisable shares vesting in January 2024. </w:t>
            </w:r>
          </w:p>
        </w:tc>
      </w:tr>
    </w:tbl>
    <w:p>
      <w:pPr>
        <w:pStyle w:val="TextBody"/>
        <w:spacing w:before="0" w:after="0"/>
        <w:jc w:val="left"/>
        <w:rPr/>
      </w:pPr>
      <w:r>
        <w:rPr/>
        <w:t> </w:t>
      </w:r>
    </w:p>
    <w:tbl>
      <w:tblPr>
        <w:tblW w:w="8260" w:type="dxa"/>
        <w:jc w:val="left"/>
        <w:tblInd w:w="0" w:type="dxa"/>
        <w:tblCellMar>
          <w:top w:w="0" w:type="dxa"/>
          <w:left w:w="0" w:type="dxa"/>
          <w:bottom w:w="0" w:type="dxa"/>
          <w:right w:w="0" w:type="dxa"/>
        </w:tblCellMar>
      </w:tblPr>
      <w:tblGrid>
        <w:gridCol w:w="365"/>
        <w:gridCol w:w="7895"/>
      </w:tblGrid>
      <w:tr>
        <w:trPr/>
        <w:tc>
          <w:tcPr>
            <w:tcW w:w="365" w:type="dxa"/>
            <w:tcBorders/>
            <w:shd w:fill="auto" w:val="clear"/>
            <w:vAlign w:val="center"/>
          </w:tcPr>
          <w:p>
            <w:pPr>
              <w:pStyle w:val="TableContents"/>
              <w:spacing w:before="0" w:after="283"/>
              <w:jc w:val="left"/>
              <w:rPr/>
            </w:pPr>
            <w:r>
              <w:rPr/>
              <w:t>(4) </w:t>
            </w:r>
          </w:p>
        </w:tc>
        <w:tc>
          <w:tcPr>
            <w:tcW w:w="7895"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These stock options were granted on January 12, 2022 with unexercisable shares vesting in January 2025. </w:t>
            </w:r>
          </w:p>
        </w:tc>
      </w:tr>
    </w:tbl>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44</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4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6" descr=""/>
                          <pic:cNvPicPr>
                            <a:picLocks noChangeAspect="1" noChangeArrowheads="1"/>
                          </pic:cNvPicPr>
                        </pic:nvPicPr>
                        <pic:blipFill>
                          <a:blip r:embed="rId97"/>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EXECUTIVE COMPENSATION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56"/>
        <w:gridCol w:w="9849"/>
      </w:tblGrid>
      <w:tr>
        <w:trPr/>
        <w:tc>
          <w:tcPr>
            <w:tcW w:w="356" w:type="dxa"/>
            <w:tcBorders/>
            <w:shd w:fill="auto" w:val="clear"/>
            <w:vAlign w:val="center"/>
          </w:tcPr>
          <w:p>
            <w:pPr>
              <w:pStyle w:val="TableContents"/>
              <w:spacing w:before="0" w:after="283"/>
              <w:jc w:val="left"/>
              <w:rPr/>
            </w:pPr>
            <w:r>
              <w:rPr/>
              <w:t>(5) </w:t>
            </w:r>
          </w:p>
        </w:tc>
        <w:tc>
          <w:tcPr>
            <w:tcW w:w="9849"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These stock options were granted on January 14, 2021 with unexercisable shares vesting in two equal installments in January 2023 and 2024.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jc w:val="left"/>
              <w:rPr/>
            </w:pPr>
            <w:r>
              <w:rPr/>
              <w:t>(6)</w:t>
            </w:r>
          </w:p>
        </w:tc>
        <w:tc>
          <w:tcPr>
            <w:tcW w:w="9925" w:type="dxa"/>
            <w:tcBorders/>
            <w:shd w:fill="auto" w:val="clear"/>
            <w:vAlign w:val="center"/>
          </w:tcPr>
          <w:p>
            <w:pPr>
              <w:pStyle w:val="TableContents"/>
              <w:spacing w:before="0" w:after="0"/>
              <w:jc w:val="left"/>
              <w:rPr>
                <w:rFonts w:ascii="ARIAL" w:hAnsi="ARIAL"/>
                <w:sz w:val="16"/>
              </w:rPr>
            </w:pPr>
            <w:r>
              <w:rPr>
                <w:rFonts w:ascii="ARIAL" w:hAnsi="ARIAL"/>
                <w:sz w:val="16"/>
              </w:rPr>
              <w:t xml:space="preserve">This represents multiple restricted stock awards with the remaining shares of each grant vesting, subject to certification that applicable Company performance conditions have been met, as follows: </w:t>
            </w:r>
          </w:p>
        </w:tc>
      </w:tr>
    </w:tbl>
    <w:p>
      <w:pPr>
        <w:pStyle w:val="TextBody"/>
        <w:spacing w:before="0" w:after="0"/>
        <w:jc w:val="left"/>
        <w:rPr/>
      </w:pPr>
      <w:r>
        <w:rPr/>
        <w:t> </w:t>
      </w:r>
    </w:p>
    <w:tbl>
      <w:tblPr>
        <w:tblW w:w="6280" w:type="dxa"/>
        <w:jc w:val="left"/>
        <w:tblInd w:w="0" w:type="dxa"/>
        <w:tblCellMar>
          <w:top w:w="0" w:type="dxa"/>
          <w:left w:w="0" w:type="dxa"/>
          <w:bottom w:w="0" w:type="dxa"/>
          <w:right w:w="0" w:type="dxa"/>
        </w:tblCellMar>
      </w:tblPr>
      <w:tblGrid>
        <w:gridCol w:w="75"/>
        <w:gridCol w:w="305"/>
        <w:gridCol w:w="5900"/>
      </w:tblGrid>
      <w:tr>
        <w:trPr/>
        <w:tc>
          <w:tcPr>
            <w:tcW w:w="75"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jc w:val="left"/>
              <w:rPr/>
            </w:pPr>
            <w:r>
              <w:rPr/>
              <w:t>(I) </w:t>
            </w:r>
          </w:p>
        </w:tc>
        <w:tc>
          <w:tcPr>
            <w:tcW w:w="5900" w:type="dxa"/>
            <w:tcBorders/>
            <w:shd w:fill="auto" w:val="clear"/>
            <w:vAlign w:val="center"/>
          </w:tcPr>
          <w:p>
            <w:pPr>
              <w:pStyle w:val="TableContents"/>
              <w:spacing w:before="0" w:after="0"/>
              <w:jc w:val="left"/>
              <w:rPr>
                <w:rFonts w:ascii="ARIAL" w:hAnsi="ARIAL"/>
                <w:sz w:val="16"/>
              </w:rPr>
            </w:pPr>
            <w:r>
              <w:rPr>
                <w:rFonts w:ascii="ARIAL" w:hAnsi="ARIAL"/>
                <w:sz w:val="16"/>
              </w:rPr>
              <w:t xml:space="preserve">31,336 shares granted on January 13, 2021 and vesting in November 2023; and </w:t>
            </w:r>
          </w:p>
        </w:tc>
      </w:tr>
    </w:tbl>
    <w:p>
      <w:pPr>
        <w:pStyle w:val="TextBody"/>
        <w:spacing w:before="0" w:after="0"/>
        <w:jc w:val="left"/>
        <w:rPr/>
      </w:pPr>
      <w:r>
        <w:rPr/>
        <w:t> </w:t>
      </w:r>
    </w:p>
    <w:tbl>
      <w:tblPr>
        <w:tblW w:w="6040" w:type="dxa"/>
        <w:jc w:val="left"/>
        <w:tblInd w:w="0" w:type="dxa"/>
        <w:tblCellMar>
          <w:top w:w="0" w:type="dxa"/>
          <w:left w:w="0" w:type="dxa"/>
          <w:bottom w:w="0" w:type="dxa"/>
          <w:right w:w="0" w:type="dxa"/>
        </w:tblCellMar>
      </w:tblPr>
      <w:tblGrid>
        <w:gridCol w:w="75"/>
        <w:gridCol w:w="380"/>
        <w:gridCol w:w="5585"/>
      </w:tblGrid>
      <w:tr>
        <w:trPr/>
        <w:tc>
          <w:tcPr>
            <w:tcW w:w="7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left"/>
              <w:rPr/>
            </w:pPr>
            <w:r>
              <w:rPr/>
              <w:t>(II) </w:t>
            </w:r>
          </w:p>
        </w:tc>
        <w:tc>
          <w:tcPr>
            <w:tcW w:w="5585" w:type="dxa"/>
            <w:tcBorders/>
            <w:shd w:fill="auto" w:val="clear"/>
            <w:vAlign w:val="center"/>
          </w:tcPr>
          <w:p>
            <w:pPr>
              <w:pStyle w:val="TableContents"/>
              <w:spacing w:before="0" w:after="0"/>
              <w:jc w:val="left"/>
              <w:rPr>
                <w:rFonts w:ascii="ARIAL" w:hAnsi="ARIAL"/>
                <w:sz w:val="16"/>
              </w:rPr>
            </w:pPr>
            <w:r>
              <w:rPr>
                <w:rFonts w:ascii="ARIAL" w:hAnsi="ARIAL"/>
                <w:sz w:val="16"/>
              </w:rPr>
              <w:t xml:space="preserve">29,403 shares granted on January 12, 2022 and vesting in November 2024.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vAlign w:val="center"/>
          </w:tcPr>
          <w:p>
            <w:pPr>
              <w:pStyle w:val="TableContents"/>
              <w:spacing w:before="0" w:after="283"/>
              <w:jc w:val="left"/>
              <w:rPr/>
            </w:pPr>
            <w:r>
              <w:rPr/>
              <w:t>(7) </w:t>
            </w:r>
          </w:p>
        </w:tc>
        <w:tc>
          <w:tcPr>
            <w:tcW w:w="9885" w:type="dxa"/>
            <w:tcBorders/>
            <w:shd w:fill="auto" w:val="clear"/>
            <w:vAlign w:val="center"/>
          </w:tcPr>
          <w:p>
            <w:pPr>
              <w:pStyle w:val="TableContents"/>
              <w:spacing w:before="0" w:after="0"/>
              <w:jc w:val="left"/>
              <w:rPr>
                <w:rFonts w:ascii="ARIAL" w:hAnsi="ARIAL"/>
                <w:sz w:val="16"/>
              </w:rPr>
            </w:pPr>
            <w:r>
              <w:rPr>
                <w:rFonts w:ascii="ARIAL" w:hAnsi="ARIAL"/>
                <w:sz w:val="16"/>
              </w:rPr>
              <w:t xml:space="preserve">This represents multiple restricted stock awards with the remaining shares of each grant vesting, subject to certification that applicable Company performance conditions have been met, as follows: </w:t>
            </w:r>
          </w:p>
        </w:tc>
      </w:tr>
    </w:tbl>
    <w:p>
      <w:pPr>
        <w:pStyle w:val="TextBody"/>
        <w:spacing w:before="0" w:after="0"/>
        <w:jc w:val="left"/>
        <w:rPr/>
      </w:pPr>
      <w:r>
        <w:rPr/>
        <w:t> </w:t>
      </w:r>
    </w:p>
    <w:tbl>
      <w:tblPr>
        <w:tblW w:w="8320" w:type="dxa"/>
        <w:jc w:val="left"/>
        <w:tblInd w:w="0" w:type="dxa"/>
        <w:tblCellMar>
          <w:top w:w="0" w:type="dxa"/>
          <w:left w:w="0" w:type="dxa"/>
          <w:bottom w:w="0" w:type="dxa"/>
          <w:right w:w="0" w:type="dxa"/>
        </w:tblCellMar>
      </w:tblPr>
      <w:tblGrid>
        <w:gridCol w:w="75"/>
        <w:gridCol w:w="305"/>
        <w:gridCol w:w="7940"/>
      </w:tblGrid>
      <w:tr>
        <w:trPr/>
        <w:tc>
          <w:tcPr>
            <w:tcW w:w="75"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jc w:val="left"/>
              <w:rPr/>
            </w:pPr>
            <w:r>
              <w:rPr/>
              <w:t>(I) </w:t>
            </w:r>
          </w:p>
        </w:tc>
        <w:tc>
          <w:tcPr>
            <w:tcW w:w="7940" w:type="dxa"/>
            <w:tcBorders/>
            <w:shd w:fill="auto" w:val="clear"/>
            <w:vAlign w:val="center"/>
          </w:tcPr>
          <w:p>
            <w:pPr>
              <w:pStyle w:val="TableContents"/>
              <w:spacing w:before="0" w:after="0"/>
              <w:jc w:val="left"/>
              <w:rPr>
                <w:rFonts w:ascii="ARIAL" w:hAnsi="ARIAL"/>
                <w:sz w:val="16"/>
              </w:rPr>
            </w:pPr>
            <w:r>
              <w:rPr>
                <w:rFonts w:ascii="ARIAL" w:hAnsi="ARIAL"/>
                <w:sz w:val="16"/>
              </w:rPr>
              <w:t xml:space="preserve">4,957 shares remaining from 9,914 shares granted on January 13, 2021 and vesting in November 2023; and </w:t>
            </w:r>
          </w:p>
        </w:tc>
      </w:tr>
    </w:tbl>
    <w:p>
      <w:pPr>
        <w:pStyle w:val="TextBody"/>
        <w:spacing w:before="0" w:after="0"/>
        <w:jc w:val="left"/>
        <w:rPr/>
      </w:pPr>
      <w:r>
        <w:rPr/>
        <w:t> </w:t>
      </w:r>
    </w:p>
    <w:tbl>
      <w:tblPr>
        <w:tblW w:w="5950" w:type="dxa"/>
        <w:jc w:val="left"/>
        <w:tblInd w:w="0" w:type="dxa"/>
        <w:tblCellMar>
          <w:top w:w="0" w:type="dxa"/>
          <w:left w:w="0" w:type="dxa"/>
          <w:bottom w:w="0" w:type="dxa"/>
          <w:right w:w="0" w:type="dxa"/>
        </w:tblCellMar>
      </w:tblPr>
      <w:tblGrid>
        <w:gridCol w:w="75"/>
        <w:gridCol w:w="380"/>
        <w:gridCol w:w="5495"/>
      </w:tblGrid>
      <w:tr>
        <w:trPr/>
        <w:tc>
          <w:tcPr>
            <w:tcW w:w="7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left"/>
              <w:rPr/>
            </w:pPr>
            <w:r>
              <w:rPr/>
              <w:t>(II) </w:t>
            </w:r>
          </w:p>
        </w:tc>
        <w:tc>
          <w:tcPr>
            <w:tcW w:w="5495" w:type="dxa"/>
            <w:tcBorders/>
            <w:shd w:fill="auto" w:val="clear"/>
            <w:vAlign w:val="center"/>
          </w:tcPr>
          <w:p>
            <w:pPr>
              <w:pStyle w:val="TableContents"/>
              <w:spacing w:before="0" w:after="0"/>
              <w:jc w:val="left"/>
              <w:rPr>
                <w:rFonts w:ascii="ARIAL" w:hAnsi="ARIAL"/>
                <w:sz w:val="16"/>
              </w:rPr>
            </w:pPr>
            <w:r>
              <w:rPr>
                <w:rFonts w:ascii="ARIAL" w:hAnsi="ARIAL"/>
                <w:sz w:val="16"/>
              </w:rPr>
              <w:t xml:space="preserve">9,310 shares granted on January 12, 2022 and vesting in November 2024.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vAlign w:val="center"/>
          </w:tcPr>
          <w:p>
            <w:pPr>
              <w:pStyle w:val="TableContents"/>
              <w:spacing w:before="0" w:after="283"/>
              <w:jc w:val="left"/>
              <w:rPr/>
            </w:pPr>
            <w:r>
              <w:rPr/>
              <w:t>(8) </w:t>
            </w:r>
          </w:p>
        </w:tc>
        <w:tc>
          <w:tcPr>
            <w:tcW w:w="9885" w:type="dxa"/>
            <w:tcBorders/>
            <w:shd w:fill="auto" w:val="clear"/>
            <w:vAlign w:val="center"/>
          </w:tcPr>
          <w:p>
            <w:pPr>
              <w:pStyle w:val="TableContents"/>
              <w:spacing w:before="0" w:after="0"/>
              <w:jc w:val="left"/>
              <w:rPr>
                <w:rFonts w:ascii="ARIAL" w:hAnsi="ARIAL"/>
                <w:sz w:val="16"/>
              </w:rPr>
            </w:pPr>
            <w:r>
              <w:rPr>
                <w:rFonts w:ascii="ARIAL" w:hAnsi="ARIAL"/>
                <w:sz w:val="16"/>
              </w:rPr>
              <w:t xml:space="preserve">This represents multiple restricted stock awards with the remaining shares of each grant vesting, subject to certification that applicable Company performance conditions have been met, as follows: </w:t>
            </w:r>
          </w:p>
        </w:tc>
      </w:tr>
    </w:tbl>
    <w:p>
      <w:pPr>
        <w:pStyle w:val="TextBody"/>
        <w:spacing w:before="0" w:after="0"/>
        <w:jc w:val="left"/>
        <w:rPr/>
      </w:pPr>
      <w:r>
        <w:rPr/>
        <w:t> </w:t>
      </w:r>
    </w:p>
    <w:tbl>
      <w:tblPr>
        <w:tblW w:w="8320" w:type="dxa"/>
        <w:jc w:val="left"/>
        <w:tblInd w:w="0" w:type="dxa"/>
        <w:tblCellMar>
          <w:top w:w="0" w:type="dxa"/>
          <w:left w:w="0" w:type="dxa"/>
          <w:bottom w:w="0" w:type="dxa"/>
          <w:right w:w="0" w:type="dxa"/>
        </w:tblCellMar>
      </w:tblPr>
      <w:tblGrid>
        <w:gridCol w:w="75"/>
        <w:gridCol w:w="305"/>
        <w:gridCol w:w="7940"/>
      </w:tblGrid>
      <w:tr>
        <w:trPr/>
        <w:tc>
          <w:tcPr>
            <w:tcW w:w="75"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jc w:val="left"/>
              <w:rPr/>
            </w:pPr>
            <w:r>
              <w:rPr/>
              <w:t>(I) </w:t>
            </w:r>
          </w:p>
        </w:tc>
        <w:tc>
          <w:tcPr>
            <w:tcW w:w="7940" w:type="dxa"/>
            <w:tcBorders/>
            <w:shd w:fill="auto" w:val="clear"/>
            <w:vAlign w:val="center"/>
          </w:tcPr>
          <w:p>
            <w:pPr>
              <w:pStyle w:val="TableContents"/>
              <w:spacing w:before="0" w:after="0"/>
              <w:jc w:val="left"/>
              <w:rPr>
                <w:rFonts w:ascii="ARIAL" w:hAnsi="ARIAL"/>
                <w:sz w:val="16"/>
              </w:rPr>
            </w:pPr>
            <w:r>
              <w:rPr>
                <w:rFonts w:ascii="ARIAL" w:hAnsi="ARIAL"/>
                <w:sz w:val="16"/>
              </w:rPr>
              <w:t xml:space="preserve">2,951 shares remaining from 5,901 shares granted on January 13, 2021 and vesting in November 2023; and </w:t>
            </w:r>
          </w:p>
        </w:tc>
      </w:tr>
    </w:tbl>
    <w:p>
      <w:pPr>
        <w:pStyle w:val="TextBody"/>
        <w:spacing w:before="0" w:after="0"/>
        <w:jc w:val="left"/>
        <w:rPr/>
      </w:pPr>
      <w:r>
        <w:rPr/>
        <w:t> </w:t>
      </w:r>
    </w:p>
    <w:tbl>
      <w:tblPr>
        <w:tblW w:w="5950" w:type="dxa"/>
        <w:jc w:val="left"/>
        <w:tblInd w:w="0" w:type="dxa"/>
        <w:tblCellMar>
          <w:top w:w="0" w:type="dxa"/>
          <w:left w:w="0" w:type="dxa"/>
          <w:bottom w:w="0" w:type="dxa"/>
          <w:right w:w="0" w:type="dxa"/>
        </w:tblCellMar>
      </w:tblPr>
      <w:tblGrid>
        <w:gridCol w:w="75"/>
        <w:gridCol w:w="380"/>
        <w:gridCol w:w="5495"/>
      </w:tblGrid>
      <w:tr>
        <w:trPr/>
        <w:tc>
          <w:tcPr>
            <w:tcW w:w="7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left"/>
              <w:rPr/>
            </w:pPr>
            <w:r>
              <w:rPr/>
              <w:t>(II) </w:t>
            </w:r>
          </w:p>
        </w:tc>
        <w:tc>
          <w:tcPr>
            <w:tcW w:w="5495" w:type="dxa"/>
            <w:tcBorders/>
            <w:shd w:fill="auto" w:val="clear"/>
            <w:vAlign w:val="center"/>
          </w:tcPr>
          <w:p>
            <w:pPr>
              <w:pStyle w:val="TableContents"/>
              <w:spacing w:before="0" w:after="0"/>
              <w:jc w:val="left"/>
              <w:rPr>
                <w:rFonts w:ascii="ARIAL" w:hAnsi="ARIAL"/>
                <w:sz w:val="16"/>
              </w:rPr>
            </w:pPr>
            <w:r>
              <w:rPr>
                <w:rFonts w:ascii="ARIAL" w:hAnsi="ARIAL"/>
                <w:sz w:val="16"/>
              </w:rPr>
              <w:t xml:space="preserve">5,607 shares granted on January 12, 2022 and vesting in November 2024.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vAlign w:val="center"/>
          </w:tcPr>
          <w:p>
            <w:pPr>
              <w:pStyle w:val="TableContents"/>
              <w:spacing w:before="0" w:after="283"/>
              <w:jc w:val="left"/>
              <w:rPr/>
            </w:pPr>
            <w:r>
              <w:rPr/>
              <w:t>(9) </w:t>
            </w:r>
          </w:p>
        </w:tc>
        <w:tc>
          <w:tcPr>
            <w:tcW w:w="9885" w:type="dxa"/>
            <w:tcBorders/>
            <w:shd w:fill="auto" w:val="clear"/>
            <w:vAlign w:val="center"/>
          </w:tcPr>
          <w:p>
            <w:pPr>
              <w:pStyle w:val="TableContents"/>
              <w:spacing w:before="0" w:after="0"/>
              <w:jc w:val="left"/>
              <w:rPr>
                <w:rFonts w:ascii="ARIAL" w:hAnsi="ARIAL"/>
                <w:sz w:val="16"/>
              </w:rPr>
            </w:pPr>
            <w:r>
              <w:rPr>
                <w:rFonts w:ascii="ARIAL" w:hAnsi="ARIAL"/>
                <w:sz w:val="16"/>
              </w:rPr>
              <w:t xml:space="preserve">This represents multiple restricted stock awards with the remaining shares of each grant vesting, subject to certification that applicable Company performance conditions have been met, as follows: </w:t>
            </w:r>
          </w:p>
        </w:tc>
      </w:tr>
    </w:tbl>
    <w:p>
      <w:pPr>
        <w:pStyle w:val="TextBody"/>
        <w:spacing w:before="0" w:after="0"/>
        <w:jc w:val="left"/>
        <w:rPr/>
      </w:pPr>
      <w:r>
        <w:rPr/>
        <w:t> </w:t>
      </w:r>
    </w:p>
    <w:tbl>
      <w:tblPr>
        <w:tblW w:w="8320" w:type="dxa"/>
        <w:jc w:val="left"/>
        <w:tblInd w:w="0" w:type="dxa"/>
        <w:tblCellMar>
          <w:top w:w="0" w:type="dxa"/>
          <w:left w:w="0" w:type="dxa"/>
          <w:bottom w:w="0" w:type="dxa"/>
          <w:right w:w="0" w:type="dxa"/>
        </w:tblCellMar>
      </w:tblPr>
      <w:tblGrid>
        <w:gridCol w:w="75"/>
        <w:gridCol w:w="305"/>
        <w:gridCol w:w="7940"/>
      </w:tblGrid>
      <w:tr>
        <w:trPr/>
        <w:tc>
          <w:tcPr>
            <w:tcW w:w="75"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jc w:val="left"/>
              <w:rPr/>
            </w:pPr>
            <w:r>
              <w:rPr/>
              <w:t>(I) </w:t>
            </w:r>
          </w:p>
        </w:tc>
        <w:tc>
          <w:tcPr>
            <w:tcW w:w="7940" w:type="dxa"/>
            <w:tcBorders/>
            <w:shd w:fill="auto" w:val="clear"/>
            <w:vAlign w:val="center"/>
          </w:tcPr>
          <w:p>
            <w:pPr>
              <w:pStyle w:val="TableContents"/>
              <w:spacing w:before="0" w:after="0"/>
              <w:jc w:val="left"/>
              <w:rPr>
                <w:rFonts w:ascii="ARIAL" w:hAnsi="ARIAL"/>
                <w:sz w:val="16"/>
              </w:rPr>
            </w:pPr>
            <w:r>
              <w:rPr>
                <w:rFonts w:ascii="ARIAL" w:hAnsi="ARIAL"/>
                <w:sz w:val="16"/>
              </w:rPr>
              <w:t xml:space="preserve">2,980 shares remaining from 5,960 shares granted on January 13, 2021 and vesting in November 2023; and </w:t>
            </w:r>
          </w:p>
        </w:tc>
      </w:tr>
    </w:tbl>
    <w:p>
      <w:pPr>
        <w:pStyle w:val="TextBody"/>
        <w:spacing w:before="0" w:after="0"/>
        <w:jc w:val="left"/>
        <w:rPr/>
      </w:pPr>
      <w:r>
        <w:rPr/>
        <w:t> </w:t>
      </w:r>
    </w:p>
    <w:tbl>
      <w:tblPr>
        <w:tblW w:w="5950" w:type="dxa"/>
        <w:jc w:val="left"/>
        <w:tblInd w:w="0" w:type="dxa"/>
        <w:tblCellMar>
          <w:top w:w="0" w:type="dxa"/>
          <w:left w:w="0" w:type="dxa"/>
          <w:bottom w:w="0" w:type="dxa"/>
          <w:right w:w="0" w:type="dxa"/>
        </w:tblCellMar>
      </w:tblPr>
      <w:tblGrid>
        <w:gridCol w:w="75"/>
        <w:gridCol w:w="380"/>
        <w:gridCol w:w="5495"/>
      </w:tblGrid>
      <w:tr>
        <w:trPr/>
        <w:tc>
          <w:tcPr>
            <w:tcW w:w="7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left"/>
              <w:rPr/>
            </w:pPr>
            <w:r>
              <w:rPr/>
              <w:t>(II) </w:t>
            </w:r>
          </w:p>
        </w:tc>
        <w:tc>
          <w:tcPr>
            <w:tcW w:w="5495" w:type="dxa"/>
            <w:tcBorders/>
            <w:shd w:fill="auto" w:val="clear"/>
            <w:vAlign w:val="center"/>
          </w:tcPr>
          <w:p>
            <w:pPr>
              <w:pStyle w:val="TableContents"/>
              <w:spacing w:before="0" w:after="0"/>
              <w:jc w:val="left"/>
              <w:rPr>
                <w:rFonts w:ascii="ARIAL" w:hAnsi="ARIAL"/>
                <w:sz w:val="16"/>
              </w:rPr>
            </w:pPr>
            <w:r>
              <w:rPr>
                <w:rFonts w:ascii="ARIAL" w:hAnsi="ARIAL"/>
                <w:sz w:val="16"/>
              </w:rPr>
              <w:t xml:space="preserve">5,607 shares granted on January 12, 2022 and vesting in November 2024.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59"/>
        <w:gridCol w:w="9746"/>
      </w:tblGrid>
      <w:tr>
        <w:trPr/>
        <w:tc>
          <w:tcPr>
            <w:tcW w:w="459" w:type="dxa"/>
            <w:tcBorders/>
            <w:shd w:fill="auto" w:val="clear"/>
            <w:vAlign w:val="center"/>
          </w:tcPr>
          <w:p>
            <w:pPr>
              <w:pStyle w:val="TableContents"/>
              <w:spacing w:before="0" w:after="283"/>
              <w:jc w:val="left"/>
              <w:rPr/>
            </w:pPr>
            <w:r>
              <w:rPr/>
              <w:t>(10) </w:t>
            </w:r>
          </w:p>
        </w:tc>
        <w:tc>
          <w:tcPr>
            <w:tcW w:w="9746" w:type="dxa"/>
            <w:tcBorders/>
            <w:shd w:fill="auto" w:val="clear"/>
            <w:vAlign w:val="center"/>
          </w:tcPr>
          <w:p>
            <w:pPr>
              <w:pStyle w:val="TableContents"/>
              <w:spacing w:before="0" w:after="0"/>
              <w:jc w:val="left"/>
              <w:rPr>
                <w:rFonts w:ascii="ARIAL" w:hAnsi="ARIAL"/>
                <w:sz w:val="16"/>
              </w:rPr>
            </w:pPr>
            <w:r>
              <w:rPr>
                <w:rFonts w:ascii="ARIAL" w:hAnsi="ARIAL"/>
                <w:sz w:val="16"/>
              </w:rPr>
              <w:t xml:space="preserve">For all restricted stock awards granted, the vesting only occurs if the Compensation Committee certifies our Company’s attainment of related performance goals. </w:t>
            </w:r>
          </w:p>
        </w:tc>
      </w:tr>
    </w:tbl>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42"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7" descr=""/>
                          <pic:cNvPicPr>
                            <a:picLocks noChangeAspect="1" noChangeArrowheads="1"/>
                          </pic:cNvPicPr>
                        </pic:nvPicPr>
                        <pic:blipFill>
                          <a:blip r:embed="rId98"/>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45</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20"/>
        </w:rPr>
      </w:pPr>
      <w:r>
        <w:rPr>
          <w:rFonts w:ascii="ARIAL" w:hAnsi="ARIAL"/>
          <w:color w:val="005CB9"/>
          <w:sz w:val="20"/>
        </w:rPr>
        <w:t xml:space="preserve">EXECUTIVE COMPENSATION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120" w:after="0"/>
        <w:jc w:val="left"/>
        <w:rPr>
          <w:rFonts w:ascii="ARIAL" w:hAnsi="ARIAL"/>
          <w:b/>
          <w:i/>
          <w:sz w:val="20"/>
        </w:rPr>
      </w:pPr>
      <w:bookmarkStart w:id="27" w:name="toc356364_24"/>
      <w:bookmarkEnd w:id="27"/>
      <w:r>
        <w:rPr>
          <w:rFonts w:ascii="ARIAL" w:hAnsi="ARIAL"/>
          <w:b/>
          <w:i/>
          <w:sz w:val="20"/>
        </w:rPr>
        <w:t xml:space="preserve">2022 Option Exercises and Stock Vested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60"/>
        <w:gridCol w:w="120"/>
        <w:gridCol w:w="183"/>
        <w:gridCol w:w="1847"/>
        <w:gridCol w:w="60"/>
        <w:gridCol w:w="120"/>
        <w:gridCol w:w="133"/>
        <w:gridCol w:w="1942"/>
        <w:gridCol w:w="60"/>
        <w:gridCol w:w="120"/>
        <w:gridCol w:w="183"/>
        <w:gridCol w:w="1847"/>
        <w:gridCol w:w="60"/>
        <w:gridCol w:w="120"/>
        <w:gridCol w:w="102"/>
        <w:gridCol w:w="1673"/>
        <w:gridCol w:w="75"/>
      </w:tblGrid>
      <w:tr>
        <w:trPr/>
        <w:tc>
          <w:tcPr>
            <w:tcW w:w="15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9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60" w:type="dxa"/>
            <w:vMerge w:val="restart"/>
            <w:tcBorders/>
            <w:shd w:fill="005CB9" w:val="clear"/>
            <w:vAlign w:val="center"/>
          </w:tcPr>
          <w:p>
            <w:pPr>
              <w:pStyle w:val="TableContents"/>
              <w:spacing w:before="0" w:after="283"/>
              <w:rPr>
                <w:color w:val="FFFFFF"/>
              </w:rPr>
            </w:pPr>
            <w:r>
              <w:rPr>
                <w:color w:val="FFFFFF"/>
              </w:rPr>
              <w:t>  </w:t>
            </w:r>
            <w:r>
              <w:rPr>
                <w:color w:val="FFFFFF"/>
              </w:rPr>
              <w:t>Name</w:t>
            </w:r>
          </w:p>
        </w:tc>
        <w:tc>
          <w:tcPr>
            <w:tcW w:w="120" w:type="dxa"/>
            <w:tcBorders/>
            <w:shd w:fill="005CB9" w:val="clear"/>
            <w:vAlign w:val="center"/>
          </w:tcPr>
          <w:p>
            <w:pPr>
              <w:pStyle w:val="TableContents"/>
              <w:spacing w:before="0" w:after="283"/>
              <w:rPr/>
            </w:pPr>
            <w:r>
              <w:rPr/>
              <w:t>  </w:t>
            </w:r>
          </w:p>
        </w:tc>
        <w:tc>
          <w:tcPr>
            <w:tcW w:w="4285" w:type="dxa"/>
            <w:gridSpan w:val="6"/>
            <w:tcBorders>
              <w:bottom w:val="single" w:sz="2" w:space="0" w:color="FFFFFF"/>
            </w:tcBorders>
            <w:shd w:fill="005CB9" w:val="clear"/>
            <w:tcMar>
              <w:bottom w:w="28" w:type="dxa"/>
            </w:tcMar>
            <w:vAlign w:val="center"/>
          </w:tcPr>
          <w:p>
            <w:pPr>
              <w:pStyle w:val="TableContents"/>
              <w:spacing w:before="0" w:after="283"/>
              <w:jc w:val="center"/>
              <w:rPr>
                <w:color w:val="FFFFFF"/>
              </w:rPr>
            </w:pPr>
            <w:r>
              <w:rPr>
                <w:color w:val="FFFFFF"/>
              </w:rPr>
              <w:t>Option Awards</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3985" w:type="dxa"/>
            <w:gridSpan w:val="6"/>
            <w:tcBorders>
              <w:bottom w:val="single" w:sz="2" w:space="0" w:color="FFFFFF"/>
            </w:tcBorders>
            <w:shd w:fill="005CB9" w:val="clear"/>
            <w:tcMar>
              <w:bottom w:w="28" w:type="dxa"/>
            </w:tcMar>
            <w:vAlign w:val="center"/>
          </w:tcPr>
          <w:p>
            <w:pPr>
              <w:pStyle w:val="TableContents"/>
              <w:spacing w:before="0" w:after="283"/>
              <w:jc w:val="center"/>
              <w:rPr>
                <w:color w:val="FFFFFF"/>
              </w:rPr>
            </w:pPr>
            <w:r>
              <w:rPr>
                <w:color w:val="FFFFFF"/>
              </w:rPr>
              <w:t>Stock Awards</w:t>
            </w:r>
          </w:p>
        </w:tc>
        <w:tc>
          <w:tcPr>
            <w:tcW w:w="7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r>
      <w:tr>
        <w:trPr/>
        <w:tc>
          <w:tcPr>
            <w:tcW w:w="1560" w:type="dxa"/>
            <w:vMerge w:val="continue"/>
            <w:tcBorders/>
            <w:shd w:fill="005CB9" w:val="clear"/>
            <w:vAlign w:val="center"/>
          </w:tcPr>
          <w:p>
            <w:pPr>
              <w:pStyle w:val="Normal"/>
              <w:rPr/>
            </w:pPr>
            <w:r>
              <w:rPr/>
            </w:r>
          </w:p>
        </w:tc>
        <w:tc>
          <w:tcPr>
            <w:tcW w:w="120" w:type="dxa"/>
            <w:tcBorders/>
            <w:shd w:fill="005CB9" w:val="clear"/>
            <w:vAlign w:val="center"/>
          </w:tcPr>
          <w:p>
            <w:pPr>
              <w:pStyle w:val="TableContents"/>
              <w:spacing w:before="0" w:after="283"/>
              <w:rPr/>
            </w:pPr>
            <w:r>
              <w:rPr/>
              <w:t>  </w:t>
            </w:r>
          </w:p>
        </w:tc>
        <w:tc>
          <w:tcPr>
            <w:tcW w:w="2030" w:type="dxa"/>
            <w:gridSpan w:val="2"/>
            <w:tcBorders/>
            <w:shd w:fill="005CB9" w:val="clear"/>
            <w:vAlign w:val="center"/>
          </w:tcPr>
          <w:p>
            <w:pPr>
              <w:pStyle w:val="TableContents"/>
              <w:spacing w:before="0" w:after="283"/>
              <w:jc w:val="right"/>
              <w:rPr>
                <w:color w:val="FFFFFF"/>
              </w:rPr>
            </w:pPr>
            <w:r>
              <w:rPr>
                <w:color w:val="FFFFFF"/>
              </w:rPr>
              <w:t># of Shares Acquired</w:t>
              <w:br/>
              <w:t>on Exercise</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2075" w:type="dxa"/>
            <w:gridSpan w:val="2"/>
            <w:tcBorders/>
            <w:shd w:fill="005CB9" w:val="clear"/>
            <w:vAlign w:val="center"/>
          </w:tcPr>
          <w:p>
            <w:pPr>
              <w:pStyle w:val="TableContents"/>
              <w:spacing w:before="0" w:after="283"/>
              <w:jc w:val="right"/>
              <w:rPr>
                <w:color w:val="FFFFFF"/>
              </w:rPr>
            </w:pPr>
            <w:r>
              <w:rPr>
                <w:color w:val="FFFFFF"/>
              </w:rPr>
              <w:t>Value Realized Upon</w:t>
              <w:br/>
              <w:t>Exercise ($)</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2030" w:type="dxa"/>
            <w:gridSpan w:val="2"/>
            <w:tcBorders/>
            <w:shd w:fill="005CB9" w:val="clear"/>
            <w:vAlign w:val="center"/>
          </w:tcPr>
          <w:p>
            <w:pPr>
              <w:pStyle w:val="TableContents"/>
              <w:spacing w:before="0" w:after="283"/>
              <w:jc w:val="right"/>
              <w:rPr>
                <w:color w:val="FFFFFF"/>
              </w:rPr>
            </w:pPr>
            <w:r>
              <w:rPr>
                <w:color w:val="FFFFFF"/>
              </w:rPr>
              <w:t># of Shares Acquired</w:t>
              <w:br/>
              <w:t>on Vesting</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1775" w:type="dxa"/>
            <w:gridSpan w:val="2"/>
            <w:tcBorders/>
            <w:shd w:fill="005CB9" w:val="clear"/>
            <w:vAlign w:val="center"/>
          </w:tcPr>
          <w:p>
            <w:pPr>
              <w:pStyle w:val="TableContents"/>
              <w:spacing w:before="0" w:after="283"/>
              <w:jc w:val="right"/>
              <w:rPr>
                <w:color w:val="FFFFFF"/>
              </w:rPr>
            </w:pPr>
            <w:r>
              <w:rPr>
                <w:color w:val="FFFFFF"/>
              </w:rPr>
              <w:t>Value Realized on</w:t>
              <w:br/>
              <w:t>Vesting ($)</w:t>
            </w:r>
          </w:p>
        </w:tc>
        <w:tc>
          <w:tcPr>
            <w:tcW w:w="75" w:type="dxa"/>
            <w:tcBorders/>
            <w:shd w:fill="005CB9" w:val="clear"/>
            <w:vAlign w:val="center"/>
          </w:tcPr>
          <w:p>
            <w:pPr>
              <w:pStyle w:val="TableContents"/>
              <w:spacing w:before="0" w:after="283"/>
              <w:rPr/>
            </w:pPr>
            <w:r>
              <w:rPr/>
              <w:t> </w:t>
            </w:r>
          </w:p>
        </w:tc>
      </w:tr>
      <w:tr>
        <w:trPr/>
        <w:tc>
          <w:tcPr>
            <w:tcW w:w="1560" w:type="dxa"/>
            <w:tcBorders/>
            <w:shd w:fill="CCDEF1" w:val="clear"/>
            <w:vAlign w:val="center"/>
          </w:tcPr>
          <w:p>
            <w:pPr>
              <w:pStyle w:val="TableContents"/>
              <w:spacing w:before="0" w:after="283"/>
              <w:rPr>
                <w:sz w:val="4"/>
                <w:szCs w:val="4"/>
              </w:rPr>
            </w:pPr>
            <w:r>
              <w:rPr>
                <w:sz w:val="4"/>
                <w:szCs w:val="4"/>
              </w:rPr>
            </w:r>
          </w:p>
        </w:tc>
        <w:tc>
          <w:tcPr>
            <w:tcW w:w="2210" w:type="dxa"/>
            <w:gridSpan w:val="4"/>
            <w:tcBorders/>
            <w:shd w:fill="CCDEF1" w:val="clear"/>
            <w:vAlign w:val="center"/>
          </w:tcPr>
          <w:p>
            <w:pPr>
              <w:pStyle w:val="TableContents"/>
              <w:spacing w:before="0" w:after="283"/>
              <w:rPr>
                <w:sz w:val="4"/>
                <w:szCs w:val="4"/>
              </w:rPr>
            </w:pPr>
            <w:r>
              <w:rPr>
                <w:sz w:val="4"/>
                <w:szCs w:val="4"/>
              </w:rPr>
            </w:r>
          </w:p>
        </w:tc>
        <w:tc>
          <w:tcPr>
            <w:tcW w:w="2255" w:type="dxa"/>
            <w:gridSpan w:val="4"/>
            <w:tcBorders/>
            <w:shd w:fill="CCDEF1" w:val="clear"/>
            <w:vAlign w:val="center"/>
          </w:tcPr>
          <w:p>
            <w:pPr>
              <w:pStyle w:val="TableContents"/>
              <w:spacing w:before="0" w:after="283"/>
              <w:rPr>
                <w:sz w:val="4"/>
                <w:szCs w:val="4"/>
              </w:rPr>
            </w:pPr>
            <w:r>
              <w:rPr>
                <w:sz w:val="4"/>
                <w:szCs w:val="4"/>
              </w:rPr>
            </w:r>
          </w:p>
        </w:tc>
        <w:tc>
          <w:tcPr>
            <w:tcW w:w="2210" w:type="dxa"/>
            <w:gridSpan w:val="4"/>
            <w:tcBorders/>
            <w:shd w:fill="CCDEF1" w:val="clear"/>
            <w:vAlign w:val="center"/>
          </w:tcPr>
          <w:p>
            <w:pPr>
              <w:pStyle w:val="TableContents"/>
              <w:spacing w:before="0" w:after="283"/>
              <w:rPr>
                <w:sz w:val="4"/>
                <w:szCs w:val="4"/>
              </w:rPr>
            </w:pPr>
            <w:r>
              <w:rPr>
                <w:sz w:val="4"/>
                <w:szCs w:val="4"/>
              </w:rPr>
            </w:r>
          </w:p>
        </w:tc>
        <w:tc>
          <w:tcPr>
            <w:tcW w:w="1970" w:type="dxa"/>
            <w:gridSpan w:val="4"/>
            <w:tcBorders/>
            <w:shd w:fill="CCDEF1" w:val="clear"/>
            <w:vAlign w:val="center"/>
          </w:tcPr>
          <w:p>
            <w:pPr>
              <w:pStyle w:val="TableContents"/>
              <w:spacing w:before="0" w:after="283"/>
              <w:rPr>
                <w:sz w:val="4"/>
                <w:szCs w:val="4"/>
              </w:rPr>
            </w:pPr>
            <w:r>
              <w:rPr>
                <w:sz w:val="4"/>
                <w:szCs w:val="4"/>
              </w:rPr>
            </w:r>
          </w:p>
        </w:tc>
      </w:tr>
      <w:tr>
        <w:trPr/>
        <w:tc>
          <w:tcPr>
            <w:tcW w:w="1560" w:type="dxa"/>
            <w:tcBorders/>
            <w:shd w:fill="CCDEF1" w:val="clear"/>
            <w:vAlign w:val="center"/>
          </w:tcPr>
          <w:p>
            <w:pPr>
              <w:pStyle w:val="TableContents"/>
              <w:spacing w:lineRule="atLeast" w:line="260" w:before="0" w:after="0"/>
              <w:rPr/>
            </w:pPr>
            <w:r>
              <w:rPr/>
              <w:t>  </w:t>
            </w:r>
            <w:r>
              <w:rPr>
                <w:rFonts w:ascii="ARIAL" w:hAnsi="ARIAL"/>
                <w:sz w:val="19"/>
              </w:rPr>
              <w:t>L. Neil Hunn</w:t>
            </w:r>
          </w:p>
        </w:tc>
        <w:tc>
          <w:tcPr>
            <w:tcW w:w="120" w:type="dxa"/>
            <w:tcBorders/>
            <w:shd w:fill="CCDEF1" w:val="clear"/>
            <w:vAlign w:val="center"/>
          </w:tcPr>
          <w:p>
            <w:pPr>
              <w:pStyle w:val="TableContents"/>
              <w:spacing w:before="0" w:after="283"/>
              <w:rPr/>
            </w:pPr>
            <w:r>
              <w:rPr/>
              <w:t>  </w:t>
            </w:r>
          </w:p>
        </w:tc>
        <w:tc>
          <w:tcPr>
            <w:tcW w:w="183" w:type="dxa"/>
            <w:tcBorders/>
            <w:shd w:fill="CCDEF1" w:val="clear"/>
            <w:vAlign w:val="center"/>
          </w:tcPr>
          <w:p>
            <w:pPr>
              <w:pStyle w:val="TableContents"/>
              <w:spacing w:lineRule="atLeast" w:line="260" w:before="0" w:after="0"/>
              <w:rPr/>
            </w:pPr>
            <w:r>
              <w:rPr/>
              <w:t> </w:t>
            </w:r>
          </w:p>
        </w:tc>
        <w:tc>
          <w:tcPr>
            <w:tcW w:w="1847"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120" w:type="dxa"/>
            <w:tcBorders/>
            <w:shd w:fill="CCDEF1" w:val="clear"/>
            <w:vAlign w:val="center"/>
          </w:tcPr>
          <w:p>
            <w:pPr>
              <w:pStyle w:val="TableContents"/>
              <w:spacing w:before="0" w:after="283"/>
              <w:rPr/>
            </w:pPr>
            <w:r>
              <w:rPr/>
              <w:t>  </w:t>
            </w:r>
          </w:p>
        </w:tc>
        <w:tc>
          <w:tcPr>
            <w:tcW w:w="133" w:type="dxa"/>
            <w:tcBorders/>
            <w:shd w:fill="CCDEF1" w:val="clear"/>
            <w:vAlign w:val="center"/>
          </w:tcPr>
          <w:p>
            <w:pPr>
              <w:pStyle w:val="TableContents"/>
              <w:spacing w:lineRule="atLeast" w:line="260" w:before="0" w:after="0"/>
              <w:rPr/>
            </w:pPr>
            <w:r>
              <w:rPr/>
              <w:t> </w:t>
            </w:r>
          </w:p>
        </w:tc>
        <w:tc>
          <w:tcPr>
            <w:tcW w:w="1942"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120" w:type="dxa"/>
            <w:tcBorders/>
            <w:shd w:fill="CCDEF1" w:val="clear"/>
            <w:vAlign w:val="center"/>
          </w:tcPr>
          <w:p>
            <w:pPr>
              <w:pStyle w:val="TableContents"/>
              <w:spacing w:before="0" w:after="283"/>
              <w:rPr/>
            </w:pPr>
            <w:r>
              <w:rPr/>
              <w:t>  </w:t>
            </w:r>
          </w:p>
        </w:tc>
        <w:tc>
          <w:tcPr>
            <w:tcW w:w="183" w:type="dxa"/>
            <w:tcBorders/>
            <w:shd w:fill="CCDEF1" w:val="clear"/>
            <w:vAlign w:val="center"/>
          </w:tcPr>
          <w:p>
            <w:pPr>
              <w:pStyle w:val="TableContents"/>
              <w:spacing w:lineRule="atLeast" w:line="260" w:before="0" w:after="0"/>
              <w:rPr/>
            </w:pPr>
            <w:r>
              <w:rPr/>
              <w:t> </w:t>
            </w:r>
          </w:p>
        </w:tc>
        <w:tc>
          <w:tcPr>
            <w:tcW w:w="1847"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35,136</w:t>
            </w:r>
          </w:p>
        </w:tc>
        <w:tc>
          <w:tcPr>
            <w:tcW w:w="60" w:type="dxa"/>
            <w:tcBorders/>
            <w:shd w:fill="CCDEF1" w:val="clear"/>
            <w:vAlign w:val="center"/>
          </w:tcPr>
          <w:p>
            <w:pPr>
              <w:pStyle w:val="TableContents"/>
              <w:spacing w:lineRule="atLeast" w:line="260" w:before="0" w:after="0"/>
              <w:rPr/>
            </w:pPr>
            <w:r>
              <w:rPr/>
              <w:t> </w:t>
            </w:r>
          </w:p>
        </w:tc>
        <w:tc>
          <w:tcPr>
            <w:tcW w:w="120" w:type="dxa"/>
            <w:tcBorders/>
            <w:shd w:fill="CCDEF1" w:val="clear"/>
            <w:vAlign w:val="center"/>
          </w:tcPr>
          <w:p>
            <w:pPr>
              <w:pStyle w:val="TableContents"/>
              <w:spacing w:before="0" w:after="283"/>
              <w:rPr/>
            </w:pPr>
            <w:r>
              <w:rPr/>
              <w:t>  </w:t>
            </w:r>
          </w:p>
        </w:tc>
        <w:tc>
          <w:tcPr>
            <w:tcW w:w="102" w:type="dxa"/>
            <w:tcBorders/>
            <w:shd w:fill="CCDEF1" w:val="clear"/>
            <w:vAlign w:val="center"/>
          </w:tcPr>
          <w:p>
            <w:pPr>
              <w:pStyle w:val="TableContents"/>
              <w:spacing w:lineRule="atLeast" w:line="260" w:before="0" w:after="0"/>
              <w:rPr/>
            </w:pPr>
            <w:r>
              <w:rPr/>
              <w:t> </w:t>
            </w:r>
          </w:p>
        </w:tc>
        <w:tc>
          <w:tcPr>
            <w:tcW w:w="1673"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15,404,676</w:t>
            </w:r>
          </w:p>
        </w:tc>
        <w:tc>
          <w:tcPr>
            <w:tcW w:w="75" w:type="dxa"/>
            <w:tcBorders/>
            <w:shd w:fill="CCDEF1" w:val="clear"/>
            <w:vAlign w:val="center"/>
          </w:tcPr>
          <w:p>
            <w:pPr>
              <w:pStyle w:val="TableContents"/>
              <w:spacing w:lineRule="atLeast" w:line="260" w:before="0" w:after="0"/>
              <w:rPr/>
            </w:pPr>
            <w:r>
              <w:rPr/>
              <w:t> </w:t>
            </w:r>
          </w:p>
        </w:tc>
      </w:tr>
      <w:tr>
        <w:trPr/>
        <w:tc>
          <w:tcPr>
            <w:tcW w:w="1560" w:type="dxa"/>
            <w:tcBorders/>
            <w:shd w:fill="auto" w:val="clear"/>
            <w:vAlign w:val="center"/>
          </w:tcPr>
          <w:p>
            <w:pPr>
              <w:pStyle w:val="TableContents"/>
              <w:spacing w:before="0" w:after="283"/>
              <w:rPr>
                <w:sz w:val="4"/>
                <w:szCs w:val="4"/>
              </w:rPr>
            </w:pPr>
            <w:r>
              <w:rPr>
                <w:sz w:val="4"/>
                <w:szCs w:val="4"/>
              </w:rPr>
            </w:r>
          </w:p>
        </w:tc>
        <w:tc>
          <w:tcPr>
            <w:tcW w:w="2210" w:type="dxa"/>
            <w:gridSpan w:val="4"/>
            <w:tcBorders/>
            <w:shd w:fill="auto" w:val="clear"/>
            <w:vAlign w:val="center"/>
          </w:tcPr>
          <w:p>
            <w:pPr>
              <w:pStyle w:val="TableContents"/>
              <w:spacing w:before="0" w:after="283"/>
              <w:rPr>
                <w:sz w:val="4"/>
                <w:szCs w:val="4"/>
              </w:rPr>
            </w:pPr>
            <w:r>
              <w:rPr>
                <w:sz w:val="4"/>
                <w:szCs w:val="4"/>
              </w:rPr>
            </w:r>
          </w:p>
        </w:tc>
        <w:tc>
          <w:tcPr>
            <w:tcW w:w="2255" w:type="dxa"/>
            <w:gridSpan w:val="4"/>
            <w:tcBorders/>
            <w:shd w:fill="auto" w:val="clear"/>
            <w:vAlign w:val="center"/>
          </w:tcPr>
          <w:p>
            <w:pPr>
              <w:pStyle w:val="TableContents"/>
              <w:spacing w:before="0" w:after="283"/>
              <w:rPr>
                <w:sz w:val="4"/>
                <w:szCs w:val="4"/>
              </w:rPr>
            </w:pPr>
            <w:r>
              <w:rPr>
                <w:sz w:val="4"/>
                <w:szCs w:val="4"/>
              </w:rPr>
            </w:r>
          </w:p>
        </w:tc>
        <w:tc>
          <w:tcPr>
            <w:tcW w:w="2210" w:type="dxa"/>
            <w:gridSpan w:val="4"/>
            <w:tcBorders/>
            <w:shd w:fill="auto" w:val="clear"/>
            <w:vAlign w:val="center"/>
          </w:tcPr>
          <w:p>
            <w:pPr>
              <w:pStyle w:val="TableContents"/>
              <w:spacing w:before="0" w:after="283"/>
              <w:rPr>
                <w:sz w:val="4"/>
                <w:szCs w:val="4"/>
              </w:rPr>
            </w:pPr>
            <w:r>
              <w:rPr>
                <w:sz w:val="4"/>
                <w:szCs w:val="4"/>
              </w:rPr>
            </w:r>
          </w:p>
        </w:tc>
        <w:tc>
          <w:tcPr>
            <w:tcW w:w="1970" w:type="dxa"/>
            <w:gridSpan w:val="4"/>
            <w:tcBorders/>
            <w:shd w:fill="auto" w:val="clear"/>
            <w:vAlign w:val="center"/>
          </w:tcPr>
          <w:p>
            <w:pPr>
              <w:pStyle w:val="TableContents"/>
              <w:spacing w:before="0" w:after="283"/>
              <w:rPr>
                <w:sz w:val="4"/>
                <w:szCs w:val="4"/>
              </w:rPr>
            </w:pPr>
            <w:r>
              <w:rPr>
                <w:sz w:val="4"/>
                <w:szCs w:val="4"/>
              </w:rPr>
            </w:r>
          </w:p>
        </w:tc>
      </w:tr>
      <w:tr>
        <w:trPr/>
        <w:tc>
          <w:tcPr>
            <w:tcW w:w="1560" w:type="dxa"/>
            <w:tcBorders/>
            <w:shd w:fill="auto" w:val="clear"/>
            <w:vAlign w:val="center"/>
          </w:tcPr>
          <w:p>
            <w:pPr>
              <w:pStyle w:val="TableContents"/>
              <w:spacing w:lineRule="atLeast" w:line="260" w:before="0" w:after="0"/>
              <w:rPr/>
            </w:pPr>
            <w:r>
              <w:rPr/>
              <w:t>  </w:t>
            </w:r>
            <w:r>
              <w:rPr>
                <w:rFonts w:ascii="ARIAL" w:hAnsi="ARIAL"/>
                <w:sz w:val="19"/>
              </w:rPr>
              <w:t>Robert C. Crisci</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lineRule="atLeast" w:line="260" w:before="0" w:after="0"/>
              <w:rPr/>
            </w:pPr>
            <w:r>
              <w:rPr/>
              <w:t> </w:t>
            </w:r>
          </w:p>
        </w:tc>
        <w:tc>
          <w:tcPr>
            <w:tcW w:w="1847"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32,000</w:t>
            </w:r>
          </w:p>
        </w:tc>
        <w:tc>
          <w:tcPr>
            <w:tcW w:w="60" w:type="dxa"/>
            <w:tcBorders/>
            <w:shd w:fill="auto" w:val="clear"/>
            <w:vAlign w:val="center"/>
          </w:tcPr>
          <w:p>
            <w:pPr>
              <w:pStyle w:val="TableContents"/>
              <w:spacing w:lineRule="atLeast" w:line="260" w:before="0" w:after="0"/>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lineRule="atLeast" w:line="260" w:before="0" w:after="0"/>
              <w:rPr/>
            </w:pPr>
            <w:r>
              <w:rPr/>
              <w:t> </w:t>
            </w:r>
          </w:p>
        </w:tc>
        <w:tc>
          <w:tcPr>
            <w:tcW w:w="1942"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7,644,622</w:t>
            </w:r>
          </w:p>
        </w:tc>
        <w:tc>
          <w:tcPr>
            <w:tcW w:w="60" w:type="dxa"/>
            <w:tcBorders/>
            <w:shd w:fill="auto" w:val="clear"/>
            <w:vAlign w:val="center"/>
          </w:tcPr>
          <w:p>
            <w:pPr>
              <w:pStyle w:val="TableContents"/>
              <w:spacing w:lineRule="atLeast" w:line="260" w:before="0" w:after="0"/>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lineRule="atLeast" w:line="260" w:before="0" w:after="0"/>
              <w:rPr/>
            </w:pPr>
            <w:r>
              <w:rPr/>
              <w:t> </w:t>
            </w:r>
          </w:p>
        </w:tc>
        <w:tc>
          <w:tcPr>
            <w:tcW w:w="1847"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10,469</w:t>
            </w:r>
          </w:p>
        </w:tc>
        <w:tc>
          <w:tcPr>
            <w:tcW w:w="60" w:type="dxa"/>
            <w:tcBorders/>
            <w:shd w:fill="auto" w:val="clear"/>
            <w:vAlign w:val="center"/>
          </w:tcPr>
          <w:p>
            <w:pPr>
              <w:pStyle w:val="TableContents"/>
              <w:spacing w:lineRule="atLeast" w:line="260" w:before="0" w:after="0"/>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lineRule="atLeast" w:line="260" w:before="0" w:after="0"/>
              <w:rPr/>
            </w:pPr>
            <w:r>
              <w:rPr/>
              <w:t> </w:t>
            </w:r>
          </w:p>
        </w:tc>
        <w:tc>
          <w:tcPr>
            <w:tcW w:w="1673"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4,589,924</w:t>
            </w:r>
          </w:p>
        </w:tc>
        <w:tc>
          <w:tcPr>
            <w:tcW w:w="75" w:type="dxa"/>
            <w:tcBorders/>
            <w:shd w:fill="auto" w:val="clear"/>
            <w:vAlign w:val="center"/>
          </w:tcPr>
          <w:p>
            <w:pPr>
              <w:pStyle w:val="TableContents"/>
              <w:spacing w:lineRule="atLeast" w:line="260" w:before="0" w:after="0"/>
              <w:rPr/>
            </w:pPr>
            <w:r>
              <w:rPr/>
              <w:t> </w:t>
            </w:r>
          </w:p>
        </w:tc>
      </w:tr>
      <w:tr>
        <w:trPr/>
        <w:tc>
          <w:tcPr>
            <w:tcW w:w="1560" w:type="dxa"/>
            <w:tcBorders/>
            <w:shd w:fill="CCDEF1" w:val="clear"/>
            <w:vAlign w:val="center"/>
          </w:tcPr>
          <w:p>
            <w:pPr>
              <w:pStyle w:val="TableContents"/>
              <w:spacing w:before="0" w:after="283"/>
              <w:rPr>
                <w:sz w:val="4"/>
                <w:szCs w:val="4"/>
              </w:rPr>
            </w:pPr>
            <w:r>
              <w:rPr>
                <w:sz w:val="4"/>
                <w:szCs w:val="4"/>
              </w:rPr>
            </w:r>
          </w:p>
        </w:tc>
        <w:tc>
          <w:tcPr>
            <w:tcW w:w="2210" w:type="dxa"/>
            <w:gridSpan w:val="4"/>
            <w:tcBorders/>
            <w:shd w:fill="CCDEF1" w:val="clear"/>
            <w:vAlign w:val="center"/>
          </w:tcPr>
          <w:p>
            <w:pPr>
              <w:pStyle w:val="TableContents"/>
              <w:spacing w:before="0" w:after="283"/>
              <w:rPr>
                <w:sz w:val="4"/>
                <w:szCs w:val="4"/>
              </w:rPr>
            </w:pPr>
            <w:r>
              <w:rPr>
                <w:sz w:val="4"/>
                <w:szCs w:val="4"/>
              </w:rPr>
            </w:r>
          </w:p>
        </w:tc>
        <w:tc>
          <w:tcPr>
            <w:tcW w:w="2255" w:type="dxa"/>
            <w:gridSpan w:val="4"/>
            <w:tcBorders/>
            <w:shd w:fill="CCDEF1" w:val="clear"/>
            <w:vAlign w:val="center"/>
          </w:tcPr>
          <w:p>
            <w:pPr>
              <w:pStyle w:val="TableContents"/>
              <w:spacing w:before="0" w:after="283"/>
              <w:rPr>
                <w:sz w:val="4"/>
                <w:szCs w:val="4"/>
              </w:rPr>
            </w:pPr>
            <w:r>
              <w:rPr>
                <w:sz w:val="4"/>
                <w:szCs w:val="4"/>
              </w:rPr>
            </w:r>
          </w:p>
        </w:tc>
        <w:tc>
          <w:tcPr>
            <w:tcW w:w="2210" w:type="dxa"/>
            <w:gridSpan w:val="4"/>
            <w:tcBorders/>
            <w:shd w:fill="CCDEF1" w:val="clear"/>
            <w:vAlign w:val="center"/>
          </w:tcPr>
          <w:p>
            <w:pPr>
              <w:pStyle w:val="TableContents"/>
              <w:spacing w:before="0" w:after="283"/>
              <w:rPr>
                <w:sz w:val="4"/>
                <w:szCs w:val="4"/>
              </w:rPr>
            </w:pPr>
            <w:r>
              <w:rPr>
                <w:sz w:val="4"/>
                <w:szCs w:val="4"/>
              </w:rPr>
            </w:r>
          </w:p>
        </w:tc>
        <w:tc>
          <w:tcPr>
            <w:tcW w:w="1970" w:type="dxa"/>
            <w:gridSpan w:val="4"/>
            <w:tcBorders/>
            <w:shd w:fill="CCDEF1" w:val="clear"/>
            <w:vAlign w:val="center"/>
          </w:tcPr>
          <w:p>
            <w:pPr>
              <w:pStyle w:val="TableContents"/>
              <w:spacing w:before="0" w:after="283"/>
              <w:rPr>
                <w:sz w:val="4"/>
                <w:szCs w:val="4"/>
              </w:rPr>
            </w:pPr>
            <w:r>
              <w:rPr>
                <w:sz w:val="4"/>
                <w:szCs w:val="4"/>
              </w:rPr>
            </w:r>
          </w:p>
        </w:tc>
      </w:tr>
      <w:tr>
        <w:trPr/>
        <w:tc>
          <w:tcPr>
            <w:tcW w:w="1560" w:type="dxa"/>
            <w:tcBorders/>
            <w:shd w:fill="CCDEF1" w:val="clear"/>
            <w:vAlign w:val="center"/>
          </w:tcPr>
          <w:p>
            <w:pPr>
              <w:pStyle w:val="TableContents"/>
              <w:spacing w:lineRule="atLeast" w:line="260" w:before="0" w:after="0"/>
              <w:rPr/>
            </w:pPr>
            <w:r>
              <w:rPr/>
              <w:t>  </w:t>
            </w:r>
            <w:r>
              <w:rPr>
                <w:rFonts w:ascii="ARIAL" w:hAnsi="ARIAL"/>
                <w:sz w:val="19"/>
              </w:rPr>
              <w:t>John K. Stipancich</w:t>
            </w:r>
          </w:p>
        </w:tc>
        <w:tc>
          <w:tcPr>
            <w:tcW w:w="120" w:type="dxa"/>
            <w:tcBorders/>
            <w:shd w:fill="CCDEF1" w:val="clear"/>
            <w:vAlign w:val="center"/>
          </w:tcPr>
          <w:p>
            <w:pPr>
              <w:pStyle w:val="TableContents"/>
              <w:spacing w:before="0" w:after="283"/>
              <w:rPr/>
            </w:pPr>
            <w:r>
              <w:rPr/>
              <w:t>  </w:t>
            </w:r>
          </w:p>
        </w:tc>
        <w:tc>
          <w:tcPr>
            <w:tcW w:w="183" w:type="dxa"/>
            <w:tcBorders/>
            <w:shd w:fill="CCDEF1" w:val="clear"/>
            <w:vAlign w:val="center"/>
          </w:tcPr>
          <w:p>
            <w:pPr>
              <w:pStyle w:val="TableContents"/>
              <w:spacing w:lineRule="atLeast" w:line="260" w:before="0" w:after="0"/>
              <w:rPr/>
            </w:pPr>
            <w:r>
              <w:rPr/>
              <w:t> </w:t>
            </w:r>
          </w:p>
        </w:tc>
        <w:tc>
          <w:tcPr>
            <w:tcW w:w="1847"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120" w:type="dxa"/>
            <w:tcBorders/>
            <w:shd w:fill="CCDEF1" w:val="clear"/>
            <w:vAlign w:val="center"/>
          </w:tcPr>
          <w:p>
            <w:pPr>
              <w:pStyle w:val="TableContents"/>
              <w:spacing w:before="0" w:after="283"/>
              <w:rPr/>
            </w:pPr>
            <w:r>
              <w:rPr/>
              <w:t>  </w:t>
            </w:r>
          </w:p>
        </w:tc>
        <w:tc>
          <w:tcPr>
            <w:tcW w:w="133" w:type="dxa"/>
            <w:tcBorders/>
            <w:shd w:fill="CCDEF1" w:val="clear"/>
            <w:vAlign w:val="center"/>
          </w:tcPr>
          <w:p>
            <w:pPr>
              <w:pStyle w:val="TableContents"/>
              <w:spacing w:lineRule="atLeast" w:line="260" w:before="0" w:after="0"/>
              <w:rPr/>
            </w:pPr>
            <w:r>
              <w:rPr/>
              <w:t> </w:t>
            </w:r>
          </w:p>
        </w:tc>
        <w:tc>
          <w:tcPr>
            <w:tcW w:w="1942"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120" w:type="dxa"/>
            <w:tcBorders/>
            <w:shd w:fill="CCDEF1" w:val="clear"/>
            <w:vAlign w:val="center"/>
          </w:tcPr>
          <w:p>
            <w:pPr>
              <w:pStyle w:val="TableContents"/>
              <w:spacing w:before="0" w:after="283"/>
              <w:rPr/>
            </w:pPr>
            <w:r>
              <w:rPr/>
              <w:t>  </w:t>
            </w:r>
          </w:p>
        </w:tc>
        <w:tc>
          <w:tcPr>
            <w:tcW w:w="183" w:type="dxa"/>
            <w:tcBorders/>
            <w:shd w:fill="CCDEF1" w:val="clear"/>
            <w:vAlign w:val="center"/>
          </w:tcPr>
          <w:p>
            <w:pPr>
              <w:pStyle w:val="TableContents"/>
              <w:spacing w:lineRule="atLeast" w:line="260" w:before="0" w:after="0"/>
              <w:rPr/>
            </w:pPr>
            <w:r>
              <w:rPr/>
              <w:t> </w:t>
            </w:r>
          </w:p>
        </w:tc>
        <w:tc>
          <w:tcPr>
            <w:tcW w:w="1847"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6,257</w:t>
            </w:r>
          </w:p>
        </w:tc>
        <w:tc>
          <w:tcPr>
            <w:tcW w:w="60" w:type="dxa"/>
            <w:tcBorders/>
            <w:shd w:fill="CCDEF1" w:val="clear"/>
            <w:vAlign w:val="center"/>
          </w:tcPr>
          <w:p>
            <w:pPr>
              <w:pStyle w:val="TableContents"/>
              <w:spacing w:lineRule="atLeast" w:line="260" w:before="0" w:after="0"/>
              <w:rPr/>
            </w:pPr>
            <w:r>
              <w:rPr/>
              <w:t> </w:t>
            </w:r>
          </w:p>
        </w:tc>
        <w:tc>
          <w:tcPr>
            <w:tcW w:w="120" w:type="dxa"/>
            <w:tcBorders/>
            <w:shd w:fill="CCDEF1" w:val="clear"/>
            <w:vAlign w:val="center"/>
          </w:tcPr>
          <w:p>
            <w:pPr>
              <w:pStyle w:val="TableContents"/>
              <w:spacing w:before="0" w:after="283"/>
              <w:rPr/>
            </w:pPr>
            <w:r>
              <w:rPr/>
              <w:t>  </w:t>
            </w:r>
          </w:p>
        </w:tc>
        <w:tc>
          <w:tcPr>
            <w:tcW w:w="102" w:type="dxa"/>
            <w:tcBorders/>
            <w:shd w:fill="CCDEF1" w:val="clear"/>
            <w:vAlign w:val="center"/>
          </w:tcPr>
          <w:p>
            <w:pPr>
              <w:pStyle w:val="TableContents"/>
              <w:spacing w:lineRule="atLeast" w:line="260" w:before="0" w:after="0"/>
              <w:rPr/>
            </w:pPr>
            <w:r>
              <w:rPr/>
              <w:t> </w:t>
            </w:r>
          </w:p>
        </w:tc>
        <w:tc>
          <w:tcPr>
            <w:tcW w:w="1673"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2,743,257</w:t>
            </w:r>
          </w:p>
        </w:tc>
        <w:tc>
          <w:tcPr>
            <w:tcW w:w="75" w:type="dxa"/>
            <w:tcBorders/>
            <w:shd w:fill="CCDEF1" w:val="clear"/>
            <w:vAlign w:val="center"/>
          </w:tcPr>
          <w:p>
            <w:pPr>
              <w:pStyle w:val="TableContents"/>
              <w:spacing w:lineRule="atLeast" w:line="260" w:before="0" w:after="0"/>
              <w:rPr/>
            </w:pPr>
            <w:r>
              <w:rPr/>
              <w:t> </w:t>
            </w:r>
          </w:p>
        </w:tc>
      </w:tr>
      <w:tr>
        <w:trPr/>
        <w:tc>
          <w:tcPr>
            <w:tcW w:w="1560" w:type="dxa"/>
            <w:tcBorders/>
            <w:shd w:fill="auto" w:val="clear"/>
            <w:vAlign w:val="center"/>
          </w:tcPr>
          <w:p>
            <w:pPr>
              <w:pStyle w:val="TableContents"/>
              <w:spacing w:before="0" w:after="283"/>
              <w:rPr>
                <w:sz w:val="4"/>
                <w:szCs w:val="4"/>
              </w:rPr>
            </w:pPr>
            <w:r>
              <w:rPr>
                <w:sz w:val="4"/>
                <w:szCs w:val="4"/>
              </w:rPr>
            </w:r>
          </w:p>
        </w:tc>
        <w:tc>
          <w:tcPr>
            <w:tcW w:w="2210" w:type="dxa"/>
            <w:gridSpan w:val="4"/>
            <w:tcBorders/>
            <w:shd w:fill="auto" w:val="clear"/>
            <w:vAlign w:val="center"/>
          </w:tcPr>
          <w:p>
            <w:pPr>
              <w:pStyle w:val="TableContents"/>
              <w:spacing w:before="0" w:after="283"/>
              <w:rPr>
                <w:sz w:val="4"/>
                <w:szCs w:val="4"/>
              </w:rPr>
            </w:pPr>
            <w:r>
              <w:rPr>
                <w:sz w:val="4"/>
                <w:szCs w:val="4"/>
              </w:rPr>
            </w:r>
          </w:p>
        </w:tc>
        <w:tc>
          <w:tcPr>
            <w:tcW w:w="2255" w:type="dxa"/>
            <w:gridSpan w:val="4"/>
            <w:tcBorders/>
            <w:shd w:fill="auto" w:val="clear"/>
            <w:vAlign w:val="center"/>
          </w:tcPr>
          <w:p>
            <w:pPr>
              <w:pStyle w:val="TableContents"/>
              <w:spacing w:before="0" w:after="283"/>
              <w:rPr>
                <w:sz w:val="4"/>
                <w:szCs w:val="4"/>
              </w:rPr>
            </w:pPr>
            <w:r>
              <w:rPr>
                <w:sz w:val="4"/>
                <w:szCs w:val="4"/>
              </w:rPr>
            </w:r>
          </w:p>
        </w:tc>
        <w:tc>
          <w:tcPr>
            <w:tcW w:w="2210" w:type="dxa"/>
            <w:gridSpan w:val="4"/>
            <w:tcBorders/>
            <w:shd w:fill="auto" w:val="clear"/>
            <w:vAlign w:val="center"/>
          </w:tcPr>
          <w:p>
            <w:pPr>
              <w:pStyle w:val="TableContents"/>
              <w:spacing w:before="0" w:after="283"/>
              <w:rPr>
                <w:sz w:val="4"/>
                <w:szCs w:val="4"/>
              </w:rPr>
            </w:pPr>
            <w:r>
              <w:rPr>
                <w:sz w:val="4"/>
                <w:szCs w:val="4"/>
              </w:rPr>
            </w:r>
          </w:p>
        </w:tc>
        <w:tc>
          <w:tcPr>
            <w:tcW w:w="1970" w:type="dxa"/>
            <w:gridSpan w:val="4"/>
            <w:tcBorders/>
            <w:shd w:fill="auto" w:val="clear"/>
            <w:vAlign w:val="center"/>
          </w:tcPr>
          <w:p>
            <w:pPr>
              <w:pStyle w:val="TableContents"/>
              <w:spacing w:before="0" w:after="283"/>
              <w:rPr>
                <w:sz w:val="4"/>
                <w:szCs w:val="4"/>
              </w:rPr>
            </w:pPr>
            <w:r>
              <w:rPr>
                <w:sz w:val="4"/>
                <w:szCs w:val="4"/>
              </w:rPr>
            </w:r>
          </w:p>
        </w:tc>
      </w:tr>
      <w:tr>
        <w:trPr/>
        <w:tc>
          <w:tcPr>
            <w:tcW w:w="1560" w:type="dxa"/>
            <w:tcBorders/>
            <w:shd w:fill="auto" w:val="clear"/>
            <w:vAlign w:val="center"/>
          </w:tcPr>
          <w:p>
            <w:pPr>
              <w:pStyle w:val="TableContents"/>
              <w:spacing w:lineRule="atLeast" w:line="260" w:before="0" w:after="0"/>
              <w:rPr/>
            </w:pPr>
            <w:r>
              <w:rPr/>
              <w:t>  </w:t>
            </w:r>
            <w:r>
              <w:rPr>
                <w:rFonts w:ascii="ARIAL" w:hAnsi="ARIAL"/>
                <w:sz w:val="19"/>
              </w:rPr>
              <w:t>Jason Conley</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lineRule="atLeast" w:line="260" w:before="0" w:after="0"/>
              <w:rPr/>
            </w:pPr>
            <w:r>
              <w:rPr/>
              <w:t> </w:t>
            </w:r>
          </w:p>
        </w:tc>
        <w:tc>
          <w:tcPr>
            <w:tcW w:w="1847"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auto" w:val="clear"/>
            <w:vAlign w:val="center"/>
          </w:tcPr>
          <w:p>
            <w:pPr>
              <w:pStyle w:val="TableContents"/>
              <w:spacing w:lineRule="atLeast" w:line="260" w:before="0" w:after="0"/>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lineRule="atLeast" w:line="260" w:before="0" w:after="0"/>
              <w:rPr/>
            </w:pPr>
            <w:r>
              <w:rPr/>
              <w:t> </w:t>
            </w:r>
          </w:p>
        </w:tc>
        <w:tc>
          <w:tcPr>
            <w:tcW w:w="1942"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auto" w:val="clear"/>
            <w:vAlign w:val="center"/>
          </w:tcPr>
          <w:p>
            <w:pPr>
              <w:pStyle w:val="TableContents"/>
              <w:spacing w:lineRule="atLeast" w:line="260" w:before="0" w:after="0"/>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lineRule="atLeast" w:line="260" w:before="0" w:after="0"/>
              <w:rPr/>
            </w:pPr>
            <w:r>
              <w:rPr/>
              <w:t> </w:t>
            </w:r>
          </w:p>
        </w:tc>
        <w:tc>
          <w:tcPr>
            <w:tcW w:w="1847"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6,287</w:t>
            </w:r>
          </w:p>
        </w:tc>
        <w:tc>
          <w:tcPr>
            <w:tcW w:w="60" w:type="dxa"/>
            <w:tcBorders/>
            <w:shd w:fill="auto" w:val="clear"/>
            <w:vAlign w:val="center"/>
          </w:tcPr>
          <w:p>
            <w:pPr>
              <w:pStyle w:val="TableContents"/>
              <w:spacing w:lineRule="atLeast" w:line="260" w:before="0" w:after="0"/>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lineRule="atLeast" w:line="260" w:before="0" w:after="0"/>
              <w:rPr/>
            </w:pPr>
            <w:r>
              <w:rPr/>
              <w:t> </w:t>
            </w:r>
          </w:p>
        </w:tc>
        <w:tc>
          <w:tcPr>
            <w:tcW w:w="1673"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2,756,409</w:t>
            </w:r>
          </w:p>
        </w:tc>
        <w:tc>
          <w:tcPr>
            <w:tcW w:w="75" w:type="dxa"/>
            <w:tcBorders/>
            <w:shd w:fill="auto" w:val="clear"/>
            <w:vAlign w:val="center"/>
          </w:tcPr>
          <w:p>
            <w:pPr>
              <w:pStyle w:val="TableContents"/>
              <w:spacing w:lineRule="atLeast" w:line="260" w:before="0" w:after="0"/>
              <w:rPr/>
            </w:pPr>
            <w:r>
              <w:rPr/>
              <w:t> </w:t>
            </w:r>
          </w:p>
        </w:tc>
      </w:tr>
    </w:tbl>
    <w:p>
      <w:pPr>
        <w:pStyle w:val="TextBody"/>
        <w:spacing w:before="240" w:after="0"/>
        <w:jc w:val="left"/>
        <w:rPr>
          <w:rFonts w:ascii="ARIAL" w:hAnsi="ARIAL"/>
          <w:b/>
          <w:color w:val="005CB9"/>
          <w:sz w:val="20"/>
        </w:rPr>
      </w:pPr>
      <w:r>
        <w:rPr>
          <w:rFonts w:ascii="ARIAL" w:hAnsi="ARIAL"/>
          <w:b/>
          <w:color w:val="005CB9"/>
          <w:sz w:val="20"/>
        </w:rPr>
        <w:t xml:space="preserve">No Pension Benefits </w:t>
      </w:r>
    </w:p>
    <w:p>
      <w:pPr>
        <w:pStyle w:val="TextBody"/>
        <w:spacing w:before="120" w:after="0"/>
        <w:jc w:val="left"/>
        <w:rPr>
          <w:rFonts w:ascii="ARIAL" w:hAnsi="ARIAL"/>
          <w:sz w:val="19"/>
        </w:rPr>
      </w:pPr>
      <w:r>
        <w:rPr>
          <w:rFonts w:ascii="ARIAL" w:hAnsi="ARIAL"/>
          <w:sz w:val="19"/>
        </w:rPr>
        <w:t xml:space="preserve">None of our named executive officers participates in a Company-sponsored defined-benefit pension plan. </w:t>
      </w:r>
    </w:p>
    <w:p>
      <w:pPr>
        <w:pStyle w:val="TextBody"/>
        <w:spacing w:before="240" w:after="0"/>
        <w:jc w:val="left"/>
        <w:rPr>
          <w:rFonts w:ascii="ARIAL" w:hAnsi="ARIAL"/>
          <w:b/>
          <w:i/>
          <w:sz w:val="20"/>
        </w:rPr>
      </w:pPr>
      <w:bookmarkStart w:id="28" w:name="toc356364_25"/>
      <w:bookmarkEnd w:id="28"/>
      <w:r>
        <w:rPr>
          <w:rFonts w:ascii="ARIAL" w:hAnsi="ARIAL"/>
          <w:b/>
          <w:i/>
          <w:sz w:val="20"/>
        </w:rPr>
        <w:t xml:space="preserve">2022 Non-Qualified Deferred Compensation </w:t>
      </w:r>
    </w:p>
    <w:p>
      <w:pPr>
        <w:pStyle w:val="TextBody"/>
        <w:spacing w:before="120" w:after="0"/>
        <w:jc w:val="left"/>
        <w:rPr>
          <w:rFonts w:ascii="ARIAL" w:hAnsi="ARIAL"/>
          <w:sz w:val="19"/>
        </w:rPr>
      </w:pPr>
      <w:r>
        <w:rPr>
          <w:rFonts w:ascii="ARIAL" w:hAnsi="ARIAL"/>
          <w:sz w:val="19"/>
        </w:rPr>
        <w:t xml:space="preserve">Pursuant to our Company’s Non-Qualified Retirement Plan, named executive officers may defer base salary and payments earned under the cash incentive program. Deferral elections are made by eligible executives before the beginning of each year for amounts to be earned in the following year. The executive may invest such amounts in funds that are substantially similar to those available under the 401(k) plan. </w:t>
      </w:r>
    </w:p>
    <w:p>
      <w:pPr>
        <w:pStyle w:val="TextBody"/>
        <w:spacing w:before="120" w:after="0"/>
        <w:jc w:val="left"/>
        <w:rPr>
          <w:rFonts w:ascii="ARIAL" w:hAnsi="ARIAL"/>
          <w:sz w:val="19"/>
        </w:rPr>
      </w:pPr>
      <w:r>
        <w:rPr>
          <w:rFonts w:ascii="ARIAL" w:hAnsi="ARIAL"/>
          <w:sz w:val="19"/>
        </w:rPr>
        <w:t xml:space="preserve">The following table sets forth certain information with respect to the Non-Qualified Retirement Plan for our named executive officers during the fiscal year ended December 31, 2022. </w:t>
      </w:r>
    </w:p>
    <w:p>
      <w:pPr>
        <w:pStyle w:val="TextBody"/>
        <w:spacing w:before="0" w:after="0"/>
        <w:jc w:val="left"/>
        <w:rPr/>
      </w:pPr>
      <w:r>
        <w:rPr/>
        <w:t> </w:t>
      </w:r>
    </w:p>
    <w:tbl>
      <w:tblPr>
        <w:tblW w:w="9113" w:type="dxa"/>
        <w:jc w:val="left"/>
        <w:tblInd w:w="0" w:type="dxa"/>
        <w:tblCellMar>
          <w:top w:w="0" w:type="dxa"/>
          <w:left w:w="0" w:type="dxa"/>
          <w:bottom w:w="0" w:type="dxa"/>
          <w:right w:w="0" w:type="dxa"/>
        </w:tblCellMar>
      </w:tblPr>
      <w:tblGrid>
        <w:gridCol w:w="1805"/>
        <w:gridCol w:w="120"/>
        <w:gridCol w:w="102"/>
        <w:gridCol w:w="1208"/>
        <w:gridCol w:w="60"/>
        <w:gridCol w:w="120"/>
        <w:gridCol w:w="102"/>
        <w:gridCol w:w="1208"/>
        <w:gridCol w:w="60"/>
        <w:gridCol w:w="120"/>
        <w:gridCol w:w="83"/>
        <w:gridCol w:w="1076"/>
        <w:gridCol w:w="140"/>
        <w:gridCol w:w="60"/>
        <w:gridCol w:w="92"/>
        <w:gridCol w:w="1188"/>
        <w:gridCol w:w="140"/>
        <w:gridCol w:w="60"/>
        <w:gridCol w:w="82"/>
        <w:gridCol w:w="1212"/>
        <w:gridCol w:w="75"/>
      </w:tblGrid>
      <w:tr>
        <w:trPr/>
        <w:tc>
          <w:tcPr>
            <w:tcW w:w="1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05" w:type="dxa"/>
            <w:tcBorders/>
            <w:shd w:fill="005CB9" w:val="clear"/>
            <w:vAlign w:val="center"/>
          </w:tcPr>
          <w:p>
            <w:pPr>
              <w:pStyle w:val="TableContents"/>
              <w:spacing w:before="0" w:after="283"/>
              <w:rPr>
                <w:color w:val="FFFFFF"/>
              </w:rPr>
            </w:pPr>
            <w:r>
              <w:rPr>
                <w:color w:val="FFFFFF"/>
              </w:rPr>
              <w:t>  </w:t>
            </w:r>
            <w:r>
              <w:rPr>
                <w:color w:val="FFFFFF"/>
              </w:rPr>
              <w:t>Name</w:t>
            </w:r>
          </w:p>
        </w:tc>
        <w:tc>
          <w:tcPr>
            <w:tcW w:w="120" w:type="dxa"/>
            <w:tcBorders/>
            <w:shd w:fill="005CB9" w:val="clear"/>
            <w:vAlign w:val="center"/>
          </w:tcPr>
          <w:p>
            <w:pPr>
              <w:pStyle w:val="TableContents"/>
              <w:spacing w:before="0" w:after="283"/>
              <w:rPr/>
            </w:pPr>
            <w:r>
              <w:rPr/>
              <w:t>  </w:t>
            </w:r>
          </w:p>
        </w:tc>
        <w:tc>
          <w:tcPr>
            <w:tcW w:w="1310" w:type="dxa"/>
            <w:gridSpan w:val="2"/>
            <w:tcBorders/>
            <w:shd w:fill="005CB9" w:val="clear"/>
            <w:vAlign w:val="center"/>
          </w:tcPr>
          <w:p>
            <w:pPr>
              <w:pStyle w:val="TableContents"/>
              <w:spacing w:before="0" w:after="283"/>
              <w:jc w:val="right"/>
              <w:rPr/>
            </w:pPr>
            <w:r>
              <w:rPr>
                <w:color w:val="FFFFFF"/>
              </w:rPr>
              <w:t>Executive</w:t>
              <w:br/>
              <w:t>Contributions</w:t>
              <w:br/>
              <w:t>in Last FY</w:t>
            </w:r>
            <w:r>
              <w:rPr>
                <w:color w:val="FFFFFF"/>
                <w:sz w:val="10"/>
              </w:rPr>
              <w:t>(1)</w:t>
            </w:r>
            <w:r>
              <w:rPr>
                <w:color w:val="FFFFFF"/>
              </w:rPr>
              <w:br/>
              <w:t>($)</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1310" w:type="dxa"/>
            <w:gridSpan w:val="2"/>
            <w:tcBorders/>
            <w:shd w:fill="005CB9" w:val="clear"/>
            <w:vAlign w:val="center"/>
          </w:tcPr>
          <w:p>
            <w:pPr>
              <w:pStyle w:val="TableContents"/>
              <w:spacing w:before="0" w:after="283"/>
              <w:jc w:val="right"/>
              <w:rPr/>
            </w:pPr>
            <w:r>
              <w:rPr>
                <w:color w:val="FFFFFF"/>
              </w:rPr>
              <w:t>Registrant</w:t>
              <w:br/>
              <w:t>Contributions</w:t>
              <w:br/>
              <w:t>in Last FY</w:t>
            </w:r>
            <w:r>
              <w:rPr>
                <w:color w:val="FFFFFF"/>
                <w:sz w:val="10"/>
              </w:rPr>
              <w:t>(2)</w:t>
            </w:r>
            <w:r>
              <w:rPr>
                <w:color w:val="FFFFFF"/>
              </w:rPr>
              <w:br/>
              <w:t>($)</w:t>
            </w:r>
          </w:p>
        </w:tc>
        <w:tc>
          <w:tcPr>
            <w:tcW w:w="60" w:type="dxa"/>
            <w:tcBorders/>
            <w:shd w:fill="005CB9" w:val="clear"/>
            <w:vAlign w:val="center"/>
          </w:tcPr>
          <w:p>
            <w:pPr>
              <w:pStyle w:val="TableContents"/>
              <w:spacing w:before="0" w:after="283"/>
              <w:rPr/>
            </w:pPr>
            <w:r>
              <w:rPr/>
              <w:t> </w:t>
            </w:r>
          </w:p>
        </w:tc>
        <w:tc>
          <w:tcPr>
            <w:tcW w:w="120" w:type="dxa"/>
            <w:tcBorders/>
            <w:shd w:fill="005CB9" w:val="clear"/>
            <w:vAlign w:val="center"/>
          </w:tcPr>
          <w:p>
            <w:pPr>
              <w:pStyle w:val="TableContents"/>
              <w:spacing w:before="0" w:after="283"/>
              <w:rPr/>
            </w:pPr>
            <w:r>
              <w:rPr/>
              <w:t>  </w:t>
            </w:r>
          </w:p>
        </w:tc>
        <w:tc>
          <w:tcPr>
            <w:tcW w:w="1159" w:type="dxa"/>
            <w:gridSpan w:val="2"/>
            <w:tcBorders/>
            <w:shd w:fill="005CB9" w:val="clear"/>
            <w:vAlign w:val="center"/>
          </w:tcPr>
          <w:p>
            <w:pPr>
              <w:pStyle w:val="TableContents"/>
              <w:spacing w:before="0" w:after="283"/>
              <w:jc w:val="right"/>
              <w:rPr/>
            </w:pPr>
            <w:r>
              <w:rPr>
                <w:color w:val="FFFFFF"/>
              </w:rPr>
              <w:t>Aggregate</w:t>
              <w:br/>
              <w:t>Earnings</w:t>
              <w:br/>
              <w:t>in Last FY</w:t>
            </w:r>
            <w:r>
              <w:rPr>
                <w:color w:val="FFFFFF"/>
                <w:sz w:val="10"/>
              </w:rPr>
              <w:t>(3)</w:t>
            </w:r>
            <w:r>
              <w:rPr>
                <w:color w:val="FFFFFF"/>
              </w:rPr>
              <w:br/>
              <w:t>($)</w:t>
            </w:r>
          </w:p>
        </w:tc>
        <w:tc>
          <w:tcPr>
            <w:tcW w:w="14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1280" w:type="dxa"/>
            <w:gridSpan w:val="2"/>
            <w:tcBorders/>
            <w:shd w:fill="005CB9" w:val="clear"/>
            <w:vAlign w:val="center"/>
          </w:tcPr>
          <w:p>
            <w:pPr>
              <w:pStyle w:val="TableContents"/>
              <w:spacing w:before="0" w:after="283"/>
              <w:jc w:val="right"/>
              <w:rPr>
                <w:color w:val="FFFFFF"/>
              </w:rPr>
            </w:pPr>
            <w:r>
              <w:rPr>
                <w:color w:val="FFFFFF"/>
              </w:rPr>
              <w:t>Aggregate</w:t>
              <w:br/>
              <w:t>Withdrawals/</w:t>
              <w:br/>
              <w:t>Distributions</w:t>
              <w:br/>
              <w:t>($)</w:t>
            </w:r>
          </w:p>
        </w:tc>
        <w:tc>
          <w:tcPr>
            <w:tcW w:w="14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1294" w:type="dxa"/>
            <w:gridSpan w:val="2"/>
            <w:tcBorders/>
            <w:shd w:fill="005CB9" w:val="clear"/>
            <w:vAlign w:val="center"/>
          </w:tcPr>
          <w:p>
            <w:pPr>
              <w:pStyle w:val="TableContents"/>
              <w:spacing w:before="0" w:after="283"/>
              <w:jc w:val="right"/>
              <w:rPr/>
            </w:pPr>
            <w:r>
              <w:rPr>
                <w:color w:val="FFFFFF"/>
              </w:rPr>
              <w:t>Aggregate</w:t>
              <w:br/>
              <w:t>Balance</w:t>
              <w:br/>
              <w:t>at Last FYE</w:t>
            </w:r>
            <w:r>
              <w:rPr>
                <w:color w:val="FFFFFF"/>
                <w:sz w:val="10"/>
              </w:rPr>
              <w:t>(4)</w:t>
            </w:r>
            <w:r>
              <w:rPr>
                <w:color w:val="FFFFFF"/>
              </w:rPr>
              <w:br/>
              <w:t>($)</w:t>
            </w:r>
          </w:p>
        </w:tc>
        <w:tc>
          <w:tcPr>
            <w:tcW w:w="7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r>
      <w:tr>
        <w:trPr/>
        <w:tc>
          <w:tcPr>
            <w:tcW w:w="1805" w:type="dxa"/>
            <w:tcBorders/>
            <w:shd w:fill="CCDEF1" w:val="clear"/>
            <w:vAlign w:val="center"/>
          </w:tcPr>
          <w:p>
            <w:pPr>
              <w:pStyle w:val="TableContents"/>
              <w:spacing w:before="0" w:after="283"/>
              <w:rPr>
                <w:sz w:val="4"/>
                <w:szCs w:val="4"/>
              </w:rPr>
            </w:pPr>
            <w:r>
              <w:rPr>
                <w:sz w:val="4"/>
                <w:szCs w:val="4"/>
              </w:rPr>
            </w:r>
          </w:p>
        </w:tc>
        <w:tc>
          <w:tcPr>
            <w:tcW w:w="1490" w:type="dxa"/>
            <w:gridSpan w:val="4"/>
            <w:tcBorders/>
            <w:shd w:fill="CCDEF1" w:val="clear"/>
            <w:vAlign w:val="center"/>
          </w:tcPr>
          <w:p>
            <w:pPr>
              <w:pStyle w:val="TableContents"/>
              <w:spacing w:before="0" w:after="283"/>
              <w:rPr>
                <w:sz w:val="4"/>
                <w:szCs w:val="4"/>
              </w:rPr>
            </w:pPr>
            <w:r>
              <w:rPr>
                <w:sz w:val="4"/>
                <w:szCs w:val="4"/>
              </w:rPr>
            </w:r>
          </w:p>
        </w:tc>
        <w:tc>
          <w:tcPr>
            <w:tcW w:w="1490" w:type="dxa"/>
            <w:gridSpan w:val="4"/>
            <w:tcBorders/>
            <w:shd w:fill="CCDEF1" w:val="clear"/>
            <w:vAlign w:val="center"/>
          </w:tcPr>
          <w:p>
            <w:pPr>
              <w:pStyle w:val="TableContents"/>
              <w:spacing w:before="0" w:after="283"/>
              <w:rPr>
                <w:sz w:val="4"/>
                <w:szCs w:val="4"/>
              </w:rPr>
            </w:pPr>
            <w:r>
              <w:rPr>
                <w:sz w:val="4"/>
                <w:szCs w:val="4"/>
              </w:rPr>
            </w:r>
          </w:p>
        </w:tc>
        <w:tc>
          <w:tcPr>
            <w:tcW w:w="1419" w:type="dxa"/>
            <w:gridSpan w:val="4"/>
            <w:tcBorders/>
            <w:shd w:fill="CCDEF1" w:val="clear"/>
            <w:vAlign w:val="center"/>
          </w:tcPr>
          <w:p>
            <w:pPr>
              <w:pStyle w:val="TableContents"/>
              <w:spacing w:before="0" w:after="283"/>
              <w:rPr>
                <w:sz w:val="4"/>
                <w:szCs w:val="4"/>
              </w:rPr>
            </w:pPr>
            <w:r>
              <w:rPr>
                <w:sz w:val="4"/>
                <w:szCs w:val="4"/>
              </w:rPr>
            </w:r>
          </w:p>
        </w:tc>
        <w:tc>
          <w:tcPr>
            <w:tcW w:w="1480" w:type="dxa"/>
            <w:gridSpan w:val="4"/>
            <w:tcBorders/>
            <w:shd w:fill="CCDEF1" w:val="clear"/>
            <w:vAlign w:val="center"/>
          </w:tcPr>
          <w:p>
            <w:pPr>
              <w:pStyle w:val="TableContents"/>
              <w:spacing w:before="0" w:after="283"/>
              <w:rPr>
                <w:sz w:val="4"/>
                <w:szCs w:val="4"/>
              </w:rPr>
            </w:pPr>
            <w:r>
              <w:rPr>
                <w:sz w:val="4"/>
                <w:szCs w:val="4"/>
              </w:rPr>
            </w:r>
          </w:p>
        </w:tc>
        <w:tc>
          <w:tcPr>
            <w:tcW w:w="1429" w:type="dxa"/>
            <w:gridSpan w:val="4"/>
            <w:tcBorders/>
            <w:shd w:fill="CCDEF1" w:val="clear"/>
            <w:vAlign w:val="center"/>
          </w:tcPr>
          <w:p>
            <w:pPr>
              <w:pStyle w:val="TableContents"/>
              <w:spacing w:before="0" w:after="283"/>
              <w:rPr>
                <w:sz w:val="4"/>
                <w:szCs w:val="4"/>
              </w:rPr>
            </w:pPr>
            <w:r>
              <w:rPr>
                <w:sz w:val="4"/>
                <w:szCs w:val="4"/>
              </w:rPr>
            </w:r>
          </w:p>
        </w:tc>
      </w:tr>
      <w:tr>
        <w:trPr/>
        <w:tc>
          <w:tcPr>
            <w:tcW w:w="1805" w:type="dxa"/>
            <w:tcBorders/>
            <w:shd w:fill="CCDEF1" w:val="clear"/>
            <w:vAlign w:val="center"/>
          </w:tcPr>
          <w:p>
            <w:pPr>
              <w:pStyle w:val="TableContents"/>
              <w:spacing w:lineRule="atLeast" w:line="260" w:before="0" w:after="0"/>
              <w:rPr/>
            </w:pPr>
            <w:r>
              <w:rPr/>
              <w:t>  </w:t>
            </w:r>
            <w:r>
              <w:rPr>
                <w:rFonts w:ascii="ARIAL" w:hAnsi="ARIAL"/>
                <w:sz w:val="19"/>
              </w:rPr>
              <w:t>L. Neil Hunn</w:t>
            </w:r>
          </w:p>
        </w:tc>
        <w:tc>
          <w:tcPr>
            <w:tcW w:w="120" w:type="dxa"/>
            <w:tcBorders/>
            <w:shd w:fill="CCDEF1" w:val="clear"/>
            <w:vAlign w:val="center"/>
          </w:tcPr>
          <w:p>
            <w:pPr>
              <w:pStyle w:val="TableContents"/>
              <w:spacing w:before="0" w:after="283"/>
              <w:rPr/>
            </w:pPr>
            <w:r>
              <w:rPr/>
              <w:t>  </w:t>
            </w:r>
          </w:p>
        </w:tc>
        <w:tc>
          <w:tcPr>
            <w:tcW w:w="102" w:type="dxa"/>
            <w:tcBorders/>
            <w:shd w:fill="CCDEF1" w:val="clear"/>
            <w:vAlign w:val="center"/>
          </w:tcPr>
          <w:p>
            <w:pPr>
              <w:pStyle w:val="TableContents"/>
              <w:spacing w:lineRule="atLeast" w:line="260" w:before="0" w:after="0"/>
              <w:rPr/>
            </w:pPr>
            <w:r>
              <w:rPr/>
              <w:t> </w:t>
            </w:r>
          </w:p>
        </w:tc>
        <w:tc>
          <w:tcPr>
            <w:tcW w:w="1208"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511,250</w:t>
            </w:r>
          </w:p>
        </w:tc>
        <w:tc>
          <w:tcPr>
            <w:tcW w:w="60" w:type="dxa"/>
            <w:tcBorders/>
            <w:shd w:fill="CCDEF1" w:val="clear"/>
            <w:vAlign w:val="center"/>
          </w:tcPr>
          <w:p>
            <w:pPr>
              <w:pStyle w:val="TableContents"/>
              <w:spacing w:lineRule="atLeast" w:line="260" w:before="0" w:after="0"/>
              <w:rPr/>
            </w:pPr>
            <w:r>
              <w:rPr/>
              <w:t> </w:t>
            </w:r>
          </w:p>
        </w:tc>
        <w:tc>
          <w:tcPr>
            <w:tcW w:w="120" w:type="dxa"/>
            <w:tcBorders/>
            <w:shd w:fill="CCDEF1" w:val="clear"/>
            <w:vAlign w:val="center"/>
          </w:tcPr>
          <w:p>
            <w:pPr>
              <w:pStyle w:val="TableContents"/>
              <w:spacing w:before="0" w:after="283"/>
              <w:rPr/>
            </w:pPr>
            <w:r>
              <w:rPr/>
              <w:t>  </w:t>
            </w:r>
          </w:p>
        </w:tc>
        <w:tc>
          <w:tcPr>
            <w:tcW w:w="102" w:type="dxa"/>
            <w:tcBorders/>
            <w:shd w:fill="CCDEF1" w:val="clear"/>
            <w:vAlign w:val="center"/>
          </w:tcPr>
          <w:p>
            <w:pPr>
              <w:pStyle w:val="TableContents"/>
              <w:spacing w:lineRule="atLeast" w:line="260" w:before="0" w:after="0"/>
              <w:rPr/>
            </w:pPr>
            <w:r>
              <w:rPr/>
              <w:t> </w:t>
            </w:r>
          </w:p>
        </w:tc>
        <w:tc>
          <w:tcPr>
            <w:tcW w:w="1208"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267,750</w:t>
            </w:r>
          </w:p>
        </w:tc>
        <w:tc>
          <w:tcPr>
            <w:tcW w:w="60" w:type="dxa"/>
            <w:tcBorders/>
            <w:shd w:fill="CCDEF1" w:val="clear"/>
            <w:vAlign w:val="center"/>
          </w:tcPr>
          <w:p>
            <w:pPr>
              <w:pStyle w:val="TableContents"/>
              <w:spacing w:lineRule="atLeast" w:line="260" w:before="0" w:after="0"/>
              <w:rPr/>
            </w:pPr>
            <w:r>
              <w:rPr/>
              <w:t> </w:t>
            </w:r>
          </w:p>
        </w:tc>
        <w:tc>
          <w:tcPr>
            <w:tcW w:w="120" w:type="dxa"/>
            <w:tcBorders/>
            <w:shd w:fill="CCDEF1" w:val="clear"/>
            <w:vAlign w:val="center"/>
          </w:tcPr>
          <w:p>
            <w:pPr>
              <w:pStyle w:val="TableContents"/>
              <w:spacing w:before="0" w:after="283"/>
              <w:rPr/>
            </w:pPr>
            <w:r>
              <w:rPr/>
              <w:t>  </w:t>
            </w:r>
          </w:p>
        </w:tc>
        <w:tc>
          <w:tcPr>
            <w:tcW w:w="83" w:type="dxa"/>
            <w:tcBorders/>
            <w:shd w:fill="CCDEF1" w:val="clear"/>
            <w:vAlign w:val="center"/>
          </w:tcPr>
          <w:p>
            <w:pPr>
              <w:pStyle w:val="TableContents"/>
              <w:spacing w:lineRule="atLeast" w:line="260" w:before="0" w:after="0"/>
              <w:rPr/>
            </w:pPr>
            <w:r>
              <w:rPr/>
              <w:t> </w:t>
            </w:r>
          </w:p>
        </w:tc>
        <w:tc>
          <w:tcPr>
            <w:tcW w:w="1076"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(96,734</w:t>
            </w:r>
          </w:p>
        </w:tc>
        <w:tc>
          <w:tcPr>
            <w:tcW w:w="140" w:type="dxa"/>
            <w:tcBorders/>
            <w:shd w:fill="CCDEF1" w:val="clear"/>
            <w:vAlign w:val="center"/>
          </w:tcPr>
          <w:p>
            <w:pPr>
              <w:pStyle w:val="TableContents"/>
              <w:spacing w:lineRule="atLeast" w:line="260" w:before="0" w:after="0"/>
              <w:rPr>
                <w:rFonts w:ascii="ARIAL" w:hAnsi="ARIAL"/>
                <w:sz w:val="19"/>
              </w:rPr>
            </w:pPr>
            <w:r>
              <w:rPr>
                <w:rFonts w:ascii="ARIAL" w:hAnsi="ARIAL"/>
                <w:sz w:val="19"/>
              </w:rPr>
              <w:t>) </w:t>
            </w:r>
          </w:p>
        </w:tc>
        <w:tc>
          <w:tcPr>
            <w:tcW w:w="60" w:type="dxa"/>
            <w:tcBorders/>
            <w:shd w:fill="CCDEF1" w:val="clear"/>
            <w:vAlign w:val="center"/>
          </w:tcPr>
          <w:p>
            <w:pPr>
              <w:pStyle w:val="TableContents"/>
              <w:spacing w:before="0" w:after="283"/>
              <w:rPr/>
            </w:pPr>
            <w:r>
              <w:rPr/>
              <w:t> </w:t>
            </w:r>
          </w:p>
        </w:tc>
        <w:tc>
          <w:tcPr>
            <w:tcW w:w="92" w:type="dxa"/>
            <w:tcBorders/>
            <w:shd w:fill="CCDEF1" w:val="clear"/>
            <w:vAlign w:val="center"/>
          </w:tcPr>
          <w:p>
            <w:pPr>
              <w:pStyle w:val="TableContents"/>
              <w:spacing w:lineRule="atLeast" w:line="260" w:before="0" w:after="0"/>
              <w:rPr/>
            </w:pPr>
            <w:r>
              <w:rPr/>
              <w:t> </w:t>
            </w:r>
          </w:p>
        </w:tc>
        <w:tc>
          <w:tcPr>
            <w:tcW w:w="1188"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(339,927</w:t>
            </w:r>
          </w:p>
        </w:tc>
        <w:tc>
          <w:tcPr>
            <w:tcW w:w="140" w:type="dxa"/>
            <w:tcBorders/>
            <w:shd w:fill="CCDEF1" w:val="clear"/>
            <w:vAlign w:val="center"/>
          </w:tcPr>
          <w:p>
            <w:pPr>
              <w:pStyle w:val="TableContents"/>
              <w:spacing w:lineRule="atLeast" w:line="260" w:before="0" w:after="0"/>
              <w:rPr>
                <w:rFonts w:ascii="ARIAL" w:hAnsi="ARIAL"/>
                <w:sz w:val="19"/>
              </w:rPr>
            </w:pPr>
            <w:r>
              <w:rPr>
                <w:rFonts w:ascii="ARIAL" w:hAnsi="ARIAL"/>
                <w:sz w:val="19"/>
              </w:rPr>
              <w:t>) </w:t>
            </w:r>
          </w:p>
        </w:tc>
        <w:tc>
          <w:tcPr>
            <w:tcW w:w="60" w:type="dxa"/>
            <w:tcBorders/>
            <w:shd w:fill="CCDEF1" w:val="clear"/>
            <w:vAlign w:val="center"/>
          </w:tcPr>
          <w:p>
            <w:pPr>
              <w:pStyle w:val="TableContents"/>
              <w:spacing w:before="0" w:after="283"/>
              <w:rPr/>
            </w:pPr>
            <w:r>
              <w:rPr/>
              <w:t> </w:t>
            </w:r>
          </w:p>
        </w:tc>
        <w:tc>
          <w:tcPr>
            <w:tcW w:w="82" w:type="dxa"/>
            <w:tcBorders/>
            <w:shd w:fill="CCDEF1" w:val="clear"/>
            <w:vAlign w:val="center"/>
          </w:tcPr>
          <w:p>
            <w:pPr>
              <w:pStyle w:val="TableContents"/>
              <w:spacing w:lineRule="atLeast" w:line="260" w:before="0" w:after="0"/>
              <w:rPr/>
            </w:pPr>
            <w:r>
              <w:rPr/>
              <w:t> </w:t>
            </w:r>
          </w:p>
        </w:tc>
        <w:tc>
          <w:tcPr>
            <w:tcW w:w="1212"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774,529</w:t>
            </w:r>
          </w:p>
        </w:tc>
        <w:tc>
          <w:tcPr>
            <w:tcW w:w="75" w:type="dxa"/>
            <w:tcBorders/>
            <w:shd w:fill="CCDEF1" w:val="clear"/>
            <w:vAlign w:val="center"/>
          </w:tcPr>
          <w:p>
            <w:pPr>
              <w:pStyle w:val="TableContents"/>
              <w:spacing w:lineRule="atLeast" w:line="260" w:before="0" w:after="0"/>
              <w:rPr/>
            </w:pPr>
            <w:r>
              <w:rPr/>
              <w:t> </w:t>
            </w:r>
          </w:p>
        </w:tc>
      </w:tr>
      <w:tr>
        <w:trPr/>
        <w:tc>
          <w:tcPr>
            <w:tcW w:w="1805" w:type="dxa"/>
            <w:tcBorders/>
            <w:shd w:fill="auto" w:val="clear"/>
            <w:vAlign w:val="center"/>
          </w:tcPr>
          <w:p>
            <w:pPr>
              <w:pStyle w:val="TableContents"/>
              <w:spacing w:before="0" w:after="283"/>
              <w:rPr>
                <w:sz w:val="4"/>
                <w:szCs w:val="4"/>
              </w:rPr>
            </w:pPr>
            <w:r>
              <w:rPr>
                <w:sz w:val="4"/>
                <w:szCs w:val="4"/>
              </w:rPr>
            </w:r>
          </w:p>
        </w:tc>
        <w:tc>
          <w:tcPr>
            <w:tcW w:w="1490" w:type="dxa"/>
            <w:gridSpan w:val="4"/>
            <w:tcBorders/>
            <w:shd w:fill="auto" w:val="clear"/>
            <w:vAlign w:val="center"/>
          </w:tcPr>
          <w:p>
            <w:pPr>
              <w:pStyle w:val="TableContents"/>
              <w:spacing w:before="0" w:after="283"/>
              <w:rPr>
                <w:sz w:val="4"/>
                <w:szCs w:val="4"/>
              </w:rPr>
            </w:pPr>
            <w:r>
              <w:rPr>
                <w:sz w:val="4"/>
                <w:szCs w:val="4"/>
              </w:rPr>
            </w:r>
          </w:p>
        </w:tc>
        <w:tc>
          <w:tcPr>
            <w:tcW w:w="1490" w:type="dxa"/>
            <w:gridSpan w:val="4"/>
            <w:tcBorders/>
            <w:shd w:fill="auto" w:val="clear"/>
            <w:vAlign w:val="center"/>
          </w:tcPr>
          <w:p>
            <w:pPr>
              <w:pStyle w:val="TableContents"/>
              <w:spacing w:before="0" w:after="283"/>
              <w:rPr>
                <w:sz w:val="4"/>
                <w:szCs w:val="4"/>
              </w:rPr>
            </w:pPr>
            <w:r>
              <w:rPr>
                <w:sz w:val="4"/>
                <w:szCs w:val="4"/>
              </w:rPr>
            </w:r>
          </w:p>
        </w:tc>
        <w:tc>
          <w:tcPr>
            <w:tcW w:w="1419" w:type="dxa"/>
            <w:gridSpan w:val="4"/>
            <w:tcBorders/>
            <w:shd w:fill="auto" w:val="clear"/>
            <w:vAlign w:val="center"/>
          </w:tcPr>
          <w:p>
            <w:pPr>
              <w:pStyle w:val="TableContents"/>
              <w:spacing w:before="0" w:after="283"/>
              <w:rPr>
                <w:sz w:val="4"/>
                <w:szCs w:val="4"/>
              </w:rPr>
            </w:pPr>
            <w:r>
              <w:rPr>
                <w:sz w:val="4"/>
                <w:szCs w:val="4"/>
              </w:rPr>
            </w:r>
          </w:p>
        </w:tc>
        <w:tc>
          <w:tcPr>
            <w:tcW w:w="1480" w:type="dxa"/>
            <w:gridSpan w:val="4"/>
            <w:tcBorders/>
            <w:shd w:fill="auto" w:val="clear"/>
            <w:vAlign w:val="center"/>
          </w:tcPr>
          <w:p>
            <w:pPr>
              <w:pStyle w:val="TableContents"/>
              <w:spacing w:before="0" w:after="283"/>
              <w:rPr>
                <w:sz w:val="4"/>
                <w:szCs w:val="4"/>
              </w:rPr>
            </w:pPr>
            <w:r>
              <w:rPr>
                <w:sz w:val="4"/>
                <w:szCs w:val="4"/>
              </w:rPr>
            </w:r>
          </w:p>
        </w:tc>
        <w:tc>
          <w:tcPr>
            <w:tcW w:w="1429" w:type="dxa"/>
            <w:gridSpan w:val="4"/>
            <w:tcBorders/>
            <w:shd w:fill="auto" w:val="clear"/>
            <w:vAlign w:val="center"/>
          </w:tcPr>
          <w:p>
            <w:pPr>
              <w:pStyle w:val="TableContents"/>
              <w:spacing w:before="0" w:after="283"/>
              <w:rPr>
                <w:sz w:val="4"/>
                <w:szCs w:val="4"/>
              </w:rPr>
            </w:pPr>
            <w:r>
              <w:rPr>
                <w:sz w:val="4"/>
                <w:szCs w:val="4"/>
              </w:rPr>
            </w:r>
          </w:p>
        </w:tc>
      </w:tr>
      <w:tr>
        <w:trPr/>
        <w:tc>
          <w:tcPr>
            <w:tcW w:w="1805" w:type="dxa"/>
            <w:tcBorders/>
            <w:shd w:fill="auto" w:val="clear"/>
            <w:vAlign w:val="center"/>
          </w:tcPr>
          <w:p>
            <w:pPr>
              <w:pStyle w:val="TableContents"/>
              <w:spacing w:lineRule="atLeast" w:line="260" w:before="0" w:after="0"/>
              <w:rPr/>
            </w:pPr>
            <w:r>
              <w:rPr/>
              <w:t>  </w:t>
            </w:r>
            <w:r>
              <w:rPr>
                <w:rFonts w:ascii="ARIAL" w:hAnsi="ARIAL"/>
                <w:sz w:val="19"/>
              </w:rPr>
              <w:t>Robert C. Crisci</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lineRule="atLeast" w:line="260" w:before="0" w:after="0"/>
              <w:rPr/>
            </w:pPr>
            <w:r>
              <w:rPr/>
              <w:t> </w:t>
            </w:r>
          </w:p>
        </w:tc>
        <w:tc>
          <w:tcPr>
            <w:tcW w:w="1208"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191,500</w:t>
            </w:r>
          </w:p>
        </w:tc>
        <w:tc>
          <w:tcPr>
            <w:tcW w:w="60" w:type="dxa"/>
            <w:tcBorders/>
            <w:shd w:fill="auto" w:val="clear"/>
            <w:vAlign w:val="center"/>
          </w:tcPr>
          <w:p>
            <w:pPr>
              <w:pStyle w:val="TableContents"/>
              <w:spacing w:lineRule="atLeast" w:line="260" w:before="0" w:after="0"/>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lineRule="atLeast" w:line="260" w:before="0" w:after="0"/>
              <w:rPr/>
            </w:pPr>
            <w:r>
              <w:rPr/>
              <w:t> </w:t>
            </w:r>
          </w:p>
        </w:tc>
        <w:tc>
          <w:tcPr>
            <w:tcW w:w="1208"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120,750</w:t>
            </w:r>
          </w:p>
        </w:tc>
        <w:tc>
          <w:tcPr>
            <w:tcW w:w="60" w:type="dxa"/>
            <w:tcBorders/>
            <w:shd w:fill="auto" w:val="clear"/>
            <w:vAlign w:val="center"/>
          </w:tcPr>
          <w:p>
            <w:pPr>
              <w:pStyle w:val="TableContents"/>
              <w:spacing w:lineRule="atLeast" w:line="260" w:before="0" w:after="0"/>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lineRule="atLeast" w:line="260" w:before="0" w:after="0"/>
              <w:rPr/>
            </w:pPr>
            <w:r>
              <w:rPr/>
              <w:t> </w:t>
            </w:r>
          </w:p>
        </w:tc>
        <w:tc>
          <w:tcPr>
            <w:tcW w:w="1076"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(254,632</w:t>
            </w:r>
          </w:p>
        </w:tc>
        <w:tc>
          <w:tcPr>
            <w:tcW w:w="140" w:type="dxa"/>
            <w:tcBorders/>
            <w:shd w:fill="auto" w:val="clear"/>
            <w:vAlign w:val="center"/>
          </w:tcPr>
          <w:p>
            <w:pPr>
              <w:pStyle w:val="TableContents"/>
              <w:spacing w:lineRule="atLeast" w:line="260" w:before="0" w:after="0"/>
              <w:rPr>
                <w:rFonts w:ascii="ARIAL" w:hAnsi="ARIAL"/>
                <w:sz w:val="19"/>
              </w:rPr>
            </w:pPr>
            <w:r>
              <w:rPr>
                <w:rFonts w:ascii="ARIAL" w:hAnsi="ARIAL"/>
                <w:sz w:val="19"/>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lineRule="atLeast" w:line="260" w:before="0" w:after="0"/>
              <w:rPr/>
            </w:pPr>
            <w:r>
              <w:rPr/>
              <w:t> </w:t>
            </w:r>
          </w:p>
        </w:tc>
        <w:tc>
          <w:tcPr>
            <w:tcW w:w="1188"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(259,029</w:t>
            </w:r>
          </w:p>
        </w:tc>
        <w:tc>
          <w:tcPr>
            <w:tcW w:w="140" w:type="dxa"/>
            <w:tcBorders/>
            <w:shd w:fill="auto" w:val="clear"/>
            <w:vAlign w:val="center"/>
          </w:tcPr>
          <w:p>
            <w:pPr>
              <w:pStyle w:val="TableContents"/>
              <w:spacing w:lineRule="atLeast" w:line="260" w:before="0" w:after="0"/>
              <w:rPr>
                <w:rFonts w:ascii="ARIAL" w:hAnsi="ARIAL"/>
                <w:sz w:val="19"/>
              </w:rPr>
            </w:pPr>
            <w:r>
              <w:rPr>
                <w:rFonts w:ascii="ARIAL" w:hAnsi="ARIAL"/>
                <w:sz w:val="19"/>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lineRule="atLeast" w:line="260" w:before="0" w:after="0"/>
              <w:rPr/>
            </w:pPr>
            <w:r>
              <w:rPr/>
              <w:t> </w:t>
            </w:r>
          </w:p>
        </w:tc>
        <w:tc>
          <w:tcPr>
            <w:tcW w:w="1212"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1,259,713</w:t>
            </w:r>
          </w:p>
        </w:tc>
        <w:tc>
          <w:tcPr>
            <w:tcW w:w="75" w:type="dxa"/>
            <w:tcBorders/>
            <w:shd w:fill="auto" w:val="clear"/>
            <w:vAlign w:val="center"/>
          </w:tcPr>
          <w:p>
            <w:pPr>
              <w:pStyle w:val="TableContents"/>
              <w:spacing w:lineRule="atLeast" w:line="260" w:before="0" w:after="0"/>
              <w:rPr/>
            </w:pPr>
            <w:r>
              <w:rPr/>
              <w:t> </w:t>
            </w:r>
          </w:p>
        </w:tc>
      </w:tr>
      <w:tr>
        <w:trPr/>
        <w:tc>
          <w:tcPr>
            <w:tcW w:w="1805" w:type="dxa"/>
            <w:tcBorders/>
            <w:shd w:fill="CCDEF1" w:val="clear"/>
            <w:vAlign w:val="center"/>
          </w:tcPr>
          <w:p>
            <w:pPr>
              <w:pStyle w:val="TableContents"/>
              <w:spacing w:before="0" w:after="283"/>
              <w:rPr>
                <w:sz w:val="4"/>
                <w:szCs w:val="4"/>
              </w:rPr>
            </w:pPr>
            <w:r>
              <w:rPr>
                <w:sz w:val="4"/>
                <w:szCs w:val="4"/>
              </w:rPr>
            </w:r>
          </w:p>
        </w:tc>
        <w:tc>
          <w:tcPr>
            <w:tcW w:w="1490" w:type="dxa"/>
            <w:gridSpan w:val="4"/>
            <w:tcBorders/>
            <w:shd w:fill="CCDEF1" w:val="clear"/>
            <w:vAlign w:val="center"/>
          </w:tcPr>
          <w:p>
            <w:pPr>
              <w:pStyle w:val="TableContents"/>
              <w:spacing w:before="0" w:after="283"/>
              <w:rPr>
                <w:sz w:val="4"/>
                <w:szCs w:val="4"/>
              </w:rPr>
            </w:pPr>
            <w:r>
              <w:rPr>
                <w:sz w:val="4"/>
                <w:szCs w:val="4"/>
              </w:rPr>
            </w:r>
          </w:p>
        </w:tc>
        <w:tc>
          <w:tcPr>
            <w:tcW w:w="1490" w:type="dxa"/>
            <w:gridSpan w:val="4"/>
            <w:tcBorders/>
            <w:shd w:fill="CCDEF1" w:val="clear"/>
            <w:vAlign w:val="center"/>
          </w:tcPr>
          <w:p>
            <w:pPr>
              <w:pStyle w:val="TableContents"/>
              <w:spacing w:before="0" w:after="283"/>
              <w:rPr>
                <w:sz w:val="4"/>
                <w:szCs w:val="4"/>
              </w:rPr>
            </w:pPr>
            <w:r>
              <w:rPr>
                <w:sz w:val="4"/>
                <w:szCs w:val="4"/>
              </w:rPr>
            </w:r>
          </w:p>
        </w:tc>
        <w:tc>
          <w:tcPr>
            <w:tcW w:w="1419" w:type="dxa"/>
            <w:gridSpan w:val="4"/>
            <w:tcBorders/>
            <w:shd w:fill="CCDEF1" w:val="clear"/>
            <w:vAlign w:val="center"/>
          </w:tcPr>
          <w:p>
            <w:pPr>
              <w:pStyle w:val="TableContents"/>
              <w:spacing w:before="0" w:after="283"/>
              <w:rPr>
                <w:sz w:val="4"/>
                <w:szCs w:val="4"/>
              </w:rPr>
            </w:pPr>
            <w:r>
              <w:rPr>
                <w:sz w:val="4"/>
                <w:szCs w:val="4"/>
              </w:rPr>
            </w:r>
          </w:p>
        </w:tc>
        <w:tc>
          <w:tcPr>
            <w:tcW w:w="1480" w:type="dxa"/>
            <w:gridSpan w:val="4"/>
            <w:tcBorders/>
            <w:shd w:fill="CCDEF1" w:val="clear"/>
            <w:vAlign w:val="center"/>
          </w:tcPr>
          <w:p>
            <w:pPr>
              <w:pStyle w:val="TableContents"/>
              <w:spacing w:before="0" w:after="283"/>
              <w:rPr>
                <w:sz w:val="4"/>
                <w:szCs w:val="4"/>
              </w:rPr>
            </w:pPr>
            <w:r>
              <w:rPr>
                <w:sz w:val="4"/>
                <w:szCs w:val="4"/>
              </w:rPr>
            </w:r>
          </w:p>
        </w:tc>
        <w:tc>
          <w:tcPr>
            <w:tcW w:w="1429" w:type="dxa"/>
            <w:gridSpan w:val="4"/>
            <w:tcBorders/>
            <w:shd w:fill="CCDEF1" w:val="clear"/>
            <w:vAlign w:val="center"/>
          </w:tcPr>
          <w:p>
            <w:pPr>
              <w:pStyle w:val="TableContents"/>
              <w:spacing w:before="0" w:after="283"/>
              <w:rPr>
                <w:sz w:val="4"/>
                <w:szCs w:val="4"/>
              </w:rPr>
            </w:pPr>
            <w:r>
              <w:rPr>
                <w:sz w:val="4"/>
                <w:szCs w:val="4"/>
              </w:rPr>
            </w:r>
          </w:p>
        </w:tc>
      </w:tr>
      <w:tr>
        <w:trPr/>
        <w:tc>
          <w:tcPr>
            <w:tcW w:w="1805" w:type="dxa"/>
            <w:tcBorders/>
            <w:shd w:fill="CCDEF1" w:val="clear"/>
            <w:vAlign w:val="center"/>
          </w:tcPr>
          <w:p>
            <w:pPr>
              <w:pStyle w:val="TableContents"/>
              <w:spacing w:lineRule="atLeast" w:line="260" w:before="0" w:after="0"/>
              <w:rPr/>
            </w:pPr>
            <w:r>
              <w:rPr/>
              <w:t>  </w:t>
            </w:r>
            <w:r>
              <w:rPr>
                <w:rFonts w:ascii="ARIAL" w:hAnsi="ARIAL"/>
                <w:sz w:val="19"/>
              </w:rPr>
              <w:t>John K. Stipancich</w:t>
            </w:r>
          </w:p>
        </w:tc>
        <w:tc>
          <w:tcPr>
            <w:tcW w:w="120" w:type="dxa"/>
            <w:tcBorders/>
            <w:shd w:fill="CCDEF1" w:val="clear"/>
            <w:vAlign w:val="center"/>
          </w:tcPr>
          <w:p>
            <w:pPr>
              <w:pStyle w:val="TableContents"/>
              <w:spacing w:before="0" w:after="283"/>
              <w:rPr/>
            </w:pPr>
            <w:r>
              <w:rPr/>
              <w:t>  </w:t>
            </w:r>
          </w:p>
        </w:tc>
        <w:tc>
          <w:tcPr>
            <w:tcW w:w="102" w:type="dxa"/>
            <w:tcBorders/>
            <w:shd w:fill="CCDEF1" w:val="clear"/>
            <w:vAlign w:val="center"/>
          </w:tcPr>
          <w:p>
            <w:pPr>
              <w:pStyle w:val="TableContents"/>
              <w:spacing w:lineRule="atLeast" w:line="260" w:before="0" w:after="0"/>
              <w:rPr/>
            </w:pPr>
            <w:r>
              <w:rPr/>
              <w:t> </w:t>
            </w:r>
          </w:p>
        </w:tc>
        <w:tc>
          <w:tcPr>
            <w:tcW w:w="1208"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124,800</w:t>
            </w:r>
          </w:p>
        </w:tc>
        <w:tc>
          <w:tcPr>
            <w:tcW w:w="60" w:type="dxa"/>
            <w:tcBorders/>
            <w:shd w:fill="CCDEF1" w:val="clear"/>
            <w:vAlign w:val="center"/>
          </w:tcPr>
          <w:p>
            <w:pPr>
              <w:pStyle w:val="TableContents"/>
              <w:spacing w:lineRule="atLeast" w:line="260" w:before="0" w:after="0"/>
              <w:rPr/>
            </w:pPr>
            <w:r>
              <w:rPr/>
              <w:t> </w:t>
            </w:r>
          </w:p>
        </w:tc>
        <w:tc>
          <w:tcPr>
            <w:tcW w:w="120" w:type="dxa"/>
            <w:tcBorders/>
            <w:shd w:fill="CCDEF1" w:val="clear"/>
            <w:vAlign w:val="center"/>
          </w:tcPr>
          <w:p>
            <w:pPr>
              <w:pStyle w:val="TableContents"/>
              <w:spacing w:before="0" w:after="283"/>
              <w:rPr/>
            </w:pPr>
            <w:r>
              <w:rPr/>
              <w:t>  </w:t>
            </w:r>
          </w:p>
        </w:tc>
        <w:tc>
          <w:tcPr>
            <w:tcW w:w="102" w:type="dxa"/>
            <w:tcBorders/>
            <w:shd w:fill="CCDEF1" w:val="clear"/>
            <w:vAlign w:val="center"/>
          </w:tcPr>
          <w:p>
            <w:pPr>
              <w:pStyle w:val="TableContents"/>
              <w:spacing w:lineRule="atLeast" w:line="260" w:before="0" w:after="0"/>
              <w:rPr/>
            </w:pPr>
            <w:r>
              <w:rPr/>
              <w:t> </w:t>
            </w:r>
          </w:p>
        </w:tc>
        <w:tc>
          <w:tcPr>
            <w:tcW w:w="1208"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133,125</w:t>
            </w:r>
          </w:p>
        </w:tc>
        <w:tc>
          <w:tcPr>
            <w:tcW w:w="60" w:type="dxa"/>
            <w:tcBorders/>
            <w:shd w:fill="CCDEF1" w:val="clear"/>
            <w:vAlign w:val="center"/>
          </w:tcPr>
          <w:p>
            <w:pPr>
              <w:pStyle w:val="TableContents"/>
              <w:spacing w:lineRule="atLeast" w:line="260" w:before="0" w:after="0"/>
              <w:rPr/>
            </w:pPr>
            <w:r>
              <w:rPr/>
              <w:t> </w:t>
            </w:r>
          </w:p>
        </w:tc>
        <w:tc>
          <w:tcPr>
            <w:tcW w:w="120" w:type="dxa"/>
            <w:tcBorders/>
            <w:shd w:fill="CCDEF1" w:val="clear"/>
            <w:vAlign w:val="center"/>
          </w:tcPr>
          <w:p>
            <w:pPr>
              <w:pStyle w:val="TableContents"/>
              <w:spacing w:before="0" w:after="283"/>
              <w:rPr/>
            </w:pPr>
            <w:r>
              <w:rPr/>
              <w:t>  </w:t>
            </w:r>
          </w:p>
        </w:tc>
        <w:tc>
          <w:tcPr>
            <w:tcW w:w="83" w:type="dxa"/>
            <w:tcBorders/>
            <w:shd w:fill="CCDEF1" w:val="clear"/>
            <w:vAlign w:val="center"/>
          </w:tcPr>
          <w:p>
            <w:pPr>
              <w:pStyle w:val="TableContents"/>
              <w:spacing w:lineRule="atLeast" w:line="260" w:before="0" w:after="0"/>
              <w:rPr/>
            </w:pPr>
            <w:r>
              <w:rPr/>
              <w:t> </w:t>
            </w:r>
          </w:p>
        </w:tc>
        <w:tc>
          <w:tcPr>
            <w:tcW w:w="1076"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(139,482</w:t>
            </w:r>
          </w:p>
        </w:tc>
        <w:tc>
          <w:tcPr>
            <w:tcW w:w="140" w:type="dxa"/>
            <w:tcBorders/>
            <w:shd w:fill="CCDEF1" w:val="clear"/>
            <w:vAlign w:val="center"/>
          </w:tcPr>
          <w:p>
            <w:pPr>
              <w:pStyle w:val="TableContents"/>
              <w:spacing w:lineRule="atLeast" w:line="260" w:before="0" w:after="0"/>
              <w:rPr>
                <w:rFonts w:ascii="ARIAL" w:hAnsi="ARIAL"/>
                <w:sz w:val="19"/>
              </w:rPr>
            </w:pPr>
            <w:r>
              <w:rPr>
                <w:rFonts w:ascii="ARIAL" w:hAnsi="ARIAL"/>
                <w:sz w:val="19"/>
              </w:rPr>
              <w:t>) </w:t>
            </w:r>
          </w:p>
        </w:tc>
        <w:tc>
          <w:tcPr>
            <w:tcW w:w="60" w:type="dxa"/>
            <w:tcBorders/>
            <w:shd w:fill="CCDEF1" w:val="clear"/>
            <w:vAlign w:val="center"/>
          </w:tcPr>
          <w:p>
            <w:pPr>
              <w:pStyle w:val="TableContents"/>
              <w:spacing w:before="0" w:after="283"/>
              <w:rPr/>
            </w:pPr>
            <w:r>
              <w:rPr/>
              <w:t> </w:t>
            </w:r>
          </w:p>
        </w:tc>
        <w:tc>
          <w:tcPr>
            <w:tcW w:w="92" w:type="dxa"/>
            <w:tcBorders/>
            <w:shd w:fill="CCDEF1" w:val="clear"/>
            <w:vAlign w:val="center"/>
          </w:tcPr>
          <w:p>
            <w:pPr>
              <w:pStyle w:val="TableContents"/>
              <w:spacing w:lineRule="atLeast" w:line="260" w:before="0" w:after="0"/>
              <w:rPr/>
            </w:pPr>
            <w:r>
              <w:rPr/>
              <w:t> </w:t>
            </w:r>
          </w:p>
        </w:tc>
        <w:tc>
          <w:tcPr>
            <w:tcW w:w="1188"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140" w:type="dxa"/>
            <w:tcBorders/>
            <w:shd w:fill="CCDEF1" w:val="clear"/>
            <w:vAlign w:val="center"/>
          </w:tcPr>
          <w:p>
            <w:pPr>
              <w:pStyle w:val="TableContents"/>
              <w:spacing w:lineRule="atLeast" w:line="260" w:before="0" w:after="0"/>
              <w:rPr/>
            </w:pPr>
            <w:r>
              <w:rPr/>
              <w:t> </w:t>
            </w:r>
          </w:p>
        </w:tc>
        <w:tc>
          <w:tcPr>
            <w:tcW w:w="60" w:type="dxa"/>
            <w:tcBorders/>
            <w:shd w:fill="CCDEF1" w:val="clear"/>
            <w:vAlign w:val="center"/>
          </w:tcPr>
          <w:p>
            <w:pPr>
              <w:pStyle w:val="TableContents"/>
              <w:spacing w:before="0" w:after="283"/>
              <w:rPr/>
            </w:pPr>
            <w:r>
              <w:rPr/>
              <w:t> </w:t>
            </w:r>
          </w:p>
        </w:tc>
        <w:tc>
          <w:tcPr>
            <w:tcW w:w="82" w:type="dxa"/>
            <w:tcBorders/>
            <w:shd w:fill="CCDEF1" w:val="clear"/>
            <w:vAlign w:val="center"/>
          </w:tcPr>
          <w:p>
            <w:pPr>
              <w:pStyle w:val="TableContents"/>
              <w:spacing w:lineRule="atLeast" w:line="260" w:before="0" w:after="0"/>
              <w:rPr/>
            </w:pPr>
            <w:r>
              <w:rPr/>
              <w:t> </w:t>
            </w:r>
          </w:p>
        </w:tc>
        <w:tc>
          <w:tcPr>
            <w:tcW w:w="1212"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1,050,599</w:t>
            </w:r>
          </w:p>
        </w:tc>
        <w:tc>
          <w:tcPr>
            <w:tcW w:w="75" w:type="dxa"/>
            <w:tcBorders/>
            <w:shd w:fill="CCDEF1" w:val="clear"/>
            <w:vAlign w:val="center"/>
          </w:tcPr>
          <w:p>
            <w:pPr>
              <w:pStyle w:val="TableContents"/>
              <w:spacing w:lineRule="atLeast" w:line="260" w:before="0" w:after="0"/>
              <w:rPr/>
            </w:pPr>
            <w:r>
              <w:rPr/>
              <w:t> </w:t>
            </w:r>
          </w:p>
        </w:tc>
      </w:tr>
      <w:tr>
        <w:trPr/>
        <w:tc>
          <w:tcPr>
            <w:tcW w:w="1805" w:type="dxa"/>
            <w:tcBorders/>
            <w:shd w:fill="auto" w:val="clear"/>
            <w:vAlign w:val="center"/>
          </w:tcPr>
          <w:p>
            <w:pPr>
              <w:pStyle w:val="TableContents"/>
              <w:spacing w:before="0" w:after="283"/>
              <w:rPr>
                <w:sz w:val="4"/>
                <w:szCs w:val="4"/>
              </w:rPr>
            </w:pPr>
            <w:r>
              <w:rPr>
                <w:sz w:val="4"/>
                <w:szCs w:val="4"/>
              </w:rPr>
            </w:r>
          </w:p>
        </w:tc>
        <w:tc>
          <w:tcPr>
            <w:tcW w:w="1490" w:type="dxa"/>
            <w:gridSpan w:val="4"/>
            <w:tcBorders/>
            <w:shd w:fill="auto" w:val="clear"/>
            <w:vAlign w:val="center"/>
          </w:tcPr>
          <w:p>
            <w:pPr>
              <w:pStyle w:val="TableContents"/>
              <w:spacing w:before="0" w:after="283"/>
              <w:rPr>
                <w:sz w:val="4"/>
                <w:szCs w:val="4"/>
              </w:rPr>
            </w:pPr>
            <w:r>
              <w:rPr>
                <w:sz w:val="4"/>
                <w:szCs w:val="4"/>
              </w:rPr>
            </w:r>
          </w:p>
        </w:tc>
        <w:tc>
          <w:tcPr>
            <w:tcW w:w="1490" w:type="dxa"/>
            <w:gridSpan w:val="4"/>
            <w:tcBorders/>
            <w:shd w:fill="auto" w:val="clear"/>
            <w:vAlign w:val="center"/>
          </w:tcPr>
          <w:p>
            <w:pPr>
              <w:pStyle w:val="TableContents"/>
              <w:spacing w:before="0" w:after="283"/>
              <w:rPr>
                <w:sz w:val="4"/>
                <w:szCs w:val="4"/>
              </w:rPr>
            </w:pPr>
            <w:r>
              <w:rPr>
                <w:sz w:val="4"/>
                <w:szCs w:val="4"/>
              </w:rPr>
            </w:r>
          </w:p>
        </w:tc>
        <w:tc>
          <w:tcPr>
            <w:tcW w:w="1419" w:type="dxa"/>
            <w:gridSpan w:val="4"/>
            <w:tcBorders/>
            <w:shd w:fill="auto" w:val="clear"/>
            <w:vAlign w:val="center"/>
          </w:tcPr>
          <w:p>
            <w:pPr>
              <w:pStyle w:val="TableContents"/>
              <w:spacing w:before="0" w:after="283"/>
              <w:rPr>
                <w:sz w:val="4"/>
                <w:szCs w:val="4"/>
              </w:rPr>
            </w:pPr>
            <w:r>
              <w:rPr>
                <w:sz w:val="4"/>
                <w:szCs w:val="4"/>
              </w:rPr>
            </w:r>
          </w:p>
        </w:tc>
        <w:tc>
          <w:tcPr>
            <w:tcW w:w="1480" w:type="dxa"/>
            <w:gridSpan w:val="4"/>
            <w:tcBorders/>
            <w:shd w:fill="auto" w:val="clear"/>
            <w:vAlign w:val="center"/>
          </w:tcPr>
          <w:p>
            <w:pPr>
              <w:pStyle w:val="TableContents"/>
              <w:spacing w:before="0" w:after="283"/>
              <w:rPr>
                <w:sz w:val="4"/>
                <w:szCs w:val="4"/>
              </w:rPr>
            </w:pPr>
            <w:r>
              <w:rPr>
                <w:sz w:val="4"/>
                <w:szCs w:val="4"/>
              </w:rPr>
            </w:r>
          </w:p>
        </w:tc>
        <w:tc>
          <w:tcPr>
            <w:tcW w:w="1429" w:type="dxa"/>
            <w:gridSpan w:val="4"/>
            <w:tcBorders/>
            <w:shd w:fill="auto" w:val="clear"/>
            <w:vAlign w:val="center"/>
          </w:tcPr>
          <w:p>
            <w:pPr>
              <w:pStyle w:val="TableContents"/>
              <w:spacing w:before="0" w:after="283"/>
              <w:rPr>
                <w:sz w:val="4"/>
                <w:szCs w:val="4"/>
              </w:rPr>
            </w:pPr>
            <w:r>
              <w:rPr>
                <w:sz w:val="4"/>
                <w:szCs w:val="4"/>
              </w:rPr>
            </w:r>
          </w:p>
        </w:tc>
      </w:tr>
      <w:tr>
        <w:trPr/>
        <w:tc>
          <w:tcPr>
            <w:tcW w:w="1805" w:type="dxa"/>
            <w:tcBorders/>
            <w:shd w:fill="auto" w:val="clear"/>
            <w:vAlign w:val="center"/>
          </w:tcPr>
          <w:p>
            <w:pPr>
              <w:pStyle w:val="TableContents"/>
              <w:spacing w:lineRule="atLeast" w:line="260" w:before="0" w:after="0"/>
              <w:rPr/>
            </w:pPr>
            <w:r>
              <w:rPr/>
              <w:t>  </w:t>
            </w:r>
            <w:r>
              <w:rPr>
                <w:rFonts w:ascii="ARIAL" w:hAnsi="ARIAL"/>
                <w:sz w:val="19"/>
              </w:rPr>
              <w:t>Jason Conley</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lineRule="atLeast" w:line="260" w:before="0" w:after="0"/>
              <w:rPr/>
            </w:pPr>
            <w:r>
              <w:rPr/>
              <w:t> </w:t>
            </w:r>
          </w:p>
        </w:tc>
        <w:tc>
          <w:tcPr>
            <w:tcW w:w="1208"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495,437</w:t>
            </w:r>
          </w:p>
        </w:tc>
        <w:tc>
          <w:tcPr>
            <w:tcW w:w="60" w:type="dxa"/>
            <w:tcBorders/>
            <w:shd w:fill="auto" w:val="clear"/>
            <w:vAlign w:val="center"/>
          </w:tcPr>
          <w:p>
            <w:pPr>
              <w:pStyle w:val="TableContents"/>
              <w:spacing w:lineRule="atLeast" w:line="260" w:before="0" w:after="0"/>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lineRule="atLeast" w:line="260" w:before="0" w:after="0"/>
              <w:rPr/>
            </w:pPr>
            <w:r>
              <w:rPr/>
              <w:t> </w:t>
            </w:r>
          </w:p>
        </w:tc>
        <w:tc>
          <w:tcPr>
            <w:tcW w:w="1208"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83,203</w:t>
            </w:r>
          </w:p>
        </w:tc>
        <w:tc>
          <w:tcPr>
            <w:tcW w:w="60" w:type="dxa"/>
            <w:tcBorders/>
            <w:shd w:fill="auto" w:val="clear"/>
            <w:vAlign w:val="center"/>
          </w:tcPr>
          <w:p>
            <w:pPr>
              <w:pStyle w:val="TableContents"/>
              <w:spacing w:lineRule="atLeast" w:line="260" w:before="0" w:after="0"/>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lineRule="atLeast" w:line="260" w:before="0" w:after="0"/>
              <w:rPr/>
            </w:pPr>
            <w:r>
              <w:rPr/>
              <w:t> </w:t>
            </w:r>
          </w:p>
        </w:tc>
        <w:tc>
          <w:tcPr>
            <w:tcW w:w="1076"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(306,333</w:t>
            </w:r>
          </w:p>
        </w:tc>
        <w:tc>
          <w:tcPr>
            <w:tcW w:w="140" w:type="dxa"/>
            <w:tcBorders/>
            <w:shd w:fill="auto" w:val="clear"/>
            <w:vAlign w:val="center"/>
          </w:tcPr>
          <w:p>
            <w:pPr>
              <w:pStyle w:val="TableContents"/>
              <w:spacing w:lineRule="atLeast" w:line="260" w:before="0" w:after="0"/>
              <w:rPr>
                <w:rFonts w:ascii="ARIAL" w:hAnsi="ARIAL"/>
                <w:sz w:val="19"/>
              </w:rPr>
            </w:pPr>
            <w:r>
              <w:rPr>
                <w:rFonts w:ascii="ARIAL" w:hAnsi="ARIAL"/>
                <w:sz w:val="19"/>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lineRule="atLeast" w:line="260" w:before="0" w:after="0"/>
              <w:rPr/>
            </w:pPr>
            <w:r>
              <w:rPr/>
              <w:t> </w:t>
            </w:r>
          </w:p>
        </w:tc>
        <w:tc>
          <w:tcPr>
            <w:tcW w:w="1188"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(37,140</w:t>
            </w:r>
          </w:p>
        </w:tc>
        <w:tc>
          <w:tcPr>
            <w:tcW w:w="140" w:type="dxa"/>
            <w:tcBorders/>
            <w:shd w:fill="auto" w:val="clear"/>
            <w:vAlign w:val="center"/>
          </w:tcPr>
          <w:p>
            <w:pPr>
              <w:pStyle w:val="TableContents"/>
              <w:spacing w:lineRule="atLeast" w:line="260" w:before="0" w:after="0"/>
              <w:rPr>
                <w:rFonts w:ascii="ARIAL" w:hAnsi="ARIAL"/>
                <w:sz w:val="19"/>
              </w:rPr>
            </w:pPr>
            <w:r>
              <w:rPr>
                <w:rFonts w:ascii="ARIAL" w:hAnsi="ARIAL"/>
                <w:sz w:val="19"/>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lineRule="atLeast" w:line="260" w:before="0" w:after="0"/>
              <w:rPr/>
            </w:pPr>
            <w:r>
              <w:rPr/>
              <w:t> </w:t>
            </w:r>
          </w:p>
        </w:tc>
        <w:tc>
          <w:tcPr>
            <w:tcW w:w="1212"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2,419,103</w:t>
            </w:r>
          </w:p>
        </w:tc>
        <w:tc>
          <w:tcPr>
            <w:tcW w:w="75" w:type="dxa"/>
            <w:tcBorders/>
            <w:shd w:fill="auto" w:val="clear"/>
            <w:vAlign w:val="center"/>
          </w:tcPr>
          <w:p>
            <w:pPr>
              <w:pStyle w:val="TableContents"/>
              <w:spacing w:lineRule="atLeast" w:line="260" w:before="0" w:after="0"/>
              <w:rPr/>
            </w:pPr>
            <w:r>
              <w:rPr/>
              <w:t> </w:t>
            </w:r>
          </w:p>
        </w:tc>
      </w:tr>
    </w:tbl>
    <w:tbl>
      <w:tblPr>
        <w:tblW w:w="10205" w:type="dxa"/>
        <w:jc w:val="left"/>
        <w:tblInd w:w="0" w:type="dxa"/>
        <w:tblCellMar>
          <w:top w:w="0" w:type="dxa"/>
          <w:left w:w="0" w:type="dxa"/>
          <w:bottom w:w="0" w:type="dxa"/>
          <w:right w:w="0" w:type="dxa"/>
        </w:tblCellMar>
      </w:tblPr>
      <w:tblGrid>
        <w:gridCol w:w="289"/>
        <w:gridCol w:w="9916"/>
      </w:tblGrid>
      <w:tr>
        <w:trPr/>
        <w:tc>
          <w:tcPr>
            <w:tcW w:w="289" w:type="dxa"/>
            <w:tcBorders/>
            <w:shd w:fill="auto" w:val="clear"/>
            <w:vAlign w:val="center"/>
          </w:tcPr>
          <w:p>
            <w:pPr>
              <w:pStyle w:val="TableContents"/>
              <w:spacing w:before="0" w:after="283"/>
              <w:jc w:val="left"/>
              <w:rPr/>
            </w:pPr>
            <w:r>
              <w:rPr/>
              <w:t>(1) </w:t>
            </w:r>
          </w:p>
        </w:tc>
        <w:tc>
          <w:tcPr>
            <w:tcW w:w="9916" w:type="dxa"/>
            <w:tcBorders/>
            <w:shd w:fill="auto" w:val="clear"/>
            <w:vAlign w:val="center"/>
          </w:tcPr>
          <w:p>
            <w:pPr>
              <w:pStyle w:val="TableContents"/>
              <w:spacing w:before="0" w:after="0"/>
              <w:jc w:val="left"/>
              <w:rPr>
                <w:rFonts w:ascii="ARIAL" w:hAnsi="ARIAL"/>
                <w:sz w:val="16"/>
              </w:rPr>
            </w:pPr>
            <w:r>
              <w:rPr>
                <w:rFonts w:ascii="ARIAL" w:hAnsi="ARIAL"/>
                <w:sz w:val="16"/>
              </w:rPr>
              <w:t xml:space="preserve">Amounts reflect participant deferrals under the Non-Qualified Retirement Plan during the fiscal year ended December 31, 2022 and all of these amounts are included in the Summary Compensation Table above in the “Salary” or “Non-Equity Incentive Plan Compensation” column as applicable. </w:t>
            </w:r>
          </w:p>
        </w:tc>
      </w:tr>
    </w:tbl>
    <w:p>
      <w:pPr>
        <w:pStyle w:val="TextBody"/>
        <w:spacing w:before="0" w:after="0"/>
        <w:jc w:val="left"/>
        <w:rPr/>
      </w:pPr>
      <w:r>
        <w:rPr/>
        <w:t> </w:t>
      </w:r>
    </w:p>
    <w:tbl>
      <w:tblPr>
        <w:tblW w:w="8005" w:type="dxa"/>
        <w:jc w:val="left"/>
        <w:tblInd w:w="0" w:type="dxa"/>
        <w:tblCellMar>
          <w:top w:w="0" w:type="dxa"/>
          <w:left w:w="0" w:type="dxa"/>
          <w:bottom w:w="0" w:type="dxa"/>
          <w:right w:w="0" w:type="dxa"/>
        </w:tblCellMar>
      </w:tblPr>
      <w:tblGrid>
        <w:gridCol w:w="365"/>
        <w:gridCol w:w="7640"/>
      </w:tblGrid>
      <w:tr>
        <w:trPr/>
        <w:tc>
          <w:tcPr>
            <w:tcW w:w="365" w:type="dxa"/>
            <w:tcBorders/>
            <w:shd w:fill="auto" w:val="clear"/>
            <w:vAlign w:val="center"/>
          </w:tcPr>
          <w:p>
            <w:pPr>
              <w:pStyle w:val="TableContents"/>
              <w:spacing w:before="0" w:after="283"/>
              <w:jc w:val="left"/>
              <w:rPr/>
            </w:pPr>
            <w:r>
              <w:rPr/>
              <w:t>(2) </w:t>
            </w:r>
          </w:p>
        </w:tc>
        <w:tc>
          <w:tcPr>
            <w:tcW w:w="7640"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amounts are included in the Summary Compensation Table in the “All Other Compensation” column.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09"/>
        <w:gridCol w:w="9896"/>
      </w:tblGrid>
      <w:tr>
        <w:trPr/>
        <w:tc>
          <w:tcPr>
            <w:tcW w:w="309" w:type="dxa"/>
            <w:tcBorders/>
            <w:shd w:fill="auto" w:val="clear"/>
            <w:vAlign w:val="center"/>
          </w:tcPr>
          <w:p>
            <w:pPr>
              <w:pStyle w:val="TableContents"/>
              <w:spacing w:before="0" w:after="283"/>
              <w:jc w:val="left"/>
              <w:rPr/>
            </w:pPr>
            <w:r>
              <w:rPr/>
              <w:t>(3) </w:t>
            </w:r>
          </w:p>
        </w:tc>
        <w:tc>
          <w:tcPr>
            <w:tcW w:w="9896" w:type="dxa"/>
            <w:tcBorders/>
            <w:shd w:fill="auto" w:val="clear"/>
            <w:vAlign w:val="center"/>
          </w:tcPr>
          <w:p>
            <w:pPr>
              <w:pStyle w:val="TableContents"/>
              <w:spacing w:before="0" w:after="0"/>
              <w:jc w:val="left"/>
              <w:rPr>
                <w:rFonts w:ascii="ARIAL" w:hAnsi="ARIAL"/>
                <w:sz w:val="16"/>
              </w:rPr>
            </w:pPr>
            <w:r>
              <w:rPr>
                <w:rFonts w:ascii="ARIAL" w:hAnsi="ARIAL"/>
                <w:sz w:val="16"/>
              </w:rPr>
              <w:t xml:space="preserve">No portion of these earnings was included in the Summary Compensation Table because the Non-Qualified Retirement Plan does not provide for “above-market” or preferential earnings as defined in applicable SEC rules.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283"/>
              <w:jc w:val="left"/>
              <w:rPr/>
            </w:pPr>
            <w:r>
              <w:rPr/>
              <w:t>(4) </w:t>
            </w:r>
          </w:p>
        </w:tc>
        <w:tc>
          <w:tcPr>
            <w:tcW w:w="9908" w:type="dxa"/>
            <w:tcBorders/>
            <w:shd w:fill="auto" w:val="clear"/>
            <w:vAlign w:val="center"/>
          </w:tcPr>
          <w:p>
            <w:pPr>
              <w:pStyle w:val="TableContents"/>
              <w:spacing w:before="0" w:after="0"/>
              <w:jc w:val="left"/>
              <w:rPr>
                <w:rFonts w:ascii="ARIAL" w:hAnsi="ARIAL"/>
                <w:sz w:val="16"/>
              </w:rPr>
            </w:pPr>
            <w:r>
              <w:rPr>
                <w:rFonts w:ascii="ARIAL" w:hAnsi="ARIAL"/>
                <w:sz w:val="16"/>
              </w:rPr>
              <w:t xml:space="preserve">Of the amounts reflected in this column, the following portions were reported in previous years’ Summary Compensation Tables for the named executive officers: Mr. Hunn, $774,529; Mr. Crisci, $847,329; Mr. Stipancich, $739,153; and Mr. Conley, $1,025,106. </w:t>
            </w:r>
          </w:p>
        </w:tc>
      </w:tr>
    </w:tbl>
    <w:p>
      <w:pPr>
        <w:pStyle w:val="TextBody"/>
        <w:spacing w:before="240" w:after="0"/>
        <w:jc w:val="left"/>
        <w:rPr>
          <w:rFonts w:ascii="ARIAL" w:hAnsi="ARIAL"/>
          <w:b/>
          <w:color w:val="005CB9"/>
          <w:sz w:val="20"/>
        </w:rPr>
      </w:pPr>
      <w:bookmarkStart w:id="29" w:name="toc356364_26"/>
      <w:bookmarkEnd w:id="29"/>
      <w:r>
        <w:rPr>
          <w:rFonts w:ascii="ARIAL" w:hAnsi="ARIAL"/>
          <w:b/>
          <w:color w:val="005CB9"/>
          <w:sz w:val="20"/>
        </w:rPr>
        <w:t xml:space="preserve">Potential Payments upon Termination or Change in Control </w:t>
      </w:r>
    </w:p>
    <w:p>
      <w:pPr>
        <w:pStyle w:val="TextBody"/>
        <w:spacing w:before="120" w:after="0"/>
        <w:jc w:val="left"/>
        <w:rPr>
          <w:rFonts w:ascii="ARIAL" w:hAnsi="ARIAL"/>
          <w:sz w:val="19"/>
        </w:rPr>
      </w:pPr>
      <w:r>
        <w:rPr>
          <w:rFonts w:ascii="ARIAL" w:hAnsi="ARIAL"/>
          <w:sz w:val="19"/>
        </w:rPr>
        <w:t xml:space="preserve">The offer letters with Messrs. Hunn and Stipancich provide for certain benefits in the event of the termination of the officer’s employment under certain conditions. The amount of the benefits varies depending on the reason for termination, as explained below. In no event will excise tax gross-ups be paid in regard to a termination of employment related to a change in control. </w: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46</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4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98" descr=""/>
                          <pic:cNvPicPr>
                            <a:picLocks noChangeAspect="1" noChangeArrowheads="1"/>
                          </pic:cNvPicPr>
                        </pic:nvPicPr>
                        <pic:blipFill>
                          <a:blip r:embed="rId99"/>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EXECUTIVE COMPENSATION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i/>
          <w:color w:val="005CB9"/>
          <w:sz w:val="20"/>
        </w:rPr>
      </w:pPr>
      <w:r>
        <w:rPr>
          <w:rFonts w:ascii="ARIAL" w:hAnsi="ARIAL"/>
          <w:b/>
          <w:i/>
          <w:color w:val="005CB9"/>
          <w:sz w:val="20"/>
        </w:rPr>
        <w:t xml:space="preserve">Offer Letters to Messrs. Hunn and Stipancich, and Special Long-Term Cash Incentive Arrangement with Mr. Hunn </w:t>
      </w:r>
    </w:p>
    <w:p>
      <w:pPr>
        <w:pStyle w:val="TextBody"/>
        <w:spacing w:before="120" w:after="0"/>
        <w:jc w:val="left"/>
        <w:rPr>
          <w:rFonts w:ascii="ARIAL" w:hAnsi="ARIAL"/>
          <w:sz w:val="19"/>
        </w:rPr>
      </w:pPr>
      <w:r>
        <w:rPr>
          <w:rFonts w:ascii="ARIAL" w:hAnsi="ARIAL"/>
          <w:i/>
          <w:sz w:val="19"/>
        </w:rPr>
        <w:t>Mr.</w:t>
      </w:r>
      <w:r>
        <w:rPr>
          <w:rFonts w:ascii="ARIAL" w:hAnsi="ARIAL"/>
          <w:sz w:val="19"/>
        </w:rPr>
        <w:t> </w:t>
      </w:r>
      <w:r>
        <w:rPr>
          <w:rFonts w:ascii="ARIAL" w:hAnsi="ARIAL"/>
          <w:i/>
          <w:sz w:val="19"/>
        </w:rPr>
        <w:t xml:space="preserve">Hunn. </w:t>
      </w:r>
      <w:r>
        <w:rPr>
          <w:rFonts w:ascii="ARIAL" w:hAnsi="ARIAL"/>
          <w:sz w:val="19"/>
        </w:rPr>
        <w:t xml:space="preserve">Pursuant to an offer letter dated August 18, 2011, if Mr. Hunn’s employment were to be terminated without cause, he would be entitled to receive one year of medical benefit coverage and a severance payment equal to his then-current annual base salary. In addition, Mr. Hunn is party to a long-term cash incentive arrangement, the material terms of which may be found in the CD&amp;A section above captioned “Analysis of 2021 Compensation—CEO Special Long-Term Cash Incentive”. </w:t>
      </w:r>
    </w:p>
    <w:p>
      <w:pPr>
        <w:pStyle w:val="TextBody"/>
        <w:spacing w:before="120" w:after="0"/>
        <w:jc w:val="left"/>
        <w:rPr>
          <w:rFonts w:ascii="ARIAL" w:hAnsi="ARIAL"/>
          <w:sz w:val="19"/>
        </w:rPr>
      </w:pPr>
      <w:r>
        <w:rPr>
          <w:rFonts w:ascii="ARIAL" w:hAnsi="ARIAL"/>
          <w:i/>
          <w:sz w:val="19"/>
        </w:rPr>
        <w:t>Mr.</w:t>
      </w:r>
      <w:r>
        <w:rPr>
          <w:rFonts w:ascii="ARIAL" w:hAnsi="ARIAL"/>
          <w:sz w:val="19"/>
        </w:rPr>
        <w:t> </w:t>
      </w:r>
      <w:r>
        <w:rPr>
          <w:rFonts w:ascii="ARIAL" w:hAnsi="ARIAL"/>
          <w:i/>
          <w:sz w:val="19"/>
        </w:rPr>
        <w:t>Stipancich</w:t>
      </w:r>
      <w:r>
        <w:rPr>
          <w:rFonts w:ascii="ARIAL" w:hAnsi="ARIAL"/>
          <w:sz w:val="19"/>
        </w:rPr>
        <w:t xml:space="preserve">. Pursuant to an offer letter dated June 17, 2016, if Mr. Stipancich’s employment were to be terminated without cause, he would be entitled to receive one year of medical benefit coverage and a severance payment equal to his then-current annual base salary, plus a pro-rated bonus based upon Company performance. </w:t>
      </w:r>
    </w:p>
    <w:p>
      <w:pPr>
        <w:pStyle w:val="TextBody"/>
        <w:spacing w:before="240" w:after="0"/>
        <w:jc w:val="left"/>
        <w:rPr>
          <w:rFonts w:ascii="ARIAL" w:hAnsi="ARIAL"/>
          <w:b/>
          <w:i/>
          <w:color w:val="005CB9"/>
          <w:sz w:val="20"/>
        </w:rPr>
      </w:pPr>
      <w:bookmarkStart w:id="30" w:name="toc356364_27"/>
      <w:bookmarkEnd w:id="30"/>
      <w:r>
        <w:rPr>
          <w:rFonts w:ascii="ARIAL" w:hAnsi="ARIAL"/>
          <w:b/>
          <w:i/>
          <w:color w:val="005CB9"/>
          <w:sz w:val="20"/>
        </w:rPr>
        <w:t xml:space="preserve">Summary of Termination Payments and Benefits </w:t>
      </w:r>
    </w:p>
    <w:p>
      <w:pPr>
        <w:pStyle w:val="TextBody"/>
        <w:spacing w:before="120" w:after="0"/>
        <w:jc w:val="left"/>
        <w:rPr>
          <w:rFonts w:ascii="ARIAL" w:hAnsi="ARIAL"/>
          <w:sz w:val="19"/>
        </w:rPr>
      </w:pPr>
      <w:r>
        <w:rPr>
          <w:rFonts w:ascii="ARIAL" w:hAnsi="ARIAL"/>
          <w:sz w:val="19"/>
        </w:rPr>
        <w:t xml:space="preserve">The following tables summarize the value of the termination payments and benefits that each of our named executive officers would receive if he had terminated employment on December 31, 2022 under the circumstances shown. Scenarios for termination for cause, voluntary resignation, and retirement have not been included because, in those circumstances, no severance or other additional payments would be made to named executive officers. Other than with respect to Mr. Hunn’s Special Long-Term Cash Incentive Award, scenarios for termination due to death or disability have not been included because they do not discriminate in scope, terms or operation in favor of named executive officers compared to the benefits offered to all salaried employees. </w: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4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9" descr=""/>
                          <pic:cNvPicPr>
                            <a:picLocks noChangeAspect="1" noChangeArrowheads="1"/>
                          </pic:cNvPicPr>
                        </pic:nvPicPr>
                        <pic:blipFill>
                          <a:blip r:embed="rId100"/>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47</w:t>
            </w:r>
          </w:p>
        </w:tc>
      </w:tr>
    </w:tbl>
    <w:p>
      <w:pPr>
        <w:pStyle w:val="TextBody"/>
        <w:spacing w:before="0" w:after="0"/>
        <w:jc w:val="left"/>
        <w:rPr/>
      </w:pPr>
      <w:r>
        <w:rPr/>
        <w:t> </w:t>
      </w:r>
      <w:r>
        <w:br w:type="page"/>
      </w:r>
    </w:p>
    <w:p>
      <w:pPr>
        <w:pStyle w:val="HorizontalLine"/>
        <w:rPr/>
      </w:pPr>
      <w:r>
        <w:rPr/>
      </w:r>
    </w:p>
    <w:p>
      <w:pPr>
        <w:pStyle w:val="TextBody"/>
        <w:spacing w:before="0" w:after="0"/>
        <w:jc w:val="left"/>
        <w:rPr>
          <w:rFonts w:ascii="ARIAL" w:hAnsi="ARIAL"/>
          <w:color w:val="005CB9"/>
          <w:sz w:val="20"/>
        </w:rPr>
      </w:pPr>
      <w:r>
        <w:rPr>
          <w:rFonts w:ascii="ARIAL" w:hAnsi="ARIAL"/>
          <w:color w:val="005CB9"/>
          <w:sz w:val="20"/>
        </w:rPr>
        <w:t xml:space="preserve">EXECUTIVE COMPENSATION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color w:val="005CB9"/>
          <w:sz w:val="20"/>
        </w:rPr>
      </w:pPr>
      <w:r>
        <w:rPr>
          <w:rFonts w:ascii="ARIAL" w:hAnsi="ARIAL"/>
          <w:b/>
          <w:color w:val="005CB9"/>
          <w:sz w:val="20"/>
        </w:rPr>
        <w:t xml:space="preserve">L. NEIL HUNN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735"/>
        <w:gridCol w:w="240"/>
        <w:gridCol w:w="365"/>
        <w:gridCol w:w="980"/>
        <w:gridCol w:w="60"/>
        <w:gridCol w:w="240"/>
        <w:gridCol w:w="125"/>
        <w:gridCol w:w="980"/>
        <w:gridCol w:w="60"/>
        <w:gridCol w:w="240"/>
        <w:gridCol w:w="125"/>
        <w:gridCol w:w="980"/>
        <w:gridCol w:w="75"/>
      </w:tblGrid>
      <w:tr>
        <w:trPr/>
        <w:tc>
          <w:tcPr>
            <w:tcW w:w="573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73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c>
          <w:tcPr>
            <w:tcW w:w="240" w:type="dxa"/>
            <w:tcBorders/>
            <w:shd w:fill="005CB9" w:val="clear"/>
            <w:vAlign w:val="center"/>
          </w:tcPr>
          <w:p>
            <w:pPr>
              <w:pStyle w:val="TableContents"/>
              <w:spacing w:before="0" w:after="283"/>
              <w:rPr/>
            </w:pPr>
            <w:r>
              <w:rPr/>
              <w:t>    </w:t>
            </w:r>
          </w:p>
        </w:tc>
        <w:tc>
          <w:tcPr>
            <w:tcW w:w="4155" w:type="dxa"/>
            <w:gridSpan w:val="10"/>
            <w:tcBorders>
              <w:bottom w:val="single" w:sz="8" w:space="0" w:color="FFFFFF"/>
            </w:tcBorders>
            <w:shd w:fill="005CB9" w:val="clear"/>
            <w:tcMar>
              <w:bottom w:w="28" w:type="dxa"/>
            </w:tcMar>
            <w:vAlign w:val="center"/>
          </w:tcPr>
          <w:p>
            <w:pPr>
              <w:pStyle w:val="TableContents"/>
              <w:spacing w:before="0" w:after="283"/>
              <w:jc w:val="center"/>
              <w:rPr>
                <w:color w:val="FFFFFF"/>
              </w:rPr>
            </w:pPr>
            <w:r>
              <w:rPr>
                <w:color w:val="FFFFFF"/>
              </w:rPr>
              <w:t>Termination Scenario</w:t>
            </w:r>
          </w:p>
        </w:tc>
        <w:tc>
          <w:tcPr>
            <w:tcW w:w="7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r>
      <w:tr>
        <w:trPr/>
        <w:tc>
          <w:tcPr>
            <w:tcW w:w="5735" w:type="dxa"/>
            <w:tcBorders/>
            <w:shd w:fill="005CB9" w:val="clear"/>
            <w:vAlign w:val="center"/>
          </w:tcPr>
          <w:p>
            <w:pPr>
              <w:pStyle w:val="TableContents"/>
              <w:spacing w:before="0" w:after="283"/>
              <w:rPr>
                <w:color w:val="FFFFFF"/>
              </w:rPr>
            </w:pPr>
            <w:r>
              <w:rPr>
                <w:color w:val="FFFFFF"/>
              </w:rPr>
              <w:t>  </w:t>
            </w:r>
            <w:r>
              <w:rPr>
                <w:color w:val="FFFFFF"/>
              </w:rPr>
              <w:t>Potential Payments Upon Termination or Change in Control</w:t>
            </w:r>
          </w:p>
        </w:tc>
        <w:tc>
          <w:tcPr>
            <w:tcW w:w="240" w:type="dxa"/>
            <w:tcBorders/>
            <w:shd w:fill="005CB9" w:val="clear"/>
            <w:vAlign w:val="center"/>
          </w:tcPr>
          <w:p>
            <w:pPr>
              <w:pStyle w:val="TableContents"/>
              <w:spacing w:before="0" w:after="283"/>
              <w:rPr/>
            </w:pPr>
            <w:r>
              <w:rPr/>
              <w:t>    </w:t>
            </w:r>
          </w:p>
        </w:tc>
        <w:tc>
          <w:tcPr>
            <w:tcW w:w="1345"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By Employee</w:t>
            </w:r>
          </w:p>
          <w:p>
            <w:pPr>
              <w:pStyle w:val="TableContents"/>
              <w:spacing w:before="0" w:after="20"/>
              <w:jc w:val="right"/>
              <w:rPr>
                <w:rFonts w:ascii="arial" w:hAnsi="arial"/>
                <w:color w:val="FFFFFF"/>
                <w:sz w:val="16"/>
              </w:rPr>
            </w:pPr>
            <w:r>
              <w:rPr>
                <w:rFonts w:ascii="arial" w:hAnsi="arial"/>
                <w:color w:val="FFFFFF"/>
                <w:sz w:val="16"/>
              </w:rPr>
              <w:t>For Good Reason</w:t>
            </w:r>
          </w:p>
        </w:tc>
        <w:tc>
          <w:tcPr>
            <w:tcW w:w="60" w:type="dxa"/>
            <w:tcBorders/>
            <w:shd w:fill="005CB9" w:val="clear"/>
            <w:vAlign w:val="center"/>
          </w:tcPr>
          <w:p>
            <w:pPr>
              <w:pStyle w:val="TableContents"/>
              <w:spacing w:before="0" w:after="283"/>
              <w:rPr/>
            </w:pPr>
            <w:r>
              <w:rPr/>
              <w:t> </w:t>
            </w:r>
          </w:p>
        </w:tc>
        <w:tc>
          <w:tcPr>
            <w:tcW w:w="240" w:type="dxa"/>
            <w:tcBorders/>
            <w:shd w:fill="005CB9" w:val="clear"/>
            <w:vAlign w:val="center"/>
          </w:tcPr>
          <w:p>
            <w:pPr>
              <w:pStyle w:val="TableContents"/>
              <w:spacing w:before="0" w:after="283"/>
              <w:rPr/>
            </w:pPr>
            <w:r>
              <w:rPr/>
              <w:t>    </w:t>
            </w:r>
          </w:p>
        </w:tc>
        <w:tc>
          <w:tcPr>
            <w:tcW w:w="1105"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By Company</w:t>
            </w:r>
          </w:p>
          <w:p>
            <w:pPr>
              <w:pStyle w:val="TableContents"/>
              <w:spacing w:before="0" w:after="20"/>
              <w:jc w:val="right"/>
              <w:rPr>
                <w:rFonts w:ascii="arial" w:hAnsi="arial"/>
                <w:color w:val="FFFFFF"/>
                <w:sz w:val="16"/>
              </w:rPr>
            </w:pPr>
            <w:r>
              <w:rPr>
                <w:rFonts w:ascii="arial" w:hAnsi="arial"/>
                <w:color w:val="FFFFFF"/>
                <w:sz w:val="16"/>
              </w:rPr>
              <w:t>Without Cause</w:t>
            </w:r>
          </w:p>
        </w:tc>
        <w:tc>
          <w:tcPr>
            <w:tcW w:w="60" w:type="dxa"/>
            <w:tcBorders/>
            <w:shd w:fill="005CB9" w:val="clear"/>
            <w:vAlign w:val="center"/>
          </w:tcPr>
          <w:p>
            <w:pPr>
              <w:pStyle w:val="TableContents"/>
              <w:spacing w:before="0" w:after="283"/>
              <w:rPr/>
            </w:pPr>
            <w:r>
              <w:rPr/>
              <w:t> </w:t>
            </w:r>
          </w:p>
        </w:tc>
        <w:tc>
          <w:tcPr>
            <w:tcW w:w="240" w:type="dxa"/>
            <w:tcBorders/>
            <w:shd w:fill="005CB9" w:val="clear"/>
            <w:vAlign w:val="center"/>
          </w:tcPr>
          <w:p>
            <w:pPr>
              <w:pStyle w:val="TableContents"/>
              <w:spacing w:before="0" w:after="283"/>
              <w:rPr/>
            </w:pPr>
            <w:r>
              <w:rPr/>
              <w:t>    </w:t>
            </w:r>
          </w:p>
        </w:tc>
        <w:tc>
          <w:tcPr>
            <w:tcW w:w="1105"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Change in</w:t>
            </w:r>
          </w:p>
          <w:p>
            <w:pPr>
              <w:pStyle w:val="TableContents"/>
              <w:spacing w:before="0" w:after="20"/>
              <w:jc w:val="right"/>
              <w:rPr>
                <w:rFonts w:ascii="arial" w:hAnsi="arial"/>
                <w:sz w:val="16"/>
              </w:rPr>
            </w:pPr>
            <w:r>
              <w:rPr>
                <w:rFonts w:ascii="arial" w:hAnsi="arial"/>
                <w:color w:val="FFFFFF"/>
                <w:sz w:val="16"/>
              </w:rPr>
              <w:t>Control</w:t>
            </w:r>
            <w:r>
              <w:rPr>
                <w:rFonts w:ascii="arial" w:hAnsi="arial"/>
                <w:color w:val="FFFFFF"/>
                <w:sz w:val="10"/>
              </w:rPr>
              <w:t xml:space="preserve">(1) </w:t>
            </w:r>
          </w:p>
        </w:tc>
        <w:tc>
          <w:tcPr>
            <w:tcW w:w="75" w:type="dxa"/>
            <w:tcBorders/>
            <w:shd w:fill="005CB9" w:val="clear"/>
            <w:vAlign w:val="center"/>
          </w:tcPr>
          <w:p>
            <w:pPr>
              <w:pStyle w:val="TableContents"/>
              <w:spacing w:before="0" w:after="283"/>
              <w:rPr/>
            </w:pPr>
            <w:r>
              <w:rPr/>
              <w:t> </w:t>
            </w:r>
          </w:p>
        </w:tc>
      </w:tr>
      <w:tr>
        <w:trPr/>
        <w:tc>
          <w:tcPr>
            <w:tcW w:w="5735" w:type="dxa"/>
            <w:tcBorders/>
            <w:shd w:fill="CCDEF1" w:val="clear"/>
            <w:vAlign w:val="center"/>
          </w:tcPr>
          <w:p>
            <w:pPr>
              <w:pStyle w:val="TableContents"/>
              <w:spacing w:before="0" w:after="283"/>
              <w:rPr>
                <w:sz w:val="4"/>
                <w:szCs w:val="4"/>
              </w:rPr>
            </w:pPr>
            <w:r>
              <w:rPr>
                <w:sz w:val="4"/>
                <w:szCs w:val="4"/>
              </w:rPr>
            </w:r>
          </w:p>
        </w:tc>
        <w:tc>
          <w:tcPr>
            <w:tcW w:w="1645" w:type="dxa"/>
            <w:gridSpan w:val="4"/>
            <w:tcBorders/>
            <w:shd w:fill="CCDEF1" w:val="clear"/>
            <w:vAlign w:val="center"/>
          </w:tcPr>
          <w:p>
            <w:pPr>
              <w:pStyle w:val="TableContents"/>
              <w:spacing w:before="0" w:after="283"/>
              <w:rPr>
                <w:sz w:val="4"/>
                <w:szCs w:val="4"/>
              </w:rPr>
            </w:pPr>
            <w:r>
              <w:rPr>
                <w:sz w:val="4"/>
                <w:szCs w:val="4"/>
              </w:rPr>
            </w:r>
          </w:p>
        </w:tc>
        <w:tc>
          <w:tcPr>
            <w:tcW w:w="1405" w:type="dxa"/>
            <w:gridSpan w:val="4"/>
            <w:tcBorders/>
            <w:shd w:fill="CCDEF1" w:val="clear"/>
            <w:vAlign w:val="center"/>
          </w:tcPr>
          <w:p>
            <w:pPr>
              <w:pStyle w:val="TableContents"/>
              <w:spacing w:before="0" w:after="283"/>
              <w:rPr>
                <w:sz w:val="4"/>
                <w:szCs w:val="4"/>
              </w:rPr>
            </w:pPr>
            <w:r>
              <w:rPr>
                <w:sz w:val="4"/>
                <w:szCs w:val="4"/>
              </w:rPr>
            </w:r>
          </w:p>
        </w:tc>
        <w:tc>
          <w:tcPr>
            <w:tcW w:w="1420" w:type="dxa"/>
            <w:gridSpan w:val="4"/>
            <w:tcBorders/>
            <w:shd w:fill="CCDEF1" w:val="clear"/>
            <w:vAlign w:val="center"/>
          </w:tcPr>
          <w:p>
            <w:pPr>
              <w:pStyle w:val="TableContents"/>
              <w:spacing w:before="0" w:after="283"/>
              <w:rPr>
                <w:sz w:val="4"/>
                <w:szCs w:val="4"/>
              </w:rPr>
            </w:pPr>
            <w:r>
              <w:rPr>
                <w:sz w:val="4"/>
                <w:szCs w:val="4"/>
              </w:rPr>
            </w:r>
          </w:p>
        </w:tc>
      </w:tr>
      <w:tr>
        <w:trPr/>
        <w:tc>
          <w:tcPr>
            <w:tcW w:w="5735" w:type="dxa"/>
            <w:tcBorders/>
            <w:shd w:fill="CCDEF1" w:val="clear"/>
            <w:vAlign w:val="center"/>
          </w:tcPr>
          <w:p>
            <w:pPr>
              <w:pStyle w:val="TableContents"/>
              <w:spacing w:lineRule="atLeast" w:line="260" w:before="0" w:after="0"/>
              <w:rPr/>
            </w:pPr>
            <w:r>
              <w:rPr/>
              <w:t>  </w:t>
            </w:r>
            <w:r>
              <w:rPr>
                <w:rFonts w:ascii="ARIAL" w:hAnsi="ARIAL"/>
                <w:sz w:val="19"/>
              </w:rPr>
              <w:t>Cash payments</w:t>
            </w:r>
          </w:p>
        </w:tc>
        <w:tc>
          <w:tcPr>
            <w:tcW w:w="240" w:type="dxa"/>
            <w:tcBorders/>
            <w:shd w:fill="CCDEF1" w:val="clear"/>
            <w:vAlign w:val="center"/>
          </w:tcPr>
          <w:p>
            <w:pPr>
              <w:pStyle w:val="TableContents"/>
              <w:spacing w:before="0" w:after="283"/>
              <w:rPr/>
            </w:pPr>
            <w:r>
              <w:rPr/>
              <w:t>    </w:t>
            </w:r>
          </w:p>
        </w:tc>
        <w:tc>
          <w:tcPr>
            <w:tcW w:w="365" w:type="dxa"/>
            <w:tcBorders/>
            <w:shd w:fill="CCDEF1" w:val="clear"/>
            <w:vAlign w:val="center"/>
          </w:tcPr>
          <w:p>
            <w:pPr>
              <w:pStyle w:val="TableContents"/>
              <w:spacing w:lineRule="atLeast" w:line="260" w:before="0" w:after="0"/>
              <w:rPr/>
            </w:pPr>
            <w:r>
              <w:rPr/>
              <w:t>    </w:t>
            </w:r>
            <w:r>
              <w:rPr>
                <w:rFonts w:ascii="ARIAL" w:hAnsi="ARIAL"/>
                <w:sz w:val="19"/>
              </w:rPr>
              <w:t>$</w:t>
            </w:r>
          </w:p>
        </w:tc>
        <w:tc>
          <w:tcPr>
            <w:tcW w:w="98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98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1,000,000</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98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1,000,000</w:t>
            </w:r>
          </w:p>
        </w:tc>
        <w:tc>
          <w:tcPr>
            <w:tcW w:w="75" w:type="dxa"/>
            <w:tcBorders/>
            <w:shd w:fill="CCDEF1" w:val="clear"/>
            <w:vAlign w:val="center"/>
          </w:tcPr>
          <w:p>
            <w:pPr>
              <w:pStyle w:val="TableContents"/>
              <w:spacing w:lineRule="atLeast" w:line="260" w:before="0" w:after="0"/>
              <w:rPr/>
            </w:pPr>
            <w:r>
              <w:rPr/>
              <w:t> </w:t>
            </w:r>
          </w:p>
        </w:tc>
      </w:tr>
      <w:tr>
        <w:trPr/>
        <w:tc>
          <w:tcPr>
            <w:tcW w:w="5735" w:type="dxa"/>
            <w:tcBorders/>
            <w:shd w:fill="auto" w:val="clear"/>
            <w:vAlign w:val="center"/>
          </w:tcPr>
          <w:p>
            <w:pPr>
              <w:pStyle w:val="TableContents"/>
              <w:spacing w:before="0" w:after="283"/>
              <w:rPr>
                <w:sz w:val="4"/>
                <w:szCs w:val="4"/>
              </w:rPr>
            </w:pPr>
            <w:r>
              <w:rPr>
                <w:sz w:val="4"/>
                <w:szCs w:val="4"/>
              </w:rPr>
            </w:r>
          </w:p>
        </w:tc>
        <w:tc>
          <w:tcPr>
            <w:tcW w:w="1645" w:type="dxa"/>
            <w:gridSpan w:val="4"/>
            <w:tcBorders/>
            <w:shd w:fill="auto" w:val="clear"/>
            <w:vAlign w:val="center"/>
          </w:tcPr>
          <w:p>
            <w:pPr>
              <w:pStyle w:val="TableContents"/>
              <w:spacing w:before="0" w:after="283"/>
              <w:rPr>
                <w:sz w:val="4"/>
                <w:szCs w:val="4"/>
              </w:rPr>
            </w:pPr>
            <w:r>
              <w:rPr>
                <w:sz w:val="4"/>
                <w:szCs w:val="4"/>
              </w:rPr>
            </w:r>
          </w:p>
        </w:tc>
        <w:tc>
          <w:tcPr>
            <w:tcW w:w="1405"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r>
      <w:tr>
        <w:trPr/>
        <w:tc>
          <w:tcPr>
            <w:tcW w:w="5735" w:type="dxa"/>
            <w:tcBorders/>
            <w:shd w:fill="auto" w:val="clear"/>
            <w:vAlign w:val="center"/>
          </w:tcPr>
          <w:p>
            <w:pPr>
              <w:pStyle w:val="TableContents"/>
              <w:spacing w:lineRule="atLeast" w:line="200" w:before="0" w:after="0"/>
              <w:rPr/>
            </w:pPr>
            <w:r>
              <w:rPr/>
              <w:t>  </w:t>
            </w:r>
            <w:r>
              <w:rPr>
                <w:rFonts w:ascii="ARIAL" w:hAnsi="ARIAL"/>
                <w:sz w:val="19"/>
              </w:rPr>
              <w:t>Payments related to Long-Term Cash Incentive Award(2)</w:t>
            </w:r>
          </w:p>
        </w:tc>
        <w:tc>
          <w:tcPr>
            <w:tcW w:w="24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260" w:before="0" w:after="0"/>
              <w:rPr/>
            </w:pPr>
            <w:r>
              <w:rPr/>
              <w:t> </w:t>
            </w:r>
          </w:p>
        </w:tc>
        <w:tc>
          <w:tcPr>
            <w:tcW w:w="98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14,884,000</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98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14,884,000</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98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14,884,000</w:t>
            </w:r>
          </w:p>
        </w:tc>
        <w:tc>
          <w:tcPr>
            <w:tcW w:w="75" w:type="dxa"/>
            <w:tcBorders/>
            <w:shd w:fill="auto" w:val="clear"/>
            <w:vAlign w:val="center"/>
          </w:tcPr>
          <w:p>
            <w:pPr>
              <w:pStyle w:val="TableContents"/>
              <w:spacing w:lineRule="atLeast" w:line="260" w:before="0" w:after="0"/>
              <w:rPr/>
            </w:pPr>
            <w:r>
              <w:rPr/>
              <w:t> </w:t>
            </w:r>
          </w:p>
        </w:tc>
      </w:tr>
      <w:tr>
        <w:trPr/>
        <w:tc>
          <w:tcPr>
            <w:tcW w:w="5735" w:type="dxa"/>
            <w:tcBorders/>
            <w:shd w:fill="CCDEF1" w:val="clear"/>
            <w:vAlign w:val="center"/>
          </w:tcPr>
          <w:p>
            <w:pPr>
              <w:pStyle w:val="TableContents"/>
              <w:spacing w:before="0" w:after="283"/>
              <w:rPr>
                <w:sz w:val="4"/>
                <w:szCs w:val="4"/>
              </w:rPr>
            </w:pPr>
            <w:r>
              <w:rPr>
                <w:sz w:val="4"/>
                <w:szCs w:val="4"/>
              </w:rPr>
            </w:r>
          </w:p>
        </w:tc>
        <w:tc>
          <w:tcPr>
            <w:tcW w:w="1645" w:type="dxa"/>
            <w:gridSpan w:val="4"/>
            <w:tcBorders/>
            <w:shd w:fill="CCDEF1" w:val="clear"/>
            <w:vAlign w:val="center"/>
          </w:tcPr>
          <w:p>
            <w:pPr>
              <w:pStyle w:val="TableContents"/>
              <w:spacing w:before="0" w:after="283"/>
              <w:rPr>
                <w:sz w:val="4"/>
                <w:szCs w:val="4"/>
              </w:rPr>
            </w:pPr>
            <w:r>
              <w:rPr>
                <w:sz w:val="4"/>
                <w:szCs w:val="4"/>
              </w:rPr>
            </w:r>
          </w:p>
        </w:tc>
        <w:tc>
          <w:tcPr>
            <w:tcW w:w="1405" w:type="dxa"/>
            <w:gridSpan w:val="4"/>
            <w:tcBorders/>
            <w:shd w:fill="CCDEF1" w:val="clear"/>
            <w:vAlign w:val="center"/>
          </w:tcPr>
          <w:p>
            <w:pPr>
              <w:pStyle w:val="TableContents"/>
              <w:spacing w:before="0" w:after="283"/>
              <w:rPr>
                <w:sz w:val="4"/>
                <w:szCs w:val="4"/>
              </w:rPr>
            </w:pPr>
            <w:r>
              <w:rPr>
                <w:sz w:val="4"/>
                <w:szCs w:val="4"/>
              </w:rPr>
            </w:r>
          </w:p>
        </w:tc>
        <w:tc>
          <w:tcPr>
            <w:tcW w:w="1420" w:type="dxa"/>
            <w:gridSpan w:val="4"/>
            <w:tcBorders/>
            <w:shd w:fill="CCDEF1" w:val="clear"/>
            <w:vAlign w:val="center"/>
          </w:tcPr>
          <w:p>
            <w:pPr>
              <w:pStyle w:val="TableContents"/>
              <w:spacing w:before="0" w:after="283"/>
              <w:rPr>
                <w:sz w:val="4"/>
                <w:szCs w:val="4"/>
              </w:rPr>
            </w:pPr>
            <w:r>
              <w:rPr>
                <w:sz w:val="4"/>
                <w:szCs w:val="4"/>
              </w:rPr>
            </w:r>
          </w:p>
        </w:tc>
      </w:tr>
      <w:tr>
        <w:trPr/>
        <w:tc>
          <w:tcPr>
            <w:tcW w:w="5735" w:type="dxa"/>
            <w:tcBorders/>
            <w:shd w:fill="CCDEF1" w:val="clear"/>
            <w:vAlign w:val="center"/>
          </w:tcPr>
          <w:p>
            <w:pPr>
              <w:pStyle w:val="TableContents"/>
              <w:spacing w:lineRule="atLeast" w:line="200" w:before="0" w:after="0"/>
              <w:rPr/>
            </w:pPr>
            <w:r>
              <w:rPr/>
              <w:t>  </w:t>
            </w:r>
            <w:r>
              <w:rPr>
                <w:rFonts w:ascii="ARIAL" w:hAnsi="ARIAL"/>
                <w:sz w:val="19"/>
              </w:rPr>
              <w:t>Accelerated Equity Awards(3)(4)</w:t>
            </w:r>
          </w:p>
        </w:tc>
        <w:tc>
          <w:tcPr>
            <w:tcW w:w="240" w:type="dxa"/>
            <w:tcBorders/>
            <w:shd w:fill="CCDEF1" w:val="clear"/>
            <w:vAlign w:val="center"/>
          </w:tcPr>
          <w:p>
            <w:pPr>
              <w:pStyle w:val="TableContents"/>
              <w:spacing w:before="0" w:after="283"/>
              <w:rPr/>
            </w:pPr>
            <w:r>
              <w:rPr/>
              <w:t>    </w:t>
            </w:r>
          </w:p>
        </w:tc>
        <w:tc>
          <w:tcPr>
            <w:tcW w:w="365" w:type="dxa"/>
            <w:tcBorders/>
            <w:shd w:fill="CCDEF1" w:val="clear"/>
            <w:vAlign w:val="center"/>
          </w:tcPr>
          <w:p>
            <w:pPr>
              <w:pStyle w:val="TableContents"/>
              <w:spacing w:before="0" w:after="0"/>
              <w:rPr/>
            </w:pPr>
            <w:r>
              <w:rPr/>
              <w:t> </w:t>
            </w:r>
          </w:p>
        </w:tc>
        <w:tc>
          <w:tcPr>
            <w:tcW w:w="980" w:type="dxa"/>
            <w:tcBorders/>
            <w:shd w:fill="CCDEF1" w:val="clear"/>
            <w:vAlign w:val="center"/>
          </w:tcPr>
          <w:p>
            <w:pPr>
              <w:pStyle w:val="TableContents"/>
              <w:spacing w:before="0" w:after="0"/>
              <w:rPr/>
            </w:pPr>
            <w:r>
              <w:rPr/>
              <w:t> </w:t>
            </w:r>
          </w:p>
        </w:tc>
        <w:tc>
          <w:tcPr>
            <w:tcW w:w="60" w:type="dxa"/>
            <w:tcBorders/>
            <w:shd w:fill="CCDEF1" w:val="clear"/>
            <w:vAlign w:val="center"/>
          </w:tcPr>
          <w:p>
            <w:pPr>
              <w:pStyle w:val="TableContents"/>
              <w:spacing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before="0" w:after="0"/>
              <w:rPr/>
            </w:pPr>
            <w:r>
              <w:rPr/>
              <w:t> </w:t>
            </w:r>
          </w:p>
        </w:tc>
        <w:tc>
          <w:tcPr>
            <w:tcW w:w="980" w:type="dxa"/>
            <w:tcBorders/>
            <w:shd w:fill="CCDEF1" w:val="clear"/>
            <w:vAlign w:val="center"/>
          </w:tcPr>
          <w:p>
            <w:pPr>
              <w:pStyle w:val="TableContents"/>
              <w:spacing w:before="0" w:after="0"/>
              <w:rPr/>
            </w:pPr>
            <w:r>
              <w:rPr/>
              <w:t> </w:t>
            </w:r>
          </w:p>
        </w:tc>
        <w:tc>
          <w:tcPr>
            <w:tcW w:w="60" w:type="dxa"/>
            <w:tcBorders/>
            <w:shd w:fill="CCDEF1" w:val="clear"/>
            <w:vAlign w:val="center"/>
          </w:tcPr>
          <w:p>
            <w:pPr>
              <w:pStyle w:val="TableContents"/>
              <w:spacing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before="0" w:after="0"/>
              <w:rPr/>
            </w:pPr>
            <w:r>
              <w:rPr/>
              <w:t> </w:t>
            </w:r>
          </w:p>
        </w:tc>
        <w:tc>
          <w:tcPr>
            <w:tcW w:w="980" w:type="dxa"/>
            <w:tcBorders/>
            <w:shd w:fill="CCDEF1" w:val="clear"/>
            <w:vAlign w:val="center"/>
          </w:tcPr>
          <w:p>
            <w:pPr>
              <w:pStyle w:val="TableContents"/>
              <w:spacing w:before="0" w:after="0"/>
              <w:rPr/>
            </w:pPr>
            <w:r>
              <w:rPr/>
              <w:t> </w:t>
            </w:r>
          </w:p>
        </w:tc>
        <w:tc>
          <w:tcPr>
            <w:tcW w:w="75" w:type="dxa"/>
            <w:tcBorders/>
            <w:shd w:fill="CCDEF1" w:val="clear"/>
            <w:vAlign w:val="center"/>
          </w:tcPr>
          <w:p>
            <w:pPr>
              <w:pStyle w:val="TableContents"/>
              <w:spacing w:before="0" w:after="0"/>
              <w:rPr/>
            </w:pPr>
            <w:r>
              <w:rPr/>
              <w:t> </w:t>
            </w:r>
          </w:p>
        </w:tc>
      </w:tr>
      <w:tr>
        <w:trPr/>
        <w:tc>
          <w:tcPr>
            <w:tcW w:w="5735" w:type="dxa"/>
            <w:tcBorders/>
            <w:shd w:fill="auto" w:val="clear"/>
            <w:vAlign w:val="center"/>
          </w:tcPr>
          <w:p>
            <w:pPr>
              <w:pStyle w:val="TableContents"/>
              <w:spacing w:before="0" w:after="283"/>
              <w:rPr>
                <w:sz w:val="4"/>
                <w:szCs w:val="4"/>
              </w:rPr>
            </w:pPr>
            <w:r>
              <w:rPr>
                <w:sz w:val="4"/>
                <w:szCs w:val="4"/>
              </w:rPr>
            </w:r>
          </w:p>
        </w:tc>
        <w:tc>
          <w:tcPr>
            <w:tcW w:w="1645" w:type="dxa"/>
            <w:gridSpan w:val="4"/>
            <w:tcBorders/>
            <w:shd w:fill="auto" w:val="clear"/>
            <w:vAlign w:val="center"/>
          </w:tcPr>
          <w:p>
            <w:pPr>
              <w:pStyle w:val="TableContents"/>
              <w:spacing w:before="0" w:after="283"/>
              <w:rPr>
                <w:sz w:val="4"/>
                <w:szCs w:val="4"/>
              </w:rPr>
            </w:pPr>
            <w:r>
              <w:rPr>
                <w:sz w:val="4"/>
                <w:szCs w:val="4"/>
              </w:rPr>
            </w:r>
          </w:p>
        </w:tc>
        <w:tc>
          <w:tcPr>
            <w:tcW w:w="1405"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r>
      <w:tr>
        <w:trPr/>
        <w:tc>
          <w:tcPr>
            <w:tcW w:w="5735" w:type="dxa"/>
            <w:tcBorders/>
            <w:shd w:fill="auto" w:val="clear"/>
            <w:vAlign w:val="center"/>
          </w:tcPr>
          <w:p>
            <w:pPr>
              <w:pStyle w:val="TableContents"/>
              <w:spacing w:lineRule="atLeast" w:line="260" w:before="0" w:after="0"/>
              <w:rPr/>
            </w:pPr>
            <w:r>
              <w:rPr/>
              <w:t>  </w:t>
            </w:r>
            <w:r>
              <w:rPr>
                <w:rFonts w:ascii="ARIAL" w:hAnsi="ARIAL"/>
                <w:sz w:val="19"/>
              </w:rPr>
              <w:t>2020 Stock Option Grant</w:t>
            </w:r>
          </w:p>
        </w:tc>
        <w:tc>
          <w:tcPr>
            <w:tcW w:w="24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260" w:before="0" w:after="0"/>
              <w:rPr/>
            </w:pPr>
            <w:r>
              <w:rPr/>
              <w:t> </w:t>
            </w:r>
          </w:p>
        </w:tc>
        <w:tc>
          <w:tcPr>
            <w:tcW w:w="98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98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98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3,394,975</w:t>
            </w:r>
          </w:p>
        </w:tc>
        <w:tc>
          <w:tcPr>
            <w:tcW w:w="75" w:type="dxa"/>
            <w:tcBorders/>
            <w:shd w:fill="auto" w:val="clear"/>
            <w:vAlign w:val="center"/>
          </w:tcPr>
          <w:p>
            <w:pPr>
              <w:pStyle w:val="TableContents"/>
              <w:spacing w:lineRule="atLeast" w:line="260" w:before="0" w:after="0"/>
              <w:rPr/>
            </w:pPr>
            <w:r>
              <w:rPr/>
              <w:t> </w:t>
            </w:r>
          </w:p>
        </w:tc>
      </w:tr>
      <w:tr>
        <w:trPr/>
        <w:tc>
          <w:tcPr>
            <w:tcW w:w="5735" w:type="dxa"/>
            <w:tcBorders/>
            <w:shd w:fill="CCDEF1" w:val="clear"/>
            <w:vAlign w:val="center"/>
          </w:tcPr>
          <w:p>
            <w:pPr>
              <w:pStyle w:val="TableContents"/>
              <w:spacing w:before="0" w:after="283"/>
              <w:rPr>
                <w:sz w:val="4"/>
                <w:szCs w:val="4"/>
              </w:rPr>
            </w:pPr>
            <w:r>
              <w:rPr>
                <w:sz w:val="4"/>
                <w:szCs w:val="4"/>
              </w:rPr>
            </w:r>
          </w:p>
        </w:tc>
        <w:tc>
          <w:tcPr>
            <w:tcW w:w="1645" w:type="dxa"/>
            <w:gridSpan w:val="4"/>
            <w:tcBorders/>
            <w:shd w:fill="CCDEF1" w:val="clear"/>
            <w:vAlign w:val="center"/>
          </w:tcPr>
          <w:p>
            <w:pPr>
              <w:pStyle w:val="TableContents"/>
              <w:spacing w:before="0" w:after="283"/>
              <w:rPr>
                <w:sz w:val="4"/>
                <w:szCs w:val="4"/>
              </w:rPr>
            </w:pPr>
            <w:r>
              <w:rPr>
                <w:sz w:val="4"/>
                <w:szCs w:val="4"/>
              </w:rPr>
            </w:r>
          </w:p>
        </w:tc>
        <w:tc>
          <w:tcPr>
            <w:tcW w:w="1405" w:type="dxa"/>
            <w:gridSpan w:val="4"/>
            <w:tcBorders/>
            <w:shd w:fill="CCDEF1" w:val="clear"/>
            <w:vAlign w:val="center"/>
          </w:tcPr>
          <w:p>
            <w:pPr>
              <w:pStyle w:val="TableContents"/>
              <w:spacing w:before="0" w:after="283"/>
              <w:rPr>
                <w:sz w:val="4"/>
                <w:szCs w:val="4"/>
              </w:rPr>
            </w:pPr>
            <w:r>
              <w:rPr>
                <w:sz w:val="4"/>
                <w:szCs w:val="4"/>
              </w:rPr>
            </w:r>
          </w:p>
        </w:tc>
        <w:tc>
          <w:tcPr>
            <w:tcW w:w="1420" w:type="dxa"/>
            <w:gridSpan w:val="4"/>
            <w:tcBorders/>
            <w:shd w:fill="CCDEF1" w:val="clear"/>
            <w:vAlign w:val="center"/>
          </w:tcPr>
          <w:p>
            <w:pPr>
              <w:pStyle w:val="TableContents"/>
              <w:spacing w:before="0" w:after="283"/>
              <w:rPr>
                <w:sz w:val="4"/>
                <w:szCs w:val="4"/>
              </w:rPr>
            </w:pPr>
            <w:r>
              <w:rPr>
                <w:sz w:val="4"/>
                <w:szCs w:val="4"/>
              </w:rPr>
            </w:r>
          </w:p>
        </w:tc>
      </w:tr>
      <w:tr>
        <w:trPr/>
        <w:tc>
          <w:tcPr>
            <w:tcW w:w="5735" w:type="dxa"/>
            <w:tcBorders/>
            <w:shd w:fill="CCDEF1" w:val="clear"/>
            <w:vAlign w:val="center"/>
          </w:tcPr>
          <w:p>
            <w:pPr>
              <w:pStyle w:val="TableContents"/>
              <w:spacing w:lineRule="atLeast" w:line="260" w:before="0" w:after="0"/>
              <w:rPr/>
            </w:pPr>
            <w:r>
              <w:rPr/>
              <w:t>  </w:t>
            </w:r>
            <w:r>
              <w:rPr>
                <w:rFonts w:ascii="ARIAL" w:hAnsi="ARIAL"/>
                <w:sz w:val="19"/>
              </w:rPr>
              <w:t>2021 Stock Option Grant</w:t>
            </w:r>
          </w:p>
        </w:tc>
        <w:tc>
          <w:tcPr>
            <w:tcW w:w="240" w:type="dxa"/>
            <w:tcBorders/>
            <w:shd w:fill="CCDEF1" w:val="clear"/>
            <w:vAlign w:val="center"/>
          </w:tcPr>
          <w:p>
            <w:pPr>
              <w:pStyle w:val="TableContents"/>
              <w:spacing w:before="0" w:after="283"/>
              <w:rPr/>
            </w:pPr>
            <w:r>
              <w:rPr/>
              <w:t>    </w:t>
            </w:r>
          </w:p>
        </w:tc>
        <w:tc>
          <w:tcPr>
            <w:tcW w:w="365" w:type="dxa"/>
            <w:tcBorders/>
            <w:shd w:fill="CCDEF1" w:val="clear"/>
            <w:vAlign w:val="center"/>
          </w:tcPr>
          <w:p>
            <w:pPr>
              <w:pStyle w:val="TableContents"/>
              <w:spacing w:lineRule="atLeast" w:line="260" w:before="0" w:after="0"/>
              <w:rPr/>
            </w:pPr>
            <w:r>
              <w:rPr/>
              <w:t> </w:t>
            </w:r>
          </w:p>
        </w:tc>
        <w:tc>
          <w:tcPr>
            <w:tcW w:w="98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98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98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898,362</w:t>
            </w:r>
          </w:p>
        </w:tc>
        <w:tc>
          <w:tcPr>
            <w:tcW w:w="75" w:type="dxa"/>
            <w:tcBorders/>
            <w:shd w:fill="CCDEF1" w:val="clear"/>
            <w:vAlign w:val="center"/>
          </w:tcPr>
          <w:p>
            <w:pPr>
              <w:pStyle w:val="TableContents"/>
              <w:spacing w:lineRule="atLeast" w:line="260" w:before="0" w:after="0"/>
              <w:rPr/>
            </w:pPr>
            <w:r>
              <w:rPr/>
              <w:t> </w:t>
            </w:r>
          </w:p>
        </w:tc>
      </w:tr>
      <w:tr>
        <w:trPr/>
        <w:tc>
          <w:tcPr>
            <w:tcW w:w="5735" w:type="dxa"/>
            <w:tcBorders/>
            <w:shd w:fill="auto" w:val="clear"/>
            <w:vAlign w:val="center"/>
          </w:tcPr>
          <w:p>
            <w:pPr>
              <w:pStyle w:val="TableContents"/>
              <w:spacing w:before="0" w:after="283"/>
              <w:rPr>
                <w:sz w:val="4"/>
                <w:szCs w:val="4"/>
              </w:rPr>
            </w:pPr>
            <w:r>
              <w:rPr>
                <w:sz w:val="4"/>
                <w:szCs w:val="4"/>
              </w:rPr>
            </w:r>
          </w:p>
        </w:tc>
        <w:tc>
          <w:tcPr>
            <w:tcW w:w="1645" w:type="dxa"/>
            <w:gridSpan w:val="4"/>
            <w:tcBorders/>
            <w:shd w:fill="auto" w:val="clear"/>
            <w:vAlign w:val="center"/>
          </w:tcPr>
          <w:p>
            <w:pPr>
              <w:pStyle w:val="TableContents"/>
              <w:spacing w:before="0" w:after="283"/>
              <w:rPr>
                <w:sz w:val="4"/>
                <w:szCs w:val="4"/>
              </w:rPr>
            </w:pPr>
            <w:r>
              <w:rPr>
                <w:sz w:val="4"/>
                <w:szCs w:val="4"/>
              </w:rPr>
            </w:r>
          </w:p>
        </w:tc>
        <w:tc>
          <w:tcPr>
            <w:tcW w:w="1405"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r>
      <w:tr>
        <w:trPr/>
        <w:tc>
          <w:tcPr>
            <w:tcW w:w="5735" w:type="dxa"/>
            <w:tcBorders/>
            <w:shd w:fill="auto" w:val="clear"/>
            <w:vAlign w:val="center"/>
          </w:tcPr>
          <w:p>
            <w:pPr>
              <w:pStyle w:val="TableContents"/>
              <w:spacing w:lineRule="atLeast" w:line="260" w:before="0" w:after="0"/>
              <w:rPr/>
            </w:pPr>
            <w:r>
              <w:rPr/>
              <w:t>  </w:t>
            </w:r>
            <w:r>
              <w:rPr>
                <w:rFonts w:ascii="ARIAL" w:hAnsi="ARIAL"/>
                <w:sz w:val="19"/>
              </w:rPr>
              <w:t>2022 Stock Option Grant</w:t>
            </w:r>
          </w:p>
        </w:tc>
        <w:tc>
          <w:tcPr>
            <w:tcW w:w="24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260" w:before="0" w:after="0"/>
              <w:rPr/>
            </w:pPr>
            <w:r>
              <w:rPr/>
              <w:t> </w:t>
            </w:r>
          </w:p>
        </w:tc>
        <w:tc>
          <w:tcPr>
            <w:tcW w:w="98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98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98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75" w:type="dxa"/>
            <w:tcBorders/>
            <w:shd w:fill="auto" w:val="clear"/>
            <w:vAlign w:val="center"/>
          </w:tcPr>
          <w:p>
            <w:pPr>
              <w:pStyle w:val="TableContents"/>
              <w:spacing w:lineRule="atLeast" w:line="260" w:before="0" w:after="0"/>
              <w:rPr/>
            </w:pPr>
            <w:r>
              <w:rPr/>
              <w:t> </w:t>
            </w:r>
          </w:p>
        </w:tc>
      </w:tr>
      <w:tr>
        <w:trPr/>
        <w:tc>
          <w:tcPr>
            <w:tcW w:w="5735" w:type="dxa"/>
            <w:tcBorders/>
            <w:shd w:fill="CCDEF1" w:val="clear"/>
            <w:vAlign w:val="center"/>
          </w:tcPr>
          <w:p>
            <w:pPr>
              <w:pStyle w:val="TableContents"/>
              <w:spacing w:before="0" w:after="283"/>
              <w:rPr>
                <w:sz w:val="4"/>
                <w:szCs w:val="4"/>
              </w:rPr>
            </w:pPr>
            <w:r>
              <w:rPr>
                <w:sz w:val="4"/>
                <w:szCs w:val="4"/>
              </w:rPr>
            </w:r>
          </w:p>
        </w:tc>
        <w:tc>
          <w:tcPr>
            <w:tcW w:w="1645" w:type="dxa"/>
            <w:gridSpan w:val="4"/>
            <w:tcBorders/>
            <w:shd w:fill="CCDEF1" w:val="clear"/>
            <w:vAlign w:val="center"/>
          </w:tcPr>
          <w:p>
            <w:pPr>
              <w:pStyle w:val="TableContents"/>
              <w:spacing w:before="0" w:after="283"/>
              <w:rPr>
                <w:sz w:val="4"/>
                <w:szCs w:val="4"/>
              </w:rPr>
            </w:pPr>
            <w:r>
              <w:rPr>
                <w:sz w:val="4"/>
                <w:szCs w:val="4"/>
              </w:rPr>
            </w:r>
          </w:p>
        </w:tc>
        <w:tc>
          <w:tcPr>
            <w:tcW w:w="1405" w:type="dxa"/>
            <w:gridSpan w:val="4"/>
            <w:tcBorders/>
            <w:shd w:fill="CCDEF1" w:val="clear"/>
            <w:vAlign w:val="center"/>
          </w:tcPr>
          <w:p>
            <w:pPr>
              <w:pStyle w:val="TableContents"/>
              <w:spacing w:before="0" w:after="283"/>
              <w:rPr>
                <w:sz w:val="4"/>
                <w:szCs w:val="4"/>
              </w:rPr>
            </w:pPr>
            <w:r>
              <w:rPr>
                <w:sz w:val="4"/>
                <w:szCs w:val="4"/>
              </w:rPr>
            </w:r>
          </w:p>
        </w:tc>
        <w:tc>
          <w:tcPr>
            <w:tcW w:w="1420" w:type="dxa"/>
            <w:gridSpan w:val="4"/>
            <w:tcBorders/>
            <w:shd w:fill="CCDEF1" w:val="clear"/>
            <w:vAlign w:val="center"/>
          </w:tcPr>
          <w:p>
            <w:pPr>
              <w:pStyle w:val="TableContents"/>
              <w:spacing w:before="0" w:after="283"/>
              <w:rPr>
                <w:sz w:val="4"/>
                <w:szCs w:val="4"/>
              </w:rPr>
            </w:pPr>
            <w:r>
              <w:rPr>
                <w:sz w:val="4"/>
                <w:szCs w:val="4"/>
              </w:rPr>
            </w:r>
          </w:p>
        </w:tc>
      </w:tr>
      <w:tr>
        <w:trPr/>
        <w:tc>
          <w:tcPr>
            <w:tcW w:w="5735" w:type="dxa"/>
            <w:tcBorders/>
            <w:shd w:fill="CCDEF1" w:val="clear"/>
            <w:vAlign w:val="center"/>
          </w:tcPr>
          <w:p>
            <w:pPr>
              <w:pStyle w:val="TableContents"/>
              <w:spacing w:lineRule="atLeast" w:line="260" w:before="0" w:after="0"/>
              <w:rPr/>
            </w:pPr>
            <w:r>
              <w:rPr/>
              <w:t>  </w:t>
            </w:r>
            <w:r>
              <w:rPr>
                <w:rFonts w:ascii="ARIAL" w:hAnsi="ARIAL"/>
                <w:sz w:val="19"/>
              </w:rPr>
              <w:t>2021 Restricted Stock Grant</w:t>
            </w:r>
          </w:p>
        </w:tc>
        <w:tc>
          <w:tcPr>
            <w:tcW w:w="240" w:type="dxa"/>
            <w:tcBorders/>
            <w:shd w:fill="CCDEF1" w:val="clear"/>
            <w:vAlign w:val="center"/>
          </w:tcPr>
          <w:p>
            <w:pPr>
              <w:pStyle w:val="TableContents"/>
              <w:spacing w:before="0" w:after="283"/>
              <w:rPr/>
            </w:pPr>
            <w:r>
              <w:rPr/>
              <w:t>    </w:t>
            </w:r>
          </w:p>
        </w:tc>
        <w:tc>
          <w:tcPr>
            <w:tcW w:w="365" w:type="dxa"/>
            <w:tcBorders/>
            <w:shd w:fill="CCDEF1" w:val="clear"/>
            <w:vAlign w:val="center"/>
          </w:tcPr>
          <w:p>
            <w:pPr>
              <w:pStyle w:val="TableContents"/>
              <w:spacing w:lineRule="atLeast" w:line="260" w:before="0" w:after="0"/>
              <w:rPr/>
            </w:pPr>
            <w:r>
              <w:rPr/>
              <w:t> </w:t>
            </w:r>
          </w:p>
        </w:tc>
        <w:tc>
          <w:tcPr>
            <w:tcW w:w="98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98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98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13,539,972</w:t>
            </w:r>
          </w:p>
        </w:tc>
        <w:tc>
          <w:tcPr>
            <w:tcW w:w="75" w:type="dxa"/>
            <w:tcBorders/>
            <w:shd w:fill="CCDEF1" w:val="clear"/>
            <w:vAlign w:val="center"/>
          </w:tcPr>
          <w:p>
            <w:pPr>
              <w:pStyle w:val="TableContents"/>
              <w:spacing w:lineRule="atLeast" w:line="260" w:before="0" w:after="0"/>
              <w:rPr/>
            </w:pPr>
            <w:r>
              <w:rPr/>
              <w:t> </w:t>
            </w:r>
          </w:p>
        </w:tc>
      </w:tr>
      <w:tr>
        <w:trPr/>
        <w:tc>
          <w:tcPr>
            <w:tcW w:w="5735" w:type="dxa"/>
            <w:tcBorders/>
            <w:shd w:fill="auto" w:val="clear"/>
            <w:vAlign w:val="center"/>
          </w:tcPr>
          <w:p>
            <w:pPr>
              <w:pStyle w:val="TableContents"/>
              <w:spacing w:before="0" w:after="283"/>
              <w:rPr>
                <w:sz w:val="4"/>
                <w:szCs w:val="4"/>
              </w:rPr>
            </w:pPr>
            <w:r>
              <w:rPr>
                <w:sz w:val="4"/>
                <w:szCs w:val="4"/>
              </w:rPr>
            </w:r>
          </w:p>
        </w:tc>
        <w:tc>
          <w:tcPr>
            <w:tcW w:w="1645" w:type="dxa"/>
            <w:gridSpan w:val="4"/>
            <w:tcBorders/>
            <w:shd w:fill="auto" w:val="clear"/>
            <w:vAlign w:val="center"/>
          </w:tcPr>
          <w:p>
            <w:pPr>
              <w:pStyle w:val="TableContents"/>
              <w:spacing w:before="0" w:after="283"/>
              <w:rPr>
                <w:sz w:val="4"/>
                <w:szCs w:val="4"/>
              </w:rPr>
            </w:pPr>
            <w:r>
              <w:rPr>
                <w:sz w:val="4"/>
                <w:szCs w:val="4"/>
              </w:rPr>
            </w:r>
          </w:p>
        </w:tc>
        <w:tc>
          <w:tcPr>
            <w:tcW w:w="1405"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r>
      <w:tr>
        <w:trPr/>
        <w:tc>
          <w:tcPr>
            <w:tcW w:w="5735" w:type="dxa"/>
            <w:tcBorders/>
            <w:shd w:fill="auto" w:val="clear"/>
            <w:vAlign w:val="center"/>
          </w:tcPr>
          <w:p>
            <w:pPr>
              <w:pStyle w:val="TableContents"/>
              <w:spacing w:lineRule="atLeast" w:line="260" w:before="0" w:after="0"/>
              <w:rPr/>
            </w:pPr>
            <w:r>
              <w:rPr/>
              <w:t>  </w:t>
            </w:r>
            <w:r>
              <w:rPr>
                <w:rFonts w:ascii="ARIAL" w:hAnsi="ARIAL"/>
                <w:sz w:val="19"/>
              </w:rPr>
              <w:t>2022 Restricted Stock Grant</w:t>
            </w:r>
          </w:p>
        </w:tc>
        <w:tc>
          <w:tcPr>
            <w:tcW w:w="24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260" w:before="0" w:after="0"/>
              <w:rPr/>
            </w:pPr>
            <w:r>
              <w:rPr/>
              <w:t> </w:t>
            </w:r>
          </w:p>
        </w:tc>
        <w:tc>
          <w:tcPr>
            <w:tcW w:w="98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98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98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12,704,742</w:t>
            </w:r>
          </w:p>
        </w:tc>
        <w:tc>
          <w:tcPr>
            <w:tcW w:w="75" w:type="dxa"/>
            <w:tcBorders/>
            <w:shd w:fill="auto" w:val="clear"/>
            <w:vAlign w:val="center"/>
          </w:tcPr>
          <w:p>
            <w:pPr>
              <w:pStyle w:val="TableContents"/>
              <w:spacing w:lineRule="atLeast" w:line="260" w:before="0" w:after="0"/>
              <w:rPr/>
            </w:pPr>
            <w:r>
              <w:rPr/>
              <w:t> </w:t>
            </w:r>
          </w:p>
        </w:tc>
      </w:tr>
      <w:tr>
        <w:trPr/>
        <w:tc>
          <w:tcPr>
            <w:tcW w:w="5735" w:type="dxa"/>
            <w:tcBorders/>
            <w:shd w:fill="CCDEF1" w:val="clear"/>
            <w:vAlign w:val="center"/>
          </w:tcPr>
          <w:p>
            <w:pPr>
              <w:pStyle w:val="TableContents"/>
              <w:spacing w:before="0" w:after="283"/>
              <w:rPr>
                <w:sz w:val="4"/>
                <w:szCs w:val="4"/>
              </w:rPr>
            </w:pPr>
            <w:r>
              <w:rPr>
                <w:sz w:val="4"/>
                <w:szCs w:val="4"/>
              </w:rPr>
            </w:r>
          </w:p>
        </w:tc>
        <w:tc>
          <w:tcPr>
            <w:tcW w:w="1645" w:type="dxa"/>
            <w:gridSpan w:val="4"/>
            <w:tcBorders/>
            <w:shd w:fill="CCDEF1" w:val="clear"/>
            <w:vAlign w:val="center"/>
          </w:tcPr>
          <w:p>
            <w:pPr>
              <w:pStyle w:val="TableContents"/>
              <w:spacing w:before="0" w:after="283"/>
              <w:rPr>
                <w:sz w:val="4"/>
                <w:szCs w:val="4"/>
              </w:rPr>
            </w:pPr>
            <w:r>
              <w:rPr>
                <w:sz w:val="4"/>
                <w:szCs w:val="4"/>
              </w:rPr>
            </w:r>
          </w:p>
        </w:tc>
        <w:tc>
          <w:tcPr>
            <w:tcW w:w="1405" w:type="dxa"/>
            <w:gridSpan w:val="4"/>
            <w:tcBorders/>
            <w:shd w:fill="CCDEF1" w:val="clear"/>
            <w:vAlign w:val="center"/>
          </w:tcPr>
          <w:p>
            <w:pPr>
              <w:pStyle w:val="TableContents"/>
              <w:spacing w:before="0" w:after="283"/>
              <w:rPr>
                <w:sz w:val="4"/>
                <w:szCs w:val="4"/>
              </w:rPr>
            </w:pPr>
            <w:r>
              <w:rPr>
                <w:sz w:val="4"/>
                <w:szCs w:val="4"/>
              </w:rPr>
            </w:r>
          </w:p>
        </w:tc>
        <w:tc>
          <w:tcPr>
            <w:tcW w:w="1420" w:type="dxa"/>
            <w:gridSpan w:val="4"/>
            <w:tcBorders/>
            <w:shd w:fill="CCDEF1" w:val="clear"/>
            <w:vAlign w:val="center"/>
          </w:tcPr>
          <w:p>
            <w:pPr>
              <w:pStyle w:val="TableContents"/>
              <w:spacing w:before="0" w:after="283"/>
              <w:rPr>
                <w:sz w:val="4"/>
                <w:szCs w:val="4"/>
              </w:rPr>
            </w:pPr>
            <w:r>
              <w:rPr>
                <w:sz w:val="4"/>
                <w:szCs w:val="4"/>
              </w:rPr>
            </w:r>
          </w:p>
        </w:tc>
      </w:tr>
      <w:tr>
        <w:trPr/>
        <w:tc>
          <w:tcPr>
            <w:tcW w:w="5735" w:type="dxa"/>
            <w:tcBorders/>
            <w:shd w:fill="CCDEF1" w:val="clear"/>
            <w:vAlign w:val="center"/>
          </w:tcPr>
          <w:p>
            <w:pPr>
              <w:pStyle w:val="TableContents"/>
              <w:spacing w:lineRule="atLeast" w:line="260" w:before="0" w:after="0"/>
              <w:rPr/>
            </w:pPr>
            <w:r>
              <w:rPr/>
              <w:t>  </w:t>
            </w:r>
            <w:r>
              <w:rPr>
                <w:rFonts w:ascii="ARIAL" w:hAnsi="ARIAL"/>
                <w:sz w:val="19"/>
              </w:rPr>
              <w:t>Continued Medical Benefits</w:t>
            </w:r>
          </w:p>
        </w:tc>
        <w:tc>
          <w:tcPr>
            <w:tcW w:w="240" w:type="dxa"/>
            <w:tcBorders/>
            <w:shd w:fill="CCDEF1" w:val="clear"/>
            <w:vAlign w:val="center"/>
          </w:tcPr>
          <w:p>
            <w:pPr>
              <w:pStyle w:val="TableContents"/>
              <w:spacing w:before="0" w:after="283"/>
              <w:rPr/>
            </w:pPr>
            <w:r>
              <w:rPr/>
              <w:t>    </w:t>
            </w:r>
          </w:p>
        </w:tc>
        <w:tc>
          <w:tcPr>
            <w:tcW w:w="365" w:type="dxa"/>
            <w:tcBorders/>
            <w:shd w:fill="CCDEF1" w:val="clear"/>
            <w:vAlign w:val="center"/>
          </w:tcPr>
          <w:p>
            <w:pPr>
              <w:pStyle w:val="TableContents"/>
              <w:spacing w:lineRule="atLeast" w:line="260" w:before="0" w:after="0"/>
              <w:rPr/>
            </w:pPr>
            <w:r>
              <w:rPr/>
              <w:t> </w:t>
            </w:r>
          </w:p>
        </w:tc>
        <w:tc>
          <w:tcPr>
            <w:tcW w:w="98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98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24,525</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98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24,525</w:t>
            </w:r>
          </w:p>
        </w:tc>
        <w:tc>
          <w:tcPr>
            <w:tcW w:w="75" w:type="dxa"/>
            <w:tcBorders/>
            <w:shd w:fill="CCDEF1" w:val="clear"/>
            <w:vAlign w:val="center"/>
          </w:tcPr>
          <w:p>
            <w:pPr>
              <w:pStyle w:val="TableContents"/>
              <w:spacing w:lineRule="atLeast" w:line="260" w:before="0" w:after="0"/>
              <w:rPr/>
            </w:pPr>
            <w:r>
              <w:rPr/>
              <w:t> </w:t>
            </w:r>
          </w:p>
        </w:tc>
      </w:tr>
      <w:tr>
        <w:trPr/>
        <w:tc>
          <w:tcPr>
            <w:tcW w:w="5735" w:type="dxa"/>
            <w:tcBorders/>
            <w:shd w:fill="auto" w:val="clear"/>
            <w:vAlign w:val="center"/>
          </w:tcPr>
          <w:p>
            <w:pPr>
              <w:pStyle w:val="TableContents"/>
              <w:spacing w:before="0" w:after="283"/>
              <w:rPr>
                <w:sz w:val="4"/>
                <w:szCs w:val="4"/>
              </w:rPr>
            </w:pPr>
            <w:r>
              <w:rPr>
                <w:sz w:val="4"/>
                <w:szCs w:val="4"/>
              </w:rPr>
            </w:r>
          </w:p>
        </w:tc>
        <w:tc>
          <w:tcPr>
            <w:tcW w:w="1645" w:type="dxa"/>
            <w:gridSpan w:val="4"/>
            <w:tcBorders/>
            <w:shd w:fill="auto" w:val="clear"/>
            <w:vAlign w:val="center"/>
          </w:tcPr>
          <w:p>
            <w:pPr>
              <w:pStyle w:val="TableContents"/>
              <w:spacing w:before="0" w:after="283"/>
              <w:rPr>
                <w:sz w:val="4"/>
                <w:szCs w:val="4"/>
              </w:rPr>
            </w:pPr>
            <w:r>
              <w:rPr>
                <w:sz w:val="4"/>
                <w:szCs w:val="4"/>
              </w:rPr>
            </w:r>
          </w:p>
        </w:tc>
        <w:tc>
          <w:tcPr>
            <w:tcW w:w="1405"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r>
      <w:tr>
        <w:trPr/>
        <w:tc>
          <w:tcPr>
            <w:tcW w:w="5735" w:type="dxa"/>
            <w:tcBorders/>
            <w:shd w:fill="auto" w:val="clear"/>
            <w:vAlign w:val="center"/>
          </w:tcPr>
          <w:p>
            <w:pPr>
              <w:pStyle w:val="TableContents"/>
              <w:spacing w:lineRule="atLeast" w:line="260" w:before="0" w:after="0"/>
              <w:rPr/>
            </w:pPr>
            <w:r>
              <w:rPr/>
              <w:t>  </w:t>
            </w:r>
            <w:r>
              <w:rPr>
                <w:rFonts w:ascii="ARIAL" w:hAnsi="ARIAL"/>
                <w:sz w:val="19"/>
              </w:rPr>
              <w:t>Total</w:t>
            </w:r>
          </w:p>
        </w:tc>
        <w:tc>
          <w:tcPr>
            <w:tcW w:w="24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260" w:before="0" w:after="0"/>
              <w:rPr/>
            </w:pPr>
            <w:r>
              <w:rPr/>
              <w:t>    </w:t>
            </w:r>
            <w:r>
              <w:rPr>
                <w:rFonts w:ascii="ARIAL" w:hAnsi="ARIAL"/>
                <w:sz w:val="19"/>
              </w:rPr>
              <w:t>$</w:t>
            </w:r>
          </w:p>
        </w:tc>
        <w:tc>
          <w:tcPr>
            <w:tcW w:w="98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14,884,00</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rFonts w:ascii="ARIAL" w:hAnsi="ARIAL"/>
                <w:sz w:val="19"/>
              </w:rPr>
            </w:pPr>
            <w:r>
              <w:rPr>
                <w:rFonts w:ascii="ARIAL" w:hAnsi="ARIAL"/>
                <w:sz w:val="19"/>
              </w:rPr>
              <w:t>$</w:t>
            </w:r>
          </w:p>
        </w:tc>
        <w:tc>
          <w:tcPr>
            <w:tcW w:w="98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15,908,525</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rFonts w:ascii="ARIAL" w:hAnsi="ARIAL"/>
                <w:sz w:val="19"/>
              </w:rPr>
            </w:pPr>
            <w:r>
              <w:rPr>
                <w:rFonts w:ascii="ARIAL" w:hAnsi="ARIAL"/>
                <w:sz w:val="19"/>
              </w:rPr>
              <w:t>$</w:t>
            </w:r>
          </w:p>
        </w:tc>
        <w:tc>
          <w:tcPr>
            <w:tcW w:w="98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46,446,576</w:t>
            </w:r>
          </w:p>
        </w:tc>
        <w:tc>
          <w:tcPr>
            <w:tcW w:w="75" w:type="dxa"/>
            <w:tcBorders/>
            <w:shd w:fill="auto" w:val="clear"/>
            <w:vAlign w:val="center"/>
          </w:tcPr>
          <w:p>
            <w:pPr>
              <w:pStyle w:val="TableContents"/>
              <w:spacing w:lineRule="atLeast" w:line="260" w:before="0" w:after="0"/>
              <w:rPr/>
            </w:pPr>
            <w:r>
              <w:rPr/>
              <w:t> </w:t>
            </w:r>
          </w:p>
        </w:tc>
      </w:tr>
    </w:tbl>
    <w:p>
      <w:pPr>
        <w:pStyle w:val="TextBody"/>
        <w:spacing w:before="240" w:after="0"/>
        <w:jc w:val="left"/>
        <w:rPr>
          <w:rFonts w:ascii="ARIAL" w:hAnsi="ARIAL"/>
          <w:b/>
          <w:color w:val="005CB9"/>
          <w:sz w:val="20"/>
        </w:rPr>
      </w:pPr>
      <w:r>
        <w:rPr>
          <w:rFonts w:ascii="ARIAL" w:hAnsi="ARIAL"/>
          <w:b/>
          <w:color w:val="005CB9"/>
          <w:sz w:val="20"/>
        </w:rPr>
        <w:t xml:space="preserve">ROBERT C. CRISCI </w:t>
      </w:r>
    </w:p>
    <w:p>
      <w:pPr>
        <w:pStyle w:val="TextBody"/>
        <w:spacing w:before="0" w:after="0"/>
        <w:jc w:val="left"/>
        <w:rPr/>
      </w:pPr>
      <w:r>
        <w:rPr/>
        <w:t> </w:t>
      </w:r>
    </w:p>
    <w:tbl>
      <w:tblPr>
        <w:tblW w:w="10180" w:type="dxa"/>
        <w:jc w:val="left"/>
        <w:tblInd w:w="0" w:type="dxa"/>
        <w:tblCellMar>
          <w:top w:w="0" w:type="dxa"/>
          <w:left w:w="0" w:type="dxa"/>
          <w:bottom w:w="0" w:type="dxa"/>
          <w:right w:w="0" w:type="dxa"/>
        </w:tblCellMar>
      </w:tblPr>
      <w:tblGrid>
        <w:gridCol w:w="5840"/>
        <w:gridCol w:w="240"/>
        <w:gridCol w:w="165"/>
        <w:gridCol w:w="1175"/>
        <w:gridCol w:w="60"/>
        <w:gridCol w:w="240"/>
        <w:gridCol w:w="134"/>
        <w:gridCol w:w="951"/>
        <w:gridCol w:w="60"/>
        <w:gridCol w:w="240"/>
        <w:gridCol w:w="125"/>
        <w:gridCol w:w="875"/>
        <w:gridCol w:w="75"/>
      </w:tblGrid>
      <w:tr>
        <w:trPr/>
        <w:tc>
          <w:tcPr>
            <w:tcW w:w="58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840"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c>
          <w:tcPr>
            <w:tcW w:w="240" w:type="dxa"/>
            <w:tcBorders/>
            <w:shd w:fill="005CB9" w:val="clear"/>
            <w:vAlign w:val="center"/>
          </w:tcPr>
          <w:p>
            <w:pPr>
              <w:pStyle w:val="TableContents"/>
              <w:spacing w:before="0" w:after="283"/>
              <w:rPr/>
            </w:pPr>
            <w:r>
              <w:rPr/>
              <w:t>    </w:t>
            </w:r>
          </w:p>
        </w:tc>
        <w:tc>
          <w:tcPr>
            <w:tcW w:w="4025" w:type="dxa"/>
            <w:gridSpan w:val="10"/>
            <w:tcBorders>
              <w:bottom w:val="single" w:sz="8" w:space="0" w:color="FFFFFF"/>
            </w:tcBorders>
            <w:shd w:fill="005CB9" w:val="clear"/>
            <w:tcMar>
              <w:bottom w:w="28" w:type="dxa"/>
            </w:tcMar>
            <w:vAlign w:val="center"/>
          </w:tcPr>
          <w:p>
            <w:pPr>
              <w:pStyle w:val="TableContents"/>
              <w:spacing w:before="0" w:after="283"/>
              <w:jc w:val="center"/>
              <w:rPr>
                <w:color w:val="FFFFFF"/>
              </w:rPr>
            </w:pPr>
            <w:r>
              <w:rPr>
                <w:color w:val="FFFFFF"/>
              </w:rPr>
              <w:t>Termination Scenario</w:t>
            </w:r>
          </w:p>
        </w:tc>
        <w:tc>
          <w:tcPr>
            <w:tcW w:w="7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r>
      <w:tr>
        <w:trPr/>
        <w:tc>
          <w:tcPr>
            <w:tcW w:w="5840" w:type="dxa"/>
            <w:tcBorders/>
            <w:shd w:fill="005CB9" w:val="clear"/>
            <w:vAlign w:val="center"/>
          </w:tcPr>
          <w:p>
            <w:pPr>
              <w:pStyle w:val="TableContents"/>
              <w:spacing w:before="0" w:after="283"/>
              <w:rPr>
                <w:color w:val="FFFFFF"/>
              </w:rPr>
            </w:pPr>
            <w:r>
              <w:rPr>
                <w:color w:val="FFFFFF"/>
              </w:rPr>
              <w:t>  </w:t>
            </w:r>
            <w:r>
              <w:rPr>
                <w:color w:val="FFFFFF"/>
              </w:rPr>
              <w:t>Potential Payments Upon Termination or Change in Control</w:t>
            </w:r>
          </w:p>
        </w:tc>
        <w:tc>
          <w:tcPr>
            <w:tcW w:w="240" w:type="dxa"/>
            <w:tcBorders/>
            <w:shd w:fill="005CB9" w:val="clear"/>
            <w:vAlign w:val="center"/>
          </w:tcPr>
          <w:p>
            <w:pPr>
              <w:pStyle w:val="TableContents"/>
              <w:spacing w:before="0" w:after="283"/>
              <w:rPr/>
            </w:pPr>
            <w:r>
              <w:rPr/>
              <w:t>    </w:t>
            </w:r>
          </w:p>
        </w:tc>
        <w:tc>
          <w:tcPr>
            <w:tcW w:w="134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By Employee</w:t>
            </w:r>
          </w:p>
          <w:p>
            <w:pPr>
              <w:pStyle w:val="TableContents"/>
              <w:spacing w:before="0" w:after="20"/>
              <w:jc w:val="right"/>
              <w:rPr>
                <w:rFonts w:ascii="arial" w:hAnsi="arial"/>
                <w:color w:val="FFFFFF"/>
                <w:sz w:val="16"/>
              </w:rPr>
            </w:pPr>
            <w:r>
              <w:rPr>
                <w:rFonts w:ascii="arial" w:hAnsi="arial"/>
                <w:color w:val="FFFFFF"/>
                <w:sz w:val="16"/>
              </w:rPr>
              <w:t>For Good Reason</w:t>
            </w:r>
          </w:p>
        </w:tc>
        <w:tc>
          <w:tcPr>
            <w:tcW w:w="60" w:type="dxa"/>
            <w:tcBorders/>
            <w:shd w:fill="005CB9" w:val="clear"/>
            <w:vAlign w:val="center"/>
          </w:tcPr>
          <w:p>
            <w:pPr>
              <w:pStyle w:val="TableContents"/>
              <w:spacing w:before="0" w:after="283"/>
              <w:rPr/>
            </w:pPr>
            <w:r>
              <w:rPr/>
              <w:t> </w:t>
            </w:r>
          </w:p>
        </w:tc>
        <w:tc>
          <w:tcPr>
            <w:tcW w:w="240" w:type="dxa"/>
            <w:tcBorders/>
            <w:shd w:fill="005CB9" w:val="clear"/>
            <w:vAlign w:val="center"/>
          </w:tcPr>
          <w:p>
            <w:pPr>
              <w:pStyle w:val="TableContents"/>
              <w:spacing w:before="0" w:after="283"/>
              <w:rPr/>
            </w:pPr>
            <w:r>
              <w:rPr/>
              <w:t>    </w:t>
            </w:r>
          </w:p>
        </w:tc>
        <w:tc>
          <w:tcPr>
            <w:tcW w:w="1085"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By Company</w:t>
            </w:r>
          </w:p>
          <w:p>
            <w:pPr>
              <w:pStyle w:val="TableContents"/>
              <w:spacing w:before="0" w:after="20"/>
              <w:jc w:val="right"/>
              <w:rPr>
                <w:rFonts w:ascii="arial" w:hAnsi="arial"/>
                <w:color w:val="FFFFFF"/>
                <w:sz w:val="16"/>
              </w:rPr>
            </w:pPr>
            <w:r>
              <w:rPr>
                <w:rFonts w:ascii="arial" w:hAnsi="arial"/>
                <w:color w:val="FFFFFF"/>
                <w:sz w:val="16"/>
              </w:rPr>
              <w:t>Without Cause</w:t>
            </w:r>
          </w:p>
        </w:tc>
        <w:tc>
          <w:tcPr>
            <w:tcW w:w="60" w:type="dxa"/>
            <w:tcBorders/>
            <w:shd w:fill="005CB9" w:val="clear"/>
            <w:vAlign w:val="center"/>
          </w:tcPr>
          <w:p>
            <w:pPr>
              <w:pStyle w:val="TableContents"/>
              <w:spacing w:before="0" w:after="283"/>
              <w:rPr/>
            </w:pPr>
            <w:r>
              <w:rPr/>
              <w:t> </w:t>
            </w:r>
          </w:p>
        </w:tc>
        <w:tc>
          <w:tcPr>
            <w:tcW w:w="240" w:type="dxa"/>
            <w:tcBorders/>
            <w:shd w:fill="005CB9" w:val="clear"/>
            <w:vAlign w:val="center"/>
          </w:tcPr>
          <w:p>
            <w:pPr>
              <w:pStyle w:val="TableContents"/>
              <w:spacing w:before="0" w:after="283"/>
              <w:rPr/>
            </w:pPr>
            <w:r>
              <w:rPr/>
              <w:t>    </w:t>
            </w:r>
          </w:p>
        </w:tc>
        <w:tc>
          <w:tcPr>
            <w:tcW w:w="100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Change in</w:t>
            </w:r>
          </w:p>
          <w:p>
            <w:pPr>
              <w:pStyle w:val="TableContents"/>
              <w:spacing w:before="0" w:after="20"/>
              <w:jc w:val="right"/>
              <w:rPr>
                <w:rFonts w:ascii="arial" w:hAnsi="arial"/>
                <w:sz w:val="16"/>
              </w:rPr>
            </w:pPr>
            <w:r>
              <w:rPr>
                <w:rFonts w:ascii="arial" w:hAnsi="arial"/>
                <w:color w:val="FFFFFF"/>
                <w:sz w:val="16"/>
              </w:rPr>
              <w:t>Control</w:t>
            </w:r>
            <w:r>
              <w:rPr>
                <w:rFonts w:ascii="arial" w:hAnsi="arial"/>
                <w:color w:val="FFFFFF"/>
                <w:sz w:val="10"/>
              </w:rPr>
              <w:t xml:space="preserve">(1) </w:t>
            </w:r>
          </w:p>
        </w:tc>
        <w:tc>
          <w:tcPr>
            <w:tcW w:w="75" w:type="dxa"/>
            <w:tcBorders/>
            <w:shd w:fill="005CB9" w:val="clear"/>
            <w:vAlign w:val="center"/>
          </w:tcPr>
          <w:p>
            <w:pPr>
              <w:pStyle w:val="TableContents"/>
              <w:spacing w:before="0" w:after="283"/>
              <w:rPr/>
            </w:pPr>
            <w:r>
              <w:rPr/>
              <w:t> </w:t>
            </w:r>
          </w:p>
        </w:tc>
      </w:tr>
      <w:tr>
        <w:trPr/>
        <w:tc>
          <w:tcPr>
            <w:tcW w:w="5840" w:type="dxa"/>
            <w:tcBorders/>
            <w:shd w:fill="CCDEF1" w:val="clear"/>
            <w:vAlign w:val="center"/>
          </w:tcPr>
          <w:p>
            <w:pPr>
              <w:pStyle w:val="TableContents"/>
              <w:spacing w:before="0" w:after="283"/>
              <w:rPr>
                <w:sz w:val="4"/>
                <w:szCs w:val="4"/>
              </w:rPr>
            </w:pPr>
            <w:r>
              <w:rPr>
                <w:sz w:val="4"/>
                <w:szCs w:val="4"/>
              </w:rPr>
            </w:r>
          </w:p>
        </w:tc>
        <w:tc>
          <w:tcPr>
            <w:tcW w:w="1640" w:type="dxa"/>
            <w:gridSpan w:val="4"/>
            <w:tcBorders/>
            <w:shd w:fill="CCDEF1" w:val="clear"/>
            <w:vAlign w:val="center"/>
          </w:tcPr>
          <w:p>
            <w:pPr>
              <w:pStyle w:val="TableContents"/>
              <w:spacing w:before="0" w:after="283"/>
              <w:rPr>
                <w:sz w:val="4"/>
                <w:szCs w:val="4"/>
              </w:rPr>
            </w:pPr>
            <w:r>
              <w:rPr>
                <w:sz w:val="4"/>
                <w:szCs w:val="4"/>
              </w:rPr>
            </w:r>
          </w:p>
        </w:tc>
        <w:tc>
          <w:tcPr>
            <w:tcW w:w="1385" w:type="dxa"/>
            <w:gridSpan w:val="4"/>
            <w:tcBorders/>
            <w:shd w:fill="CCDEF1" w:val="clear"/>
            <w:vAlign w:val="center"/>
          </w:tcPr>
          <w:p>
            <w:pPr>
              <w:pStyle w:val="TableContents"/>
              <w:spacing w:before="0" w:after="283"/>
              <w:rPr>
                <w:sz w:val="4"/>
                <w:szCs w:val="4"/>
              </w:rPr>
            </w:pPr>
            <w:r>
              <w:rPr>
                <w:sz w:val="4"/>
                <w:szCs w:val="4"/>
              </w:rPr>
            </w:r>
          </w:p>
        </w:tc>
        <w:tc>
          <w:tcPr>
            <w:tcW w:w="1315" w:type="dxa"/>
            <w:gridSpan w:val="4"/>
            <w:tcBorders/>
            <w:shd w:fill="CCDEF1" w:val="clear"/>
            <w:vAlign w:val="center"/>
          </w:tcPr>
          <w:p>
            <w:pPr>
              <w:pStyle w:val="TableContents"/>
              <w:spacing w:before="0" w:after="283"/>
              <w:rPr>
                <w:sz w:val="4"/>
                <w:szCs w:val="4"/>
              </w:rPr>
            </w:pPr>
            <w:r>
              <w:rPr>
                <w:sz w:val="4"/>
                <w:szCs w:val="4"/>
              </w:rPr>
            </w:r>
          </w:p>
        </w:tc>
      </w:tr>
      <w:tr>
        <w:trPr/>
        <w:tc>
          <w:tcPr>
            <w:tcW w:w="5840" w:type="dxa"/>
            <w:tcBorders/>
            <w:shd w:fill="CCDEF1" w:val="clear"/>
            <w:vAlign w:val="center"/>
          </w:tcPr>
          <w:p>
            <w:pPr>
              <w:pStyle w:val="TableContents"/>
              <w:spacing w:lineRule="atLeast" w:line="260" w:before="0" w:after="0"/>
              <w:rPr/>
            </w:pPr>
            <w:r>
              <w:rPr/>
              <w:t>  </w:t>
            </w:r>
            <w:r>
              <w:rPr>
                <w:rFonts w:ascii="ARIAL" w:hAnsi="ARIAL"/>
                <w:sz w:val="19"/>
              </w:rPr>
              <w:t>Cash payments</w:t>
            </w:r>
          </w:p>
        </w:tc>
        <w:tc>
          <w:tcPr>
            <w:tcW w:w="240" w:type="dxa"/>
            <w:tcBorders/>
            <w:shd w:fill="CCDEF1" w:val="clear"/>
            <w:vAlign w:val="center"/>
          </w:tcPr>
          <w:p>
            <w:pPr>
              <w:pStyle w:val="TableContents"/>
              <w:spacing w:before="0" w:after="283"/>
              <w:rPr/>
            </w:pPr>
            <w:r>
              <w:rPr/>
              <w:t>    </w:t>
            </w:r>
          </w:p>
        </w:tc>
        <w:tc>
          <w:tcPr>
            <w:tcW w:w="165" w:type="dxa"/>
            <w:tcBorders/>
            <w:shd w:fill="CCDEF1" w:val="clear"/>
            <w:vAlign w:val="center"/>
          </w:tcPr>
          <w:p>
            <w:pPr>
              <w:pStyle w:val="TableContents"/>
              <w:spacing w:lineRule="atLeast" w:line="260" w:before="0" w:after="0"/>
              <w:rPr/>
            </w:pPr>
            <w:r>
              <w:rPr/>
              <w:t> </w:t>
            </w:r>
          </w:p>
        </w:tc>
        <w:tc>
          <w:tcPr>
            <w:tcW w:w="11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34" w:type="dxa"/>
            <w:tcBorders/>
            <w:shd w:fill="CCDEF1" w:val="clear"/>
            <w:vAlign w:val="center"/>
          </w:tcPr>
          <w:p>
            <w:pPr>
              <w:pStyle w:val="TableContents"/>
              <w:spacing w:lineRule="atLeast" w:line="260" w:before="0" w:after="0"/>
              <w:rPr/>
            </w:pPr>
            <w:r>
              <w:rPr/>
              <w:t> </w:t>
            </w:r>
          </w:p>
        </w:tc>
        <w:tc>
          <w:tcPr>
            <w:tcW w:w="951"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75" w:type="dxa"/>
            <w:tcBorders/>
            <w:shd w:fill="CCDEF1" w:val="clear"/>
            <w:vAlign w:val="center"/>
          </w:tcPr>
          <w:p>
            <w:pPr>
              <w:pStyle w:val="TableContents"/>
              <w:spacing w:lineRule="atLeast" w:line="260" w:before="0" w:after="0"/>
              <w:rPr/>
            </w:pPr>
            <w:r>
              <w:rPr/>
              <w:t> </w:t>
            </w:r>
          </w:p>
        </w:tc>
      </w:tr>
      <w:tr>
        <w:trPr/>
        <w:tc>
          <w:tcPr>
            <w:tcW w:w="5840" w:type="dxa"/>
            <w:tcBorders/>
            <w:shd w:fill="auto" w:val="clear"/>
            <w:vAlign w:val="center"/>
          </w:tcPr>
          <w:p>
            <w:pPr>
              <w:pStyle w:val="TableContents"/>
              <w:spacing w:before="0" w:after="283"/>
              <w:rPr>
                <w:sz w:val="4"/>
                <w:szCs w:val="4"/>
              </w:rPr>
            </w:pPr>
            <w:r>
              <w:rPr>
                <w:sz w:val="4"/>
                <w:szCs w:val="4"/>
              </w:rPr>
            </w:r>
          </w:p>
        </w:tc>
        <w:tc>
          <w:tcPr>
            <w:tcW w:w="1640"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5840" w:type="dxa"/>
            <w:tcBorders/>
            <w:shd w:fill="auto" w:val="clear"/>
            <w:vAlign w:val="center"/>
          </w:tcPr>
          <w:p>
            <w:pPr>
              <w:pStyle w:val="TableContents"/>
              <w:spacing w:lineRule="atLeast" w:line="200" w:before="0" w:after="0"/>
              <w:rPr/>
            </w:pPr>
            <w:r>
              <w:rPr/>
              <w:t>  </w:t>
            </w:r>
            <w:r>
              <w:rPr>
                <w:rFonts w:ascii="ARIAL" w:hAnsi="ARIAL"/>
                <w:sz w:val="19"/>
              </w:rPr>
              <w:t>Accelerated Equity Awards(3)(4)</w:t>
            </w:r>
          </w:p>
        </w:tc>
        <w:tc>
          <w:tcPr>
            <w:tcW w:w="24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pPr>
            <w:r>
              <w:rPr/>
              <w:t> </w:t>
            </w:r>
          </w:p>
        </w:tc>
        <w:tc>
          <w:tcPr>
            <w:tcW w:w="117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4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0"/>
              <w:rPr/>
            </w:pPr>
            <w:r>
              <w:rPr/>
              <w:t> </w:t>
            </w:r>
          </w:p>
        </w:tc>
        <w:tc>
          <w:tcPr>
            <w:tcW w:w="951"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pPr>
            <w:r>
              <w:rPr/>
              <w:t> </w:t>
            </w:r>
          </w:p>
        </w:tc>
        <w:tc>
          <w:tcPr>
            <w:tcW w:w="875"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5840" w:type="dxa"/>
            <w:tcBorders/>
            <w:shd w:fill="CCDEF1" w:val="clear"/>
            <w:vAlign w:val="center"/>
          </w:tcPr>
          <w:p>
            <w:pPr>
              <w:pStyle w:val="TableContents"/>
              <w:spacing w:before="0" w:after="283"/>
              <w:rPr>
                <w:sz w:val="4"/>
                <w:szCs w:val="4"/>
              </w:rPr>
            </w:pPr>
            <w:r>
              <w:rPr>
                <w:sz w:val="4"/>
                <w:szCs w:val="4"/>
              </w:rPr>
            </w:r>
          </w:p>
        </w:tc>
        <w:tc>
          <w:tcPr>
            <w:tcW w:w="1640" w:type="dxa"/>
            <w:gridSpan w:val="4"/>
            <w:tcBorders/>
            <w:shd w:fill="CCDEF1" w:val="clear"/>
            <w:vAlign w:val="center"/>
          </w:tcPr>
          <w:p>
            <w:pPr>
              <w:pStyle w:val="TableContents"/>
              <w:spacing w:before="0" w:after="283"/>
              <w:rPr>
                <w:sz w:val="4"/>
                <w:szCs w:val="4"/>
              </w:rPr>
            </w:pPr>
            <w:r>
              <w:rPr>
                <w:sz w:val="4"/>
                <w:szCs w:val="4"/>
              </w:rPr>
            </w:r>
          </w:p>
        </w:tc>
        <w:tc>
          <w:tcPr>
            <w:tcW w:w="1385" w:type="dxa"/>
            <w:gridSpan w:val="4"/>
            <w:tcBorders/>
            <w:shd w:fill="CCDEF1" w:val="clear"/>
            <w:vAlign w:val="center"/>
          </w:tcPr>
          <w:p>
            <w:pPr>
              <w:pStyle w:val="TableContents"/>
              <w:spacing w:before="0" w:after="283"/>
              <w:rPr>
                <w:sz w:val="4"/>
                <w:szCs w:val="4"/>
              </w:rPr>
            </w:pPr>
            <w:r>
              <w:rPr>
                <w:sz w:val="4"/>
                <w:szCs w:val="4"/>
              </w:rPr>
            </w:r>
          </w:p>
        </w:tc>
        <w:tc>
          <w:tcPr>
            <w:tcW w:w="1315" w:type="dxa"/>
            <w:gridSpan w:val="4"/>
            <w:tcBorders/>
            <w:shd w:fill="CCDEF1" w:val="clear"/>
            <w:vAlign w:val="center"/>
          </w:tcPr>
          <w:p>
            <w:pPr>
              <w:pStyle w:val="TableContents"/>
              <w:spacing w:before="0" w:after="283"/>
              <w:rPr>
                <w:sz w:val="4"/>
                <w:szCs w:val="4"/>
              </w:rPr>
            </w:pPr>
            <w:r>
              <w:rPr>
                <w:sz w:val="4"/>
                <w:szCs w:val="4"/>
              </w:rPr>
            </w:r>
          </w:p>
        </w:tc>
      </w:tr>
      <w:tr>
        <w:trPr/>
        <w:tc>
          <w:tcPr>
            <w:tcW w:w="5840" w:type="dxa"/>
            <w:tcBorders/>
            <w:shd w:fill="CCDEF1" w:val="clear"/>
            <w:vAlign w:val="center"/>
          </w:tcPr>
          <w:p>
            <w:pPr>
              <w:pStyle w:val="TableContents"/>
              <w:spacing w:lineRule="atLeast" w:line="260" w:before="0" w:after="0"/>
              <w:rPr/>
            </w:pPr>
            <w:r>
              <w:rPr/>
              <w:t>  </w:t>
            </w:r>
            <w:r>
              <w:rPr>
                <w:rFonts w:ascii="ARIAL" w:hAnsi="ARIAL"/>
                <w:sz w:val="19"/>
              </w:rPr>
              <w:t>2020 Stock Option Grant</w:t>
            </w:r>
          </w:p>
        </w:tc>
        <w:tc>
          <w:tcPr>
            <w:tcW w:w="240" w:type="dxa"/>
            <w:tcBorders/>
            <w:shd w:fill="CCDEF1" w:val="clear"/>
            <w:vAlign w:val="center"/>
          </w:tcPr>
          <w:p>
            <w:pPr>
              <w:pStyle w:val="TableContents"/>
              <w:spacing w:before="0" w:after="283"/>
              <w:rPr/>
            </w:pPr>
            <w:r>
              <w:rPr/>
              <w:t>    </w:t>
            </w:r>
          </w:p>
        </w:tc>
        <w:tc>
          <w:tcPr>
            <w:tcW w:w="165" w:type="dxa"/>
            <w:tcBorders/>
            <w:shd w:fill="CCDEF1" w:val="clear"/>
            <w:vAlign w:val="center"/>
          </w:tcPr>
          <w:p>
            <w:pPr>
              <w:pStyle w:val="TableContents"/>
              <w:spacing w:lineRule="atLeast" w:line="260" w:before="0" w:after="0"/>
              <w:rPr/>
            </w:pPr>
            <w:r>
              <w:rPr/>
              <w:t> </w:t>
            </w:r>
          </w:p>
        </w:tc>
        <w:tc>
          <w:tcPr>
            <w:tcW w:w="11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34" w:type="dxa"/>
            <w:tcBorders/>
            <w:shd w:fill="CCDEF1" w:val="clear"/>
            <w:vAlign w:val="center"/>
          </w:tcPr>
          <w:p>
            <w:pPr>
              <w:pStyle w:val="TableContents"/>
              <w:spacing w:lineRule="atLeast" w:line="260" w:before="0" w:after="0"/>
              <w:rPr/>
            </w:pPr>
            <w:r>
              <w:rPr/>
              <w:t> </w:t>
            </w:r>
          </w:p>
        </w:tc>
        <w:tc>
          <w:tcPr>
            <w:tcW w:w="951"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559,206</w:t>
            </w:r>
          </w:p>
        </w:tc>
        <w:tc>
          <w:tcPr>
            <w:tcW w:w="75" w:type="dxa"/>
            <w:tcBorders/>
            <w:shd w:fill="CCDEF1" w:val="clear"/>
            <w:vAlign w:val="center"/>
          </w:tcPr>
          <w:p>
            <w:pPr>
              <w:pStyle w:val="TableContents"/>
              <w:spacing w:lineRule="atLeast" w:line="260" w:before="0" w:after="0"/>
              <w:rPr/>
            </w:pPr>
            <w:r>
              <w:rPr/>
              <w:t> </w:t>
            </w:r>
          </w:p>
        </w:tc>
      </w:tr>
      <w:tr>
        <w:trPr/>
        <w:tc>
          <w:tcPr>
            <w:tcW w:w="5840" w:type="dxa"/>
            <w:tcBorders/>
            <w:shd w:fill="auto" w:val="clear"/>
            <w:vAlign w:val="center"/>
          </w:tcPr>
          <w:p>
            <w:pPr>
              <w:pStyle w:val="TableContents"/>
              <w:spacing w:before="0" w:after="283"/>
              <w:rPr>
                <w:sz w:val="4"/>
                <w:szCs w:val="4"/>
              </w:rPr>
            </w:pPr>
            <w:r>
              <w:rPr>
                <w:sz w:val="4"/>
                <w:szCs w:val="4"/>
              </w:rPr>
            </w:r>
          </w:p>
        </w:tc>
        <w:tc>
          <w:tcPr>
            <w:tcW w:w="1640"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5840" w:type="dxa"/>
            <w:tcBorders/>
            <w:shd w:fill="auto" w:val="clear"/>
            <w:vAlign w:val="center"/>
          </w:tcPr>
          <w:p>
            <w:pPr>
              <w:pStyle w:val="TableContents"/>
              <w:spacing w:lineRule="atLeast" w:line="260" w:before="0" w:after="0"/>
              <w:rPr/>
            </w:pPr>
            <w:r>
              <w:rPr/>
              <w:t>  </w:t>
            </w:r>
            <w:r>
              <w:rPr>
                <w:rFonts w:ascii="ARIAL" w:hAnsi="ARIAL"/>
                <w:sz w:val="19"/>
              </w:rPr>
              <w:t>2021 Stock Option Grant</w:t>
            </w:r>
          </w:p>
        </w:tc>
        <w:tc>
          <w:tcPr>
            <w:tcW w:w="24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lineRule="atLeast" w:line="260" w:before="0" w:after="0"/>
              <w:rPr/>
            </w:pPr>
            <w:r>
              <w:rPr/>
              <w:t> </w:t>
            </w:r>
          </w:p>
        </w:tc>
        <w:tc>
          <w:tcPr>
            <w:tcW w:w="11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lineRule="atLeast" w:line="260" w:before="0" w:after="0"/>
              <w:rPr/>
            </w:pPr>
            <w:r>
              <w:rPr/>
              <w:t> </w:t>
            </w:r>
          </w:p>
        </w:tc>
        <w:tc>
          <w:tcPr>
            <w:tcW w:w="951"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8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898,362</w:t>
            </w:r>
          </w:p>
        </w:tc>
        <w:tc>
          <w:tcPr>
            <w:tcW w:w="75" w:type="dxa"/>
            <w:tcBorders/>
            <w:shd w:fill="auto" w:val="clear"/>
            <w:vAlign w:val="center"/>
          </w:tcPr>
          <w:p>
            <w:pPr>
              <w:pStyle w:val="TableContents"/>
              <w:spacing w:lineRule="atLeast" w:line="260" w:before="0" w:after="0"/>
              <w:rPr/>
            </w:pPr>
            <w:r>
              <w:rPr/>
              <w:t> </w:t>
            </w:r>
          </w:p>
        </w:tc>
      </w:tr>
      <w:tr>
        <w:trPr/>
        <w:tc>
          <w:tcPr>
            <w:tcW w:w="5840" w:type="dxa"/>
            <w:tcBorders/>
            <w:shd w:fill="CCDEF1" w:val="clear"/>
            <w:vAlign w:val="center"/>
          </w:tcPr>
          <w:p>
            <w:pPr>
              <w:pStyle w:val="TableContents"/>
              <w:spacing w:before="0" w:after="283"/>
              <w:rPr>
                <w:sz w:val="4"/>
                <w:szCs w:val="4"/>
              </w:rPr>
            </w:pPr>
            <w:r>
              <w:rPr>
                <w:sz w:val="4"/>
                <w:szCs w:val="4"/>
              </w:rPr>
            </w:r>
          </w:p>
        </w:tc>
        <w:tc>
          <w:tcPr>
            <w:tcW w:w="1640" w:type="dxa"/>
            <w:gridSpan w:val="4"/>
            <w:tcBorders/>
            <w:shd w:fill="CCDEF1" w:val="clear"/>
            <w:vAlign w:val="center"/>
          </w:tcPr>
          <w:p>
            <w:pPr>
              <w:pStyle w:val="TableContents"/>
              <w:spacing w:before="0" w:after="283"/>
              <w:rPr>
                <w:sz w:val="4"/>
                <w:szCs w:val="4"/>
              </w:rPr>
            </w:pPr>
            <w:r>
              <w:rPr>
                <w:sz w:val="4"/>
                <w:szCs w:val="4"/>
              </w:rPr>
            </w:r>
          </w:p>
        </w:tc>
        <w:tc>
          <w:tcPr>
            <w:tcW w:w="1385" w:type="dxa"/>
            <w:gridSpan w:val="4"/>
            <w:tcBorders/>
            <w:shd w:fill="CCDEF1" w:val="clear"/>
            <w:vAlign w:val="center"/>
          </w:tcPr>
          <w:p>
            <w:pPr>
              <w:pStyle w:val="TableContents"/>
              <w:spacing w:before="0" w:after="283"/>
              <w:rPr>
                <w:sz w:val="4"/>
                <w:szCs w:val="4"/>
              </w:rPr>
            </w:pPr>
            <w:r>
              <w:rPr>
                <w:sz w:val="4"/>
                <w:szCs w:val="4"/>
              </w:rPr>
            </w:r>
          </w:p>
        </w:tc>
        <w:tc>
          <w:tcPr>
            <w:tcW w:w="1315" w:type="dxa"/>
            <w:gridSpan w:val="4"/>
            <w:tcBorders/>
            <w:shd w:fill="CCDEF1" w:val="clear"/>
            <w:vAlign w:val="center"/>
          </w:tcPr>
          <w:p>
            <w:pPr>
              <w:pStyle w:val="TableContents"/>
              <w:spacing w:before="0" w:after="283"/>
              <w:rPr>
                <w:sz w:val="4"/>
                <w:szCs w:val="4"/>
              </w:rPr>
            </w:pPr>
            <w:r>
              <w:rPr>
                <w:sz w:val="4"/>
                <w:szCs w:val="4"/>
              </w:rPr>
            </w:r>
          </w:p>
        </w:tc>
      </w:tr>
      <w:tr>
        <w:trPr/>
        <w:tc>
          <w:tcPr>
            <w:tcW w:w="5840" w:type="dxa"/>
            <w:tcBorders/>
            <w:shd w:fill="CCDEF1" w:val="clear"/>
            <w:vAlign w:val="center"/>
          </w:tcPr>
          <w:p>
            <w:pPr>
              <w:pStyle w:val="TableContents"/>
              <w:spacing w:lineRule="atLeast" w:line="260" w:before="0" w:after="0"/>
              <w:rPr/>
            </w:pPr>
            <w:r>
              <w:rPr/>
              <w:t>  </w:t>
            </w:r>
            <w:r>
              <w:rPr>
                <w:rFonts w:ascii="ARIAL" w:hAnsi="ARIAL"/>
                <w:sz w:val="19"/>
              </w:rPr>
              <w:t>2022 Stock Option Grant</w:t>
            </w:r>
          </w:p>
        </w:tc>
        <w:tc>
          <w:tcPr>
            <w:tcW w:w="240" w:type="dxa"/>
            <w:tcBorders/>
            <w:shd w:fill="CCDEF1" w:val="clear"/>
            <w:vAlign w:val="center"/>
          </w:tcPr>
          <w:p>
            <w:pPr>
              <w:pStyle w:val="TableContents"/>
              <w:spacing w:before="0" w:after="283"/>
              <w:rPr/>
            </w:pPr>
            <w:r>
              <w:rPr/>
              <w:t>    </w:t>
            </w:r>
          </w:p>
        </w:tc>
        <w:tc>
          <w:tcPr>
            <w:tcW w:w="165" w:type="dxa"/>
            <w:tcBorders/>
            <w:shd w:fill="CCDEF1" w:val="clear"/>
            <w:vAlign w:val="center"/>
          </w:tcPr>
          <w:p>
            <w:pPr>
              <w:pStyle w:val="TableContents"/>
              <w:spacing w:lineRule="atLeast" w:line="260" w:before="0" w:after="0"/>
              <w:rPr/>
            </w:pPr>
            <w:r>
              <w:rPr/>
              <w:t> </w:t>
            </w:r>
          </w:p>
        </w:tc>
        <w:tc>
          <w:tcPr>
            <w:tcW w:w="11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34" w:type="dxa"/>
            <w:tcBorders/>
            <w:shd w:fill="CCDEF1" w:val="clear"/>
            <w:vAlign w:val="center"/>
          </w:tcPr>
          <w:p>
            <w:pPr>
              <w:pStyle w:val="TableContents"/>
              <w:spacing w:lineRule="atLeast" w:line="260" w:before="0" w:after="0"/>
              <w:rPr/>
            </w:pPr>
            <w:r>
              <w:rPr/>
              <w:t> </w:t>
            </w:r>
          </w:p>
        </w:tc>
        <w:tc>
          <w:tcPr>
            <w:tcW w:w="951"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75" w:type="dxa"/>
            <w:tcBorders/>
            <w:shd w:fill="CCDEF1" w:val="clear"/>
            <w:vAlign w:val="center"/>
          </w:tcPr>
          <w:p>
            <w:pPr>
              <w:pStyle w:val="TableContents"/>
              <w:spacing w:lineRule="atLeast" w:line="260" w:before="0" w:after="0"/>
              <w:rPr/>
            </w:pPr>
            <w:r>
              <w:rPr/>
              <w:t> </w:t>
            </w:r>
          </w:p>
        </w:tc>
      </w:tr>
      <w:tr>
        <w:trPr/>
        <w:tc>
          <w:tcPr>
            <w:tcW w:w="5840" w:type="dxa"/>
            <w:tcBorders/>
            <w:shd w:fill="auto" w:val="clear"/>
            <w:vAlign w:val="center"/>
          </w:tcPr>
          <w:p>
            <w:pPr>
              <w:pStyle w:val="TableContents"/>
              <w:spacing w:before="0" w:after="283"/>
              <w:rPr>
                <w:sz w:val="4"/>
                <w:szCs w:val="4"/>
              </w:rPr>
            </w:pPr>
            <w:r>
              <w:rPr>
                <w:sz w:val="4"/>
                <w:szCs w:val="4"/>
              </w:rPr>
            </w:r>
          </w:p>
        </w:tc>
        <w:tc>
          <w:tcPr>
            <w:tcW w:w="1640"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5840" w:type="dxa"/>
            <w:tcBorders/>
            <w:shd w:fill="auto" w:val="clear"/>
            <w:vAlign w:val="center"/>
          </w:tcPr>
          <w:p>
            <w:pPr>
              <w:pStyle w:val="TableContents"/>
              <w:spacing w:lineRule="atLeast" w:line="260" w:before="0" w:after="0"/>
              <w:rPr/>
            </w:pPr>
            <w:r>
              <w:rPr/>
              <w:t>  </w:t>
            </w:r>
            <w:r>
              <w:rPr>
                <w:rFonts w:ascii="ARIAL" w:hAnsi="ARIAL"/>
                <w:sz w:val="19"/>
              </w:rPr>
              <w:t>2021 Restricted Stock Grant</w:t>
            </w:r>
          </w:p>
        </w:tc>
        <w:tc>
          <w:tcPr>
            <w:tcW w:w="24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lineRule="atLeast" w:line="260" w:before="0" w:after="0"/>
              <w:rPr/>
            </w:pPr>
            <w:r>
              <w:rPr/>
              <w:t> </w:t>
            </w:r>
          </w:p>
        </w:tc>
        <w:tc>
          <w:tcPr>
            <w:tcW w:w="11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lineRule="atLeast" w:line="260" w:before="0" w:after="0"/>
              <w:rPr/>
            </w:pPr>
            <w:r>
              <w:rPr/>
              <w:t> </w:t>
            </w:r>
          </w:p>
        </w:tc>
        <w:tc>
          <w:tcPr>
            <w:tcW w:w="951"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8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2,141,870</w:t>
            </w:r>
          </w:p>
        </w:tc>
        <w:tc>
          <w:tcPr>
            <w:tcW w:w="75" w:type="dxa"/>
            <w:tcBorders/>
            <w:shd w:fill="auto" w:val="clear"/>
            <w:vAlign w:val="center"/>
          </w:tcPr>
          <w:p>
            <w:pPr>
              <w:pStyle w:val="TableContents"/>
              <w:spacing w:lineRule="atLeast" w:line="260" w:before="0" w:after="0"/>
              <w:rPr/>
            </w:pPr>
            <w:r>
              <w:rPr/>
              <w:t> </w:t>
            </w:r>
          </w:p>
        </w:tc>
      </w:tr>
      <w:tr>
        <w:trPr/>
        <w:tc>
          <w:tcPr>
            <w:tcW w:w="5840" w:type="dxa"/>
            <w:tcBorders/>
            <w:shd w:fill="CCDEF1" w:val="clear"/>
            <w:vAlign w:val="center"/>
          </w:tcPr>
          <w:p>
            <w:pPr>
              <w:pStyle w:val="TableContents"/>
              <w:spacing w:before="0" w:after="283"/>
              <w:rPr>
                <w:sz w:val="4"/>
                <w:szCs w:val="4"/>
              </w:rPr>
            </w:pPr>
            <w:r>
              <w:rPr>
                <w:sz w:val="4"/>
                <w:szCs w:val="4"/>
              </w:rPr>
            </w:r>
          </w:p>
        </w:tc>
        <w:tc>
          <w:tcPr>
            <w:tcW w:w="1640" w:type="dxa"/>
            <w:gridSpan w:val="4"/>
            <w:tcBorders/>
            <w:shd w:fill="CCDEF1" w:val="clear"/>
            <w:vAlign w:val="center"/>
          </w:tcPr>
          <w:p>
            <w:pPr>
              <w:pStyle w:val="TableContents"/>
              <w:spacing w:before="0" w:after="283"/>
              <w:rPr>
                <w:sz w:val="4"/>
                <w:szCs w:val="4"/>
              </w:rPr>
            </w:pPr>
            <w:r>
              <w:rPr>
                <w:sz w:val="4"/>
                <w:szCs w:val="4"/>
              </w:rPr>
            </w:r>
          </w:p>
        </w:tc>
        <w:tc>
          <w:tcPr>
            <w:tcW w:w="1385" w:type="dxa"/>
            <w:gridSpan w:val="4"/>
            <w:tcBorders/>
            <w:shd w:fill="CCDEF1" w:val="clear"/>
            <w:vAlign w:val="center"/>
          </w:tcPr>
          <w:p>
            <w:pPr>
              <w:pStyle w:val="TableContents"/>
              <w:spacing w:before="0" w:after="283"/>
              <w:rPr>
                <w:sz w:val="4"/>
                <w:szCs w:val="4"/>
              </w:rPr>
            </w:pPr>
            <w:r>
              <w:rPr>
                <w:sz w:val="4"/>
                <w:szCs w:val="4"/>
              </w:rPr>
            </w:r>
          </w:p>
        </w:tc>
        <w:tc>
          <w:tcPr>
            <w:tcW w:w="1315" w:type="dxa"/>
            <w:gridSpan w:val="4"/>
            <w:tcBorders/>
            <w:shd w:fill="CCDEF1" w:val="clear"/>
            <w:vAlign w:val="center"/>
          </w:tcPr>
          <w:p>
            <w:pPr>
              <w:pStyle w:val="TableContents"/>
              <w:spacing w:before="0" w:after="283"/>
              <w:rPr>
                <w:sz w:val="4"/>
                <w:szCs w:val="4"/>
              </w:rPr>
            </w:pPr>
            <w:r>
              <w:rPr>
                <w:sz w:val="4"/>
                <w:szCs w:val="4"/>
              </w:rPr>
            </w:r>
          </w:p>
        </w:tc>
      </w:tr>
      <w:tr>
        <w:trPr/>
        <w:tc>
          <w:tcPr>
            <w:tcW w:w="5840" w:type="dxa"/>
            <w:tcBorders/>
            <w:shd w:fill="CCDEF1" w:val="clear"/>
            <w:vAlign w:val="center"/>
          </w:tcPr>
          <w:p>
            <w:pPr>
              <w:pStyle w:val="TableContents"/>
              <w:spacing w:lineRule="atLeast" w:line="260" w:before="0" w:after="0"/>
              <w:rPr/>
            </w:pPr>
            <w:r>
              <w:rPr/>
              <w:t>  </w:t>
            </w:r>
            <w:r>
              <w:rPr>
                <w:rFonts w:ascii="ARIAL" w:hAnsi="ARIAL"/>
                <w:sz w:val="19"/>
              </w:rPr>
              <w:t>2022 Restricted Stock Grant</w:t>
            </w:r>
          </w:p>
        </w:tc>
        <w:tc>
          <w:tcPr>
            <w:tcW w:w="240" w:type="dxa"/>
            <w:tcBorders/>
            <w:shd w:fill="CCDEF1" w:val="clear"/>
            <w:vAlign w:val="center"/>
          </w:tcPr>
          <w:p>
            <w:pPr>
              <w:pStyle w:val="TableContents"/>
              <w:spacing w:before="0" w:after="283"/>
              <w:rPr/>
            </w:pPr>
            <w:r>
              <w:rPr/>
              <w:t>    </w:t>
            </w:r>
          </w:p>
        </w:tc>
        <w:tc>
          <w:tcPr>
            <w:tcW w:w="165" w:type="dxa"/>
            <w:tcBorders/>
            <w:shd w:fill="CCDEF1" w:val="clear"/>
            <w:vAlign w:val="center"/>
          </w:tcPr>
          <w:p>
            <w:pPr>
              <w:pStyle w:val="TableContents"/>
              <w:spacing w:lineRule="atLeast" w:line="260" w:before="0" w:after="0"/>
              <w:rPr/>
            </w:pPr>
            <w:r>
              <w:rPr/>
              <w:t> </w:t>
            </w:r>
          </w:p>
        </w:tc>
        <w:tc>
          <w:tcPr>
            <w:tcW w:w="11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34" w:type="dxa"/>
            <w:tcBorders/>
            <w:shd w:fill="CCDEF1" w:val="clear"/>
            <w:vAlign w:val="center"/>
          </w:tcPr>
          <w:p>
            <w:pPr>
              <w:pStyle w:val="TableContents"/>
              <w:spacing w:lineRule="atLeast" w:line="260" w:before="0" w:after="0"/>
              <w:rPr/>
            </w:pPr>
            <w:r>
              <w:rPr/>
              <w:t> </w:t>
            </w:r>
          </w:p>
        </w:tc>
        <w:tc>
          <w:tcPr>
            <w:tcW w:w="951"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4,022,758</w:t>
            </w:r>
          </w:p>
        </w:tc>
        <w:tc>
          <w:tcPr>
            <w:tcW w:w="75" w:type="dxa"/>
            <w:tcBorders/>
            <w:shd w:fill="CCDEF1" w:val="clear"/>
            <w:vAlign w:val="center"/>
          </w:tcPr>
          <w:p>
            <w:pPr>
              <w:pStyle w:val="TableContents"/>
              <w:spacing w:lineRule="atLeast" w:line="260" w:before="0" w:after="0"/>
              <w:rPr/>
            </w:pPr>
            <w:r>
              <w:rPr/>
              <w:t> </w:t>
            </w:r>
          </w:p>
        </w:tc>
      </w:tr>
      <w:tr>
        <w:trPr/>
        <w:tc>
          <w:tcPr>
            <w:tcW w:w="5840" w:type="dxa"/>
            <w:tcBorders/>
            <w:shd w:fill="auto" w:val="clear"/>
            <w:vAlign w:val="center"/>
          </w:tcPr>
          <w:p>
            <w:pPr>
              <w:pStyle w:val="TableContents"/>
              <w:spacing w:before="0" w:after="283"/>
              <w:rPr>
                <w:sz w:val="4"/>
                <w:szCs w:val="4"/>
              </w:rPr>
            </w:pPr>
            <w:r>
              <w:rPr>
                <w:sz w:val="4"/>
                <w:szCs w:val="4"/>
              </w:rPr>
            </w:r>
          </w:p>
        </w:tc>
        <w:tc>
          <w:tcPr>
            <w:tcW w:w="1640"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5840" w:type="dxa"/>
            <w:tcBorders/>
            <w:shd w:fill="auto" w:val="clear"/>
            <w:vAlign w:val="center"/>
          </w:tcPr>
          <w:p>
            <w:pPr>
              <w:pStyle w:val="TableContents"/>
              <w:spacing w:lineRule="atLeast" w:line="260" w:before="0" w:after="0"/>
              <w:rPr/>
            </w:pPr>
            <w:r>
              <w:rPr/>
              <w:t>  </w:t>
            </w:r>
            <w:r>
              <w:rPr>
                <w:rFonts w:ascii="ARIAL" w:hAnsi="ARIAL"/>
                <w:sz w:val="19"/>
              </w:rPr>
              <w:t>Continued Medical Benefits</w:t>
            </w:r>
          </w:p>
        </w:tc>
        <w:tc>
          <w:tcPr>
            <w:tcW w:w="24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lineRule="atLeast" w:line="260" w:before="0" w:after="0"/>
              <w:rPr/>
            </w:pPr>
            <w:r>
              <w:rPr/>
              <w:t> </w:t>
            </w:r>
          </w:p>
        </w:tc>
        <w:tc>
          <w:tcPr>
            <w:tcW w:w="11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lineRule="atLeast" w:line="260" w:before="0" w:after="0"/>
              <w:rPr/>
            </w:pPr>
            <w:r>
              <w:rPr/>
              <w:t> </w:t>
            </w:r>
          </w:p>
        </w:tc>
        <w:tc>
          <w:tcPr>
            <w:tcW w:w="951"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8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75" w:type="dxa"/>
            <w:tcBorders/>
            <w:shd w:fill="auto" w:val="clear"/>
            <w:vAlign w:val="center"/>
          </w:tcPr>
          <w:p>
            <w:pPr>
              <w:pStyle w:val="TableContents"/>
              <w:spacing w:lineRule="atLeast" w:line="260" w:before="0" w:after="0"/>
              <w:rPr/>
            </w:pPr>
            <w:r>
              <w:rPr/>
              <w:t> </w:t>
            </w:r>
          </w:p>
        </w:tc>
      </w:tr>
      <w:tr>
        <w:trPr/>
        <w:tc>
          <w:tcPr>
            <w:tcW w:w="5840" w:type="dxa"/>
            <w:tcBorders/>
            <w:shd w:fill="CCDEF1" w:val="clear"/>
            <w:vAlign w:val="center"/>
          </w:tcPr>
          <w:p>
            <w:pPr>
              <w:pStyle w:val="TableContents"/>
              <w:spacing w:before="0" w:after="283"/>
              <w:rPr>
                <w:sz w:val="4"/>
                <w:szCs w:val="4"/>
              </w:rPr>
            </w:pPr>
            <w:r>
              <w:rPr>
                <w:sz w:val="4"/>
                <w:szCs w:val="4"/>
              </w:rPr>
            </w:r>
          </w:p>
        </w:tc>
        <w:tc>
          <w:tcPr>
            <w:tcW w:w="1640" w:type="dxa"/>
            <w:gridSpan w:val="4"/>
            <w:tcBorders/>
            <w:shd w:fill="CCDEF1" w:val="clear"/>
            <w:vAlign w:val="center"/>
          </w:tcPr>
          <w:p>
            <w:pPr>
              <w:pStyle w:val="TableContents"/>
              <w:spacing w:before="0" w:after="283"/>
              <w:rPr>
                <w:sz w:val="4"/>
                <w:szCs w:val="4"/>
              </w:rPr>
            </w:pPr>
            <w:r>
              <w:rPr>
                <w:sz w:val="4"/>
                <w:szCs w:val="4"/>
              </w:rPr>
            </w:r>
          </w:p>
        </w:tc>
        <w:tc>
          <w:tcPr>
            <w:tcW w:w="1385" w:type="dxa"/>
            <w:gridSpan w:val="4"/>
            <w:tcBorders/>
            <w:shd w:fill="CCDEF1" w:val="clear"/>
            <w:vAlign w:val="center"/>
          </w:tcPr>
          <w:p>
            <w:pPr>
              <w:pStyle w:val="TableContents"/>
              <w:spacing w:before="0" w:after="283"/>
              <w:rPr>
                <w:sz w:val="4"/>
                <w:szCs w:val="4"/>
              </w:rPr>
            </w:pPr>
            <w:r>
              <w:rPr>
                <w:sz w:val="4"/>
                <w:szCs w:val="4"/>
              </w:rPr>
            </w:r>
          </w:p>
        </w:tc>
        <w:tc>
          <w:tcPr>
            <w:tcW w:w="1315" w:type="dxa"/>
            <w:gridSpan w:val="4"/>
            <w:tcBorders/>
            <w:shd w:fill="CCDEF1" w:val="clear"/>
            <w:vAlign w:val="center"/>
          </w:tcPr>
          <w:p>
            <w:pPr>
              <w:pStyle w:val="TableContents"/>
              <w:spacing w:before="0" w:after="283"/>
              <w:rPr>
                <w:sz w:val="4"/>
                <w:szCs w:val="4"/>
              </w:rPr>
            </w:pPr>
            <w:r>
              <w:rPr>
                <w:sz w:val="4"/>
                <w:szCs w:val="4"/>
              </w:rPr>
            </w:r>
          </w:p>
        </w:tc>
      </w:tr>
      <w:tr>
        <w:trPr/>
        <w:tc>
          <w:tcPr>
            <w:tcW w:w="5840" w:type="dxa"/>
            <w:tcBorders/>
            <w:shd w:fill="CCDEF1" w:val="clear"/>
            <w:vAlign w:val="center"/>
          </w:tcPr>
          <w:p>
            <w:pPr>
              <w:pStyle w:val="TableContents"/>
              <w:spacing w:lineRule="atLeast" w:line="260" w:before="0" w:after="0"/>
              <w:rPr/>
            </w:pPr>
            <w:r>
              <w:rPr/>
              <w:t>  </w:t>
            </w:r>
            <w:r>
              <w:rPr>
                <w:rFonts w:ascii="ARIAL" w:hAnsi="ARIAL"/>
                <w:sz w:val="19"/>
              </w:rPr>
              <w:t>Total</w:t>
            </w:r>
          </w:p>
        </w:tc>
        <w:tc>
          <w:tcPr>
            <w:tcW w:w="240" w:type="dxa"/>
            <w:tcBorders/>
            <w:shd w:fill="CCDEF1" w:val="clear"/>
            <w:vAlign w:val="center"/>
          </w:tcPr>
          <w:p>
            <w:pPr>
              <w:pStyle w:val="TableContents"/>
              <w:spacing w:before="0" w:after="283"/>
              <w:rPr/>
            </w:pPr>
            <w:r>
              <w:rPr/>
              <w:t>    </w:t>
            </w:r>
          </w:p>
        </w:tc>
        <w:tc>
          <w:tcPr>
            <w:tcW w:w="165" w:type="dxa"/>
            <w:tcBorders/>
            <w:shd w:fill="CCDEF1" w:val="clear"/>
            <w:vAlign w:val="center"/>
          </w:tcPr>
          <w:p>
            <w:pPr>
              <w:pStyle w:val="TableContents"/>
              <w:spacing w:lineRule="atLeast" w:line="260" w:before="0" w:after="0"/>
              <w:rPr/>
            </w:pPr>
            <w:r>
              <w:rPr/>
              <w:t> </w:t>
            </w:r>
          </w:p>
        </w:tc>
        <w:tc>
          <w:tcPr>
            <w:tcW w:w="11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34" w:type="dxa"/>
            <w:tcBorders/>
            <w:shd w:fill="CCDEF1" w:val="clear"/>
            <w:vAlign w:val="center"/>
          </w:tcPr>
          <w:p>
            <w:pPr>
              <w:pStyle w:val="TableContents"/>
              <w:spacing w:lineRule="atLeast" w:line="260" w:before="0" w:after="0"/>
              <w:rPr/>
            </w:pPr>
            <w:r>
              <w:rPr/>
              <w:t> </w:t>
            </w:r>
          </w:p>
        </w:tc>
        <w:tc>
          <w:tcPr>
            <w:tcW w:w="951"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7,622,196</w:t>
            </w:r>
          </w:p>
        </w:tc>
        <w:tc>
          <w:tcPr>
            <w:tcW w:w="75" w:type="dxa"/>
            <w:tcBorders/>
            <w:shd w:fill="CCDEF1" w:val="clear"/>
            <w:vAlign w:val="center"/>
          </w:tcPr>
          <w:p>
            <w:pPr>
              <w:pStyle w:val="TableContents"/>
              <w:spacing w:lineRule="atLeast" w:line="260" w:before="0" w:after="0"/>
              <w:rPr/>
            </w:pPr>
            <w:r>
              <w:rPr/>
              <w:t> </w:t>
            </w:r>
          </w:p>
        </w:tc>
      </w:tr>
    </w:tbl>
    <w:p>
      <w:pPr>
        <w:pStyle w:val="TextBody"/>
        <w:spacing w:before="240" w:after="0"/>
        <w:jc w:val="left"/>
        <w:rPr>
          <w:rFonts w:ascii="ARIAL" w:hAnsi="ARIAL"/>
          <w:b/>
          <w:color w:val="005CB9"/>
          <w:sz w:val="20"/>
        </w:rPr>
      </w:pPr>
      <w:r>
        <w:rPr>
          <w:rFonts w:ascii="ARIAL" w:hAnsi="ARIAL"/>
          <w:b/>
          <w:color w:val="005CB9"/>
          <w:sz w:val="20"/>
        </w:rPr>
        <w:t xml:space="preserve">JOHN K. STIPANCICH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830"/>
        <w:gridCol w:w="240"/>
        <w:gridCol w:w="165"/>
        <w:gridCol w:w="1175"/>
        <w:gridCol w:w="60"/>
        <w:gridCol w:w="240"/>
        <w:gridCol w:w="125"/>
        <w:gridCol w:w="995"/>
        <w:gridCol w:w="60"/>
        <w:gridCol w:w="240"/>
        <w:gridCol w:w="125"/>
        <w:gridCol w:w="875"/>
        <w:gridCol w:w="75"/>
      </w:tblGrid>
      <w:tr>
        <w:trPr/>
        <w:tc>
          <w:tcPr>
            <w:tcW w:w="583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830"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c>
          <w:tcPr>
            <w:tcW w:w="240" w:type="dxa"/>
            <w:tcBorders/>
            <w:shd w:fill="005CB9" w:val="clear"/>
            <w:vAlign w:val="center"/>
          </w:tcPr>
          <w:p>
            <w:pPr>
              <w:pStyle w:val="TableContents"/>
              <w:spacing w:before="0" w:after="283"/>
              <w:rPr/>
            </w:pPr>
            <w:r>
              <w:rPr/>
              <w:t>    </w:t>
            </w:r>
          </w:p>
        </w:tc>
        <w:tc>
          <w:tcPr>
            <w:tcW w:w="4060" w:type="dxa"/>
            <w:gridSpan w:val="10"/>
            <w:tcBorders>
              <w:bottom w:val="single" w:sz="8" w:space="0" w:color="FFFFFF"/>
            </w:tcBorders>
            <w:shd w:fill="005CB9" w:val="clear"/>
            <w:tcMar>
              <w:bottom w:w="28" w:type="dxa"/>
            </w:tcMar>
            <w:vAlign w:val="center"/>
          </w:tcPr>
          <w:p>
            <w:pPr>
              <w:pStyle w:val="TableContents"/>
              <w:spacing w:before="0" w:after="283"/>
              <w:jc w:val="center"/>
              <w:rPr>
                <w:color w:val="FFFFFF"/>
              </w:rPr>
            </w:pPr>
            <w:r>
              <w:rPr>
                <w:color w:val="FFFFFF"/>
              </w:rPr>
              <w:t>Termination Scenario</w:t>
            </w:r>
          </w:p>
        </w:tc>
        <w:tc>
          <w:tcPr>
            <w:tcW w:w="7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r>
      <w:tr>
        <w:trPr/>
        <w:tc>
          <w:tcPr>
            <w:tcW w:w="5830" w:type="dxa"/>
            <w:tcBorders/>
            <w:shd w:fill="005CB9" w:val="clear"/>
            <w:vAlign w:val="center"/>
          </w:tcPr>
          <w:p>
            <w:pPr>
              <w:pStyle w:val="TableContents"/>
              <w:spacing w:before="0" w:after="283"/>
              <w:rPr>
                <w:color w:val="FFFFFF"/>
              </w:rPr>
            </w:pPr>
            <w:r>
              <w:rPr>
                <w:color w:val="FFFFFF"/>
              </w:rPr>
              <w:t>  </w:t>
            </w:r>
            <w:r>
              <w:rPr>
                <w:color w:val="FFFFFF"/>
              </w:rPr>
              <w:t>Potential Payments Upon Termination or Change in Control</w:t>
            </w:r>
          </w:p>
        </w:tc>
        <w:tc>
          <w:tcPr>
            <w:tcW w:w="240" w:type="dxa"/>
            <w:tcBorders/>
            <w:shd w:fill="005CB9" w:val="clear"/>
            <w:vAlign w:val="center"/>
          </w:tcPr>
          <w:p>
            <w:pPr>
              <w:pStyle w:val="TableContents"/>
              <w:spacing w:before="0" w:after="283"/>
              <w:rPr/>
            </w:pPr>
            <w:r>
              <w:rPr/>
              <w:t>    </w:t>
            </w:r>
          </w:p>
        </w:tc>
        <w:tc>
          <w:tcPr>
            <w:tcW w:w="134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By Employee</w:t>
            </w:r>
          </w:p>
          <w:p>
            <w:pPr>
              <w:pStyle w:val="TableContents"/>
              <w:spacing w:before="0" w:after="20"/>
              <w:jc w:val="right"/>
              <w:rPr>
                <w:rFonts w:ascii="arial" w:hAnsi="arial"/>
                <w:color w:val="FFFFFF"/>
                <w:sz w:val="16"/>
              </w:rPr>
            </w:pPr>
            <w:r>
              <w:rPr>
                <w:rFonts w:ascii="arial" w:hAnsi="arial"/>
                <w:color w:val="FFFFFF"/>
                <w:sz w:val="16"/>
              </w:rPr>
              <w:t>For Good Reason</w:t>
            </w:r>
          </w:p>
        </w:tc>
        <w:tc>
          <w:tcPr>
            <w:tcW w:w="60" w:type="dxa"/>
            <w:tcBorders/>
            <w:shd w:fill="005CB9" w:val="clear"/>
            <w:vAlign w:val="center"/>
          </w:tcPr>
          <w:p>
            <w:pPr>
              <w:pStyle w:val="TableContents"/>
              <w:spacing w:before="0" w:after="283"/>
              <w:rPr/>
            </w:pPr>
            <w:r>
              <w:rPr/>
              <w:t> </w:t>
            </w:r>
          </w:p>
        </w:tc>
        <w:tc>
          <w:tcPr>
            <w:tcW w:w="240" w:type="dxa"/>
            <w:tcBorders/>
            <w:shd w:fill="005CB9" w:val="clear"/>
            <w:vAlign w:val="center"/>
          </w:tcPr>
          <w:p>
            <w:pPr>
              <w:pStyle w:val="TableContents"/>
              <w:spacing w:before="0" w:after="283"/>
              <w:rPr/>
            </w:pPr>
            <w:r>
              <w:rPr/>
              <w:t>    </w:t>
            </w:r>
          </w:p>
        </w:tc>
        <w:tc>
          <w:tcPr>
            <w:tcW w:w="112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By Company</w:t>
            </w:r>
          </w:p>
          <w:p>
            <w:pPr>
              <w:pStyle w:val="TableContents"/>
              <w:spacing w:before="0" w:after="20"/>
              <w:jc w:val="right"/>
              <w:rPr>
                <w:rFonts w:ascii="arial" w:hAnsi="arial"/>
                <w:color w:val="FFFFFF"/>
                <w:sz w:val="16"/>
              </w:rPr>
            </w:pPr>
            <w:r>
              <w:rPr>
                <w:rFonts w:ascii="arial" w:hAnsi="arial"/>
                <w:color w:val="FFFFFF"/>
                <w:sz w:val="16"/>
              </w:rPr>
              <w:t>Without Cause</w:t>
            </w:r>
          </w:p>
        </w:tc>
        <w:tc>
          <w:tcPr>
            <w:tcW w:w="60" w:type="dxa"/>
            <w:tcBorders/>
            <w:shd w:fill="005CB9" w:val="clear"/>
            <w:vAlign w:val="center"/>
          </w:tcPr>
          <w:p>
            <w:pPr>
              <w:pStyle w:val="TableContents"/>
              <w:spacing w:before="0" w:after="283"/>
              <w:rPr/>
            </w:pPr>
            <w:r>
              <w:rPr/>
              <w:t> </w:t>
            </w:r>
          </w:p>
        </w:tc>
        <w:tc>
          <w:tcPr>
            <w:tcW w:w="240" w:type="dxa"/>
            <w:tcBorders/>
            <w:shd w:fill="005CB9" w:val="clear"/>
            <w:vAlign w:val="center"/>
          </w:tcPr>
          <w:p>
            <w:pPr>
              <w:pStyle w:val="TableContents"/>
              <w:spacing w:before="0" w:after="283"/>
              <w:rPr/>
            </w:pPr>
            <w:r>
              <w:rPr/>
              <w:t>    </w:t>
            </w:r>
          </w:p>
        </w:tc>
        <w:tc>
          <w:tcPr>
            <w:tcW w:w="100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Change in</w:t>
            </w:r>
          </w:p>
          <w:p>
            <w:pPr>
              <w:pStyle w:val="TableContents"/>
              <w:spacing w:before="0" w:after="20"/>
              <w:jc w:val="right"/>
              <w:rPr>
                <w:rFonts w:ascii="arial" w:hAnsi="arial"/>
                <w:sz w:val="16"/>
              </w:rPr>
            </w:pPr>
            <w:r>
              <w:rPr>
                <w:rFonts w:ascii="arial" w:hAnsi="arial"/>
                <w:color w:val="FFFFFF"/>
                <w:sz w:val="16"/>
              </w:rPr>
              <w:t>Control</w:t>
            </w:r>
            <w:r>
              <w:rPr>
                <w:rFonts w:ascii="arial" w:hAnsi="arial"/>
                <w:color w:val="FFFFFF"/>
                <w:sz w:val="10"/>
              </w:rPr>
              <w:t xml:space="preserve">(1) </w:t>
            </w:r>
          </w:p>
        </w:tc>
        <w:tc>
          <w:tcPr>
            <w:tcW w:w="75" w:type="dxa"/>
            <w:tcBorders/>
            <w:shd w:fill="005CB9" w:val="clear"/>
            <w:vAlign w:val="center"/>
          </w:tcPr>
          <w:p>
            <w:pPr>
              <w:pStyle w:val="TableContents"/>
              <w:spacing w:before="0" w:after="283"/>
              <w:rPr/>
            </w:pPr>
            <w:r>
              <w:rPr/>
              <w:t> </w:t>
            </w:r>
          </w:p>
        </w:tc>
      </w:tr>
      <w:tr>
        <w:trPr/>
        <w:tc>
          <w:tcPr>
            <w:tcW w:w="5830" w:type="dxa"/>
            <w:tcBorders/>
            <w:shd w:fill="CCDEF1" w:val="clear"/>
            <w:vAlign w:val="center"/>
          </w:tcPr>
          <w:p>
            <w:pPr>
              <w:pStyle w:val="TableContents"/>
              <w:spacing w:before="0" w:after="283"/>
              <w:rPr>
                <w:sz w:val="4"/>
                <w:szCs w:val="4"/>
              </w:rPr>
            </w:pPr>
            <w:r>
              <w:rPr>
                <w:sz w:val="4"/>
                <w:szCs w:val="4"/>
              </w:rPr>
            </w:r>
          </w:p>
        </w:tc>
        <w:tc>
          <w:tcPr>
            <w:tcW w:w="1640" w:type="dxa"/>
            <w:gridSpan w:val="4"/>
            <w:tcBorders/>
            <w:shd w:fill="CCDEF1" w:val="clear"/>
            <w:vAlign w:val="center"/>
          </w:tcPr>
          <w:p>
            <w:pPr>
              <w:pStyle w:val="TableContents"/>
              <w:spacing w:before="0" w:after="283"/>
              <w:rPr>
                <w:sz w:val="4"/>
                <w:szCs w:val="4"/>
              </w:rPr>
            </w:pPr>
            <w:r>
              <w:rPr>
                <w:sz w:val="4"/>
                <w:szCs w:val="4"/>
              </w:rPr>
            </w:r>
          </w:p>
        </w:tc>
        <w:tc>
          <w:tcPr>
            <w:tcW w:w="1420" w:type="dxa"/>
            <w:gridSpan w:val="4"/>
            <w:tcBorders/>
            <w:shd w:fill="CCDEF1" w:val="clear"/>
            <w:vAlign w:val="center"/>
          </w:tcPr>
          <w:p>
            <w:pPr>
              <w:pStyle w:val="TableContents"/>
              <w:spacing w:before="0" w:after="283"/>
              <w:rPr>
                <w:sz w:val="4"/>
                <w:szCs w:val="4"/>
              </w:rPr>
            </w:pPr>
            <w:r>
              <w:rPr>
                <w:sz w:val="4"/>
                <w:szCs w:val="4"/>
              </w:rPr>
            </w:r>
          </w:p>
        </w:tc>
        <w:tc>
          <w:tcPr>
            <w:tcW w:w="1315" w:type="dxa"/>
            <w:gridSpan w:val="4"/>
            <w:tcBorders/>
            <w:shd w:fill="CCDEF1" w:val="clear"/>
            <w:vAlign w:val="center"/>
          </w:tcPr>
          <w:p>
            <w:pPr>
              <w:pStyle w:val="TableContents"/>
              <w:spacing w:before="0" w:after="283"/>
              <w:rPr>
                <w:sz w:val="4"/>
                <w:szCs w:val="4"/>
              </w:rPr>
            </w:pPr>
            <w:r>
              <w:rPr>
                <w:sz w:val="4"/>
                <w:szCs w:val="4"/>
              </w:rPr>
            </w:r>
          </w:p>
        </w:tc>
      </w:tr>
      <w:tr>
        <w:trPr/>
        <w:tc>
          <w:tcPr>
            <w:tcW w:w="5830" w:type="dxa"/>
            <w:tcBorders/>
            <w:shd w:fill="CCDEF1" w:val="clear"/>
            <w:vAlign w:val="center"/>
          </w:tcPr>
          <w:p>
            <w:pPr>
              <w:pStyle w:val="TableContents"/>
              <w:spacing w:lineRule="atLeast" w:line="260" w:before="0" w:after="0"/>
              <w:rPr/>
            </w:pPr>
            <w:r>
              <w:rPr/>
              <w:t>  </w:t>
            </w:r>
            <w:r>
              <w:rPr>
                <w:rFonts w:ascii="ARIAL" w:hAnsi="ARIAL"/>
                <w:sz w:val="19"/>
              </w:rPr>
              <w:t>Cash payments</w:t>
            </w:r>
          </w:p>
        </w:tc>
        <w:tc>
          <w:tcPr>
            <w:tcW w:w="240" w:type="dxa"/>
            <w:tcBorders/>
            <w:shd w:fill="CCDEF1" w:val="clear"/>
            <w:vAlign w:val="center"/>
          </w:tcPr>
          <w:p>
            <w:pPr>
              <w:pStyle w:val="TableContents"/>
              <w:spacing w:before="0" w:after="283"/>
              <w:rPr/>
            </w:pPr>
            <w:r>
              <w:rPr/>
              <w:t>    </w:t>
            </w:r>
          </w:p>
        </w:tc>
        <w:tc>
          <w:tcPr>
            <w:tcW w:w="165" w:type="dxa"/>
            <w:tcBorders/>
            <w:shd w:fill="CCDEF1" w:val="clear"/>
            <w:vAlign w:val="center"/>
          </w:tcPr>
          <w:p>
            <w:pPr>
              <w:pStyle w:val="TableContents"/>
              <w:spacing w:lineRule="atLeast" w:line="260" w:before="0" w:after="0"/>
              <w:rPr/>
            </w:pPr>
            <w:r>
              <w:rPr/>
              <w:t> </w:t>
            </w:r>
          </w:p>
        </w:tc>
        <w:tc>
          <w:tcPr>
            <w:tcW w:w="11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99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1,732,500</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1,732,500</w:t>
            </w:r>
          </w:p>
        </w:tc>
        <w:tc>
          <w:tcPr>
            <w:tcW w:w="75" w:type="dxa"/>
            <w:tcBorders/>
            <w:shd w:fill="CCDEF1" w:val="clear"/>
            <w:vAlign w:val="center"/>
          </w:tcPr>
          <w:p>
            <w:pPr>
              <w:pStyle w:val="TableContents"/>
              <w:spacing w:lineRule="atLeast" w:line="260" w:before="0" w:after="0"/>
              <w:rPr/>
            </w:pPr>
            <w:r>
              <w:rPr/>
              <w:t> </w:t>
            </w:r>
          </w:p>
        </w:tc>
      </w:tr>
      <w:tr>
        <w:trPr/>
        <w:tc>
          <w:tcPr>
            <w:tcW w:w="5830" w:type="dxa"/>
            <w:tcBorders/>
            <w:shd w:fill="auto" w:val="clear"/>
            <w:vAlign w:val="center"/>
          </w:tcPr>
          <w:p>
            <w:pPr>
              <w:pStyle w:val="TableContents"/>
              <w:spacing w:before="0" w:after="283"/>
              <w:rPr>
                <w:sz w:val="4"/>
                <w:szCs w:val="4"/>
              </w:rPr>
            </w:pPr>
            <w:r>
              <w:rPr>
                <w:sz w:val="4"/>
                <w:szCs w:val="4"/>
              </w:rPr>
            </w:r>
          </w:p>
        </w:tc>
        <w:tc>
          <w:tcPr>
            <w:tcW w:w="1640"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5830" w:type="dxa"/>
            <w:tcBorders/>
            <w:shd w:fill="auto" w:val="clear"/>
            <w:vAlign w:val="center"/>
          </w:tcPr>
          <w:p>
            <w:pPr>
              <w:pStyle w:val="TableContents"/>
              <w:spacing w:lineRule="atLeast" w:line="200" w:before="0" w:after="0"/>
              <w:rPr/>
            </w:pPr>
            <w:r>
              <w:rPr/>
              <w:t>  </w:t>
            </w:r>
            <w:r>
              <w:rPr>
                <w:rFonts w:ascii="ARIAL" w:hAnsi="ARIAL"/>
                <w:sz w:val="19"/>
              </w:rPr>
              <w:t>Accelerated Equity Awards(3)(4)</w:t>
            </w:r>
          </w:p>
        </w:tc>
        <w:tc>
          <w:tcPr>
            <w:tcW w:w="24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pPr>
            <w:r>
              <w:rPr/>
              <w:t> </w:t>
            </w:r>
          </w:p>
        </w:tc>
        <w:tc>
          <w:tcPr>
            <w:tcW w:w="117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pPr>
            <w:r>
              <w:rPr/>
              <w:t> </w:t>
            </w:r>
          </w:p>
        </w:tc>
        <w:tc>
          <w:tcPr>
            <w:tcW w:w="99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pPr>
            <w:r>
              <w:rPr/>
              <w:t> </w:t>
            </w:r>
          </w:p>
        </w:tc>
        <w:tc>
          <w:tcPr>
            <w:tcW w:w="875"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5830" w:type="dxa"/>
            <w:tcBorders/>
            <w:shd w:fill="CCDEF1" w:val="clear"/>
            <w:vAlign w:val="center"/>
          </w:tcPr>
          <w:p>
            <w:pPr>
              <w:pStyle w:val="TableContents"/>
              <w:spacing w:before="0" w:after="283"/>
              <w:rPr>
                <w:sz w:val="4"/>
                <w:szCs w:val="4"/>
              </w:rPr>
            </w:pPr>
            <w:r>
              <w:rPr>
                <w:sz w:val="4"/>
                <w:szCs w:val="4"/>
              </w:rPr>
            </w:r>
          </w:p>
        </w:tc>
        <w:tc>
          <w:tcPr>
            <w:tcW w:w="1640" w:type="dxa"/>
            <w:gridSpan w:val="4"/>
            <w:tcBorders/>
            <w:shd w:fill="CCDEF1" w:val="clear"/>
            <w:vAlign w:val="center"/>
          </w:tcPr>
          <w:p>
            <w:pPr>
              <w:pStyle w:val="TableContents"/>
              <w:spacing w:before="0" w:after="283"/>
              <w:rPr>
                <w:sz w:val="4"/>
                <w:szCs w:val="4"/>
              </w:rPr>
            </w:pPr>
            <w:r>
              <w:rPr>
                <w:sz w:val="4"/>
                <w:szCs w:val="4"/>
              </w:rPr>
            </w:r>
          </w:p>
        </w:tc>
        <w:tc>
          <w:tcPr>
            <w:tcW w:w="1420" w:type="dxa"/>
            <w:gridSpan w:val="4"/>
            <w:tcBorders/>
            <w:shd w:fill="CCDEF1" w:val="clear"/>
            <w:vAlign w:val="center"/>
          </w:tcPr>
          <w:p>
            <w:pPr>
              <w:pStyle w:val="TableContents"/>
              <w:spacing w:before="0" w:after="283"/>
              <w:rPr>
                <w:sz w:val="4"/>
                <w:szCs w:val="4"/>
              </w:rPr>
            </w:pPr>
            <w:r>
              <w:rPr>
                <w:sz w:val="4"/>
                <w:szCs w:val="4"/>
              </w:rPr>
            </w:r>
          </w:p>
        </w:tc>
        <w:tc>
          <w:tcPr>
            <w:tcW w:w="1315" w:type="dxa"/>
            <w:gridSpan w:val="4"/>
            <w:tcBorders/>
            <w:shd w:fill="CCDEF1" w:val="clear"/>
            <w:vAlign w:val="center"/>
          </w:tcPr>
          <w:p>
            <w:pPr>
              <w:pStyle w:val="TableContents"/>
              <w:spacing w:before="0" w:after="283"/>
              <w:rPr>
                <w:sz w:val="4"/>
                <w:szCs w:val="4"/>
              </w:rPr>
            </w:pPr>
            <w:r>
              <w:rPr>
                <w:sz w:val="4"/>
                <w:szCs w:val="4"/>
              </w:rPr>
            </w:r>
          </w:p>
        </w:tc>
      </w:tr>
      <w:tr>
        <w:trPr/>
        <w:tc>
          <w:tcPr>
            <w:tcW w:w="5830" w:type="dxa"/>
            <w:tcBorders/>
            <w:shd w:fill="CCDEF1" w:val="clear"/>
            <w:vAlign w:val="center"/>
          </w:tcPr>
          <w:p>
            <w:pPr>
              <w:pStyle w:val="TableContents"/>
              <w:spacing w:lineRule="atLeast" w:line="260" w:before="0" w:after="0"/>
              <w:rPr/>
            </w:pPr>
            <w:r>
              <w:rPr/>
              <w:t>  </w:t>
            </w:r>
            <w:r>
              <w:rPr>
                <w:rFonts w:ascii="ARIAL" w:hAnsi="ARIAL"/>
                <w:sz w:val="19"/>
              </w:rPr>
              <w:t>2020 Stock Option Grant</w:t>
            </w:r>
          </w:p>
        </w:tc>
        <w:tc>
          <w:tcPr>
            <w:tcW w:w="240" w:type="dxa"/>
            <w:tcBorders/>
            <w:shd w:fill="CCDEF1" w:val="clear"/>
            <w:vAlign w:val="center"/>
          </w:tcPr>
          <w:p>
            <w:pPr>
              <w:pStyle w:val="TableContents"/>
              <w:spacing w:before="0" w:after="283"/>
              <w:rPr/>
            </w:pPr>
            <w:r>
              <w:rPr/>
              <w:t>    </w:t>
            </w:r>
          </w:p>
        </w:tc>
        <w:tc>
          <w:tcPr>
            <w:tcW w:w="165" w:type="dxa"/>
            <w:tcBorders/>
            <w:shd w:fill="CCDEF1" w:val="clear"/>
            <w:vAlign w:val="center"/>
          </w:tcPr>
          <w:p>
            <w:pPr>
              <w:pStyle w:val="TableContents"/>
              <w:spacing w:lineRule="atLeast" w:line="260" w:before="0" w:after="0"/>
              <w:rPr/>
            </w:pPr>
            <w:r>
              <w:rPr/>
              <w:t> </w:t>
            </w:r>
          </w:p>
        </w:tc>
        <w:tc>
          <w:tcPr>
            <w:tcW w:w="11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99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339,509</w:t>
            </w:r>
          </w:p>
        </w:tc>
        <w:tc>
          <w:tcPr>
            <w:tcW w:w="75" w:type="dxa"/>
            <w:tcBorders/>
            <w:shd w:fill="CCDEF1" w:val="clear"/>
            <w:vAlign w:val="center"/>
          </w:tcPr>
          <w:p>
            <w:pPr>
              <w:pStyle w:val="TableContents"/>
              <w:spacing w:lineRule="atLeast" w:line="260" w:before="0" w:after="0"/>
              <w:rPr/>
            </w:pPr>
            <w:r>
              <w:rPr/>
              <w:t> </w:t>
            </w:r>
          </w:p>
        </w:tc>
      </w:tr>
      <w:tr>
        <w:trPr/>
        <w:tc>
          <w:tcPr>
            <w:tcW w:w="5830" w:type="dxa"/>
            <w:tcBorders/>
            <w:shd w:fill="auto" w:val="clear"/>
            <w:vAlign w:val="center"/>
          </w:tcPr>
          <w:p>
            <w:pPr>
              <w:pStyle w:val="TableContents"/>
              <w:spacing w:before="0" w:after="283"/>
              <w:rPr>
                <w:sz w:val="4"/>
                <w:szCs w:val="4"/>
              </w:rPr>
            </w:pPr>
            <w:r>
              <w:rPr>
                <w:sz w:val="4"/>
                <w:szCs w:val="4"/>
              </w:rPr>
            </w:r>
          </w:p>
        </w:tc>
        <w:tc>
          <w:tcPr>
            <w:tcW w:w="1640"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5830" w:type="dxa"/>
            <w:tcBorders/>
            <w:shd w:fill="auto" w:val="clear"/>
            <w:vAlign w:val="center"/>
          </w:tcPr>
          <w:p>
            <w:pPr>
              <w:pStyle w:val="TableContents"/>
              <w:spacing w:lineRule="atLeast" w:line="260" w:before="0" w:after="0"/>
              <w:rPr/>
            </w:pPr>
            <w:r>
              <w:rPr/>
              <w:t>  </w:t>
            </w:r>
            <w:r>
              <w:rPr>
                <w:rFonts w:ascii="ARIAL" w:hAnsi="ARIAL"/>
                <w:sz w:val="19"/>
              </w:rPr>
              <w:t>2021 Stock Option Grant</w:t>
            </w:r>
          </w:p>
        </w:tc>
        <w:tc>
          <w:tcPr>
            <w:tcW w:w="24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lineRule="atLeast" w:line="260" w:before="0" w:after="0"/>
              <w:rPr/>
            </w:pPr>
            <w:r>
              <w:rPr/>
              <w:t> </w:t>
            </w:r>
          </w:p>
        </w:tc>
        <w:tc>
          <w:tcPr>
            <w:tcW w:w="11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99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8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182,714</w:t>
            </w:r>
          </w:p>
        </w:tc>
        <w:tc>
          <w:tcPr>
            <w:tcW w:w="75" w:type="dxa"/>
            <w:tcBorders/>
            <w:shd w:fill="auto" w:val="clear"/>
            <w:vAlign w:val="center"/>
          </w:tcPr>
          <w:p>
            <w:pPr>
              <w:pStyle w:val="TableContents"/>
              <w:spacing w:lineRule="atLeast" w:line="260" w:before="0" w:after="0"/>
              <w:rPr/>
            </w:pPr>
            <w:r>
              <w:rPr/>
              <w:t> </w:t>
            </w:r>
          </w:p>
        </w:tc>
      </w:tr>
      <w:tr>
        <w:trPr/>
        <w:tc>
          <w:tcPr>
            <w:tcW w:w="5830" w:type="dxa"/>
            <w:tcBorders/>
            <w:shd w:fill="CCDEF1" w:val="clear"/>
            <w:vAlign w:val="center"/>
          </w:tcPr>
          <w:p>
            <w:pPr>
              <w:pStyle w:val="TableContents"/>
              <w:spacing w:before="0" w:after="283"/>
              <w:rPr>
                <w:sz w:val="4"/>
                <w:szCs w:val="4"/>
              </w:rPr>
            </w:pPr>
            <w:r>
              <w:rPr>
                <w:sz w:val="4"/>
                <w:szCs w:val="4"/>
              </w:rPr>
            </w:r>
          </w:p>
        </w:tc>
        <w:tc>
          <w:tcPr>
            <w:tcW w:w="1640" w:type="dxa"/>
            <w:gridSpan w:val="4"/>
            <w:tcBorders/>
            <w:shd w:fill="CCDEF1" w:val="clear"/>
            <w:vAlign w:val="center"/>
          </w:tcPr>
          <w:p>
            <w:pPr>
              <w:pStyle w:val="TableContents"/>
              <w:spacing w:before="0" w:after="283"/>
              <w:rPr>
                <w:sz w:val="4"/>
                <w:szCs w:val="4"/>
              </w:rPr>
            </w:pPr>
            <w:r>
              <w:rPr>
                <w:sz w:val="4"/>
                <w:szCs w:val="4"/>
              </w:rPr>
            </w:r>
          </w:p>
        </w:tc>
        <w:tc>
          <w:tcPr>
            <w:tcW w:w="1420" w:type="dxa"/>
            <w:gridSpan w:val="4"/>
            <w:tcBorders/>
            <w:shd w:fill="CCDEF1" w:val="clear"/>
            <w:vAlign w:val="center"/>
          </w:tcPr>
          <w:p>
            <w:pPr>
              <w:pStyle w:val="TableContents"/>
              <w:spacing w:before="0" w:after="283"/>
              <w:rPr>
                <w:sz w:val="4"/>
                <w:szCs w:val="4"/>
              </w:rPr>
            </w:pPr>
            <w:r>
              <w:rPr>
                <w:sz w:val="4"/>
                <w:szCs w:val="4"/>
              </w:rPr>
            </w:r>
          </w:p>
        </w:tc>
        <w:tc>
          <w:tcPr>
            <w:tcW w:w="1315" w:type="dxa"/>
            <w:gridSpan w:val="4"/>
            <w:tcBorders/>
            <w:shd w:fill="CCDEF1" w:val="clear"/>
            <w:vAlign w:val="center"/>
          </w:tcPr>
          <w:p>
            <w:pPr>
              <w:pStyle w:val="TableContents"/>
              <w:spacing w:before="0" w:after="283"/>
              <w:rPr>
                <w:sz w:val="4"/>
                <w:szCs w:val="4"/>
              </w:rPr>
            </w:pPr>
            <w:r>
              <w:rPr>
                <w:sz w:val="4"/>
                <w:szCs w:val="4"/>
              </w:rPr>
            </w:r>
          </w:p>
        </w:tc>
      </w:tr>
      <w:tr>
        <w:trPr/>
        <w:tc>
          <w:tcPr>
            <w:tcW w:w="5830" w:type="dxa"/>
            <w:tcBorders/>
            <w:shd w:fill="CCDEF1" w:val="clear"/>
            <w:vAlign w:val="center"/>
          </w:tcPr>
          <w:p>
            <w:pPr>
              <w:pStyle w:val="TableContents"/>
              <w:spacing w:lineRule="atLeast" w:line="260" w:before="0" w:after="0"/>
              <w:rPr/>
            </w:pPr>
            <w:r>
              <w:rPr/>
              <w:t>  </w:t>
            </w:r>
            <w:r>
              <w:rPr>
                <w:rFonts w:ascii="ARIAL" w:hAnsi="ARIAL"/>
                <w:sz w:val="19"/>
              </w:rPr>
              <w:t>2022 Stock Option Grant</w:t>
            </w:r>
          </w:p>
        </w:tc>
        <w:tc>
          <w:tcPr>
            <w:tcW w:w="240" w:type="dxa"/>
            <w:tcBorders/>
            <w:shd w:fill="CCDEF1" w:val="clear"/>
            <w:vAlign w:val="center"/>
          </w:tcPr>
          <w:p>
            <w:pPr>
              <w:pStyle w:val="TableContents"/>
              <w:spacing w:before="0" w:after="283"/>
              <w:rPr/>
            </w:pPr>
            <w:r>
              <w:rPr/>
              <w:t>    </w:t>
            </w:r>
          </w:p>
        </w:tc>
        <w:tc>
          <w:tcPr>
            <w:tcW w:w="165" w:type="dxa"/>
            <w:tcBorders/>
            <w:shd w:fill="CCDEF1" w:val="clear"/>
            <w:vAlign w:val="center"/>
          </w:tcPr>
          <w:p>
            <w:pPr>
              <w:pStyle w:val="TableContents"/>
              <w:spacing w:lineRule="atLeast" w:line="260" w:before="0" w:after="0"/>
              <w:rPr/>
            </w:pPr>
            <w:r>
              <w:rPr/>
              <w:t> </w:t>
            </w:r>
          </w:p>
        </w:tc>
        <w:tc>
          <w:tcPr>
            <w:tcW w:w="11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99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75" w:type="dxa"/>
            <w:tcBorders/>
            <w:shd w:fill="CCDEF1" w:val="clear"/>
            <w:vAlign w:val="center"/>
          </w:tcPr>
          <w:p>
            <w:pPr>
              <w:pStyle w:val="TableContents"/>
              <w:spacing w:lineRule="atLeast" w:line="260" w:before="0" w:after="0"/>
              <w:rPr/>
            </w:pPr>
            <w:r>
              <w:rPr/>
              <w:t> </w:t>
            </w:r>
          </w:p>
        </w:tc>
      </w:tr>
      <w:tr>
        <w:trPr/>
        <w:tc>
          <w:tcPr>
            <w:tcW w:w="5830" w:type="dxa"/>
            <w:tcBorders/>
            <w:shd w:fill="auto" w:val="clear"/>
            <w:vAlign w:val="center"/>
          </w:tcPr>
          <w:p>
            <w:pPr>
              <w:pStyle w:val="TableContents"/>
              <w:spacing w:before="0" w:after="283"/>
              <w:rPr>
                <w:sz w:val="4"/>
                <w:szCs w:val="4"/>
              </w:rPr>
            </w:pPr>
            <w:r>
              <w:rPr>
                <w:sz w:val="4"/>
                <w:szCs w:val="4"/>
              </w:rPr>
            </w:r>
          </w:p>
        </w:tc>
        <w:tc>
          <w:tcPr>
            <w:tcW w:w="1640"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5830" w:type="dxa"/>
            <w:tcBorders/>
            <w:shd w:fill="auto" w:val="clear"/>
            <w:vAlign w:val="center"/>
          </w:tcPr>
          <w:p>
            <w:pPr>
              <w:pStyle w:val="TableContents"/>
              <w:spacing w:lineRule="atLeast" w:line="260" w:before="0" w:after="0"/>
              <w:rPr/>
            </w:pPr>
            <w:r>
              <w:rPr/>
              <w:t>  </w:t>
            </w:r>
            <w:r>
              <w:rPr>
                <w:rFonts w:ascii="ARIAL" w:hAnsi="ARIAL"/>
                <w:sz w:val="19"/>
              </w:rPr>
              <w:t>2021 Restricted Stock Grant</w:t>
            </w:r>
          </w:p>
        </w:tc>
        <w:tc>
          <w:tcPr>
            <w:tcW w:w="24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lineRule="atLeast" w:line="260" w:before="0" w:after="0"/>
              <w:rPr/>
            </w:pPr>
            <w:r>
              <w:rPr/>
              <w:t> </w:t>
            </w:r>
          </w:p>
        </w:tc>
        <w:tc>
          <w:tcPr>
            <w:tcW w:w="11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99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8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1,275,098</w:t>
            </w:r>
          </w:p>
        </w:tc>
        <w:tc>
          <w:tcPr>
            <w:tcW w:w="75" w:type="dxa"/>
            <w:tcBorders/>
            <w:shd w:fill="auto" w:val="clear"/>
            <w:vAlign w:val="center"/>
          </w:tcPr>
          <w:p>
            <w:pPr>
              <w:pStyle w:val="TableContents"/>
              <w:spacing w:lineRule="atLeast" w:line="260" w:before="0" w:after="0"/>
              <w:rPr/>
            </w:pPr>
            <w:r>
              <w:rPr/>
              <w:t> </w:t>
            </w:r>
          </w:p>
        </w:tc>
      </w:tr>
      <w:tr>
        <w:trPr/>
        <w:tc>
          <w:tcPr>
            <w:tcW w:w="5830" w:type="dxa"/>
            <w:tcBorders/>
            <w:shd w:fill="CCDEF1" w:val="clear"/>
            <w:vAlign w:val="center"/>
          </w:tcPr>
          <w:p>
            <w:pPr>
              <w:pStyle w:val="TableContents"/>
              <w:spacing w:before="0" w:after="283"/>
              <w:rPr>
                <w:sz w:val="4"/>
                <w:szCs w:val="4"/>
              </w:rPr>
            </w:pPr>
            <w:r>
              <w:rPr>
                <w:sz w:val="4"/>
                <w:szCs w:val="4"/>
              </w:rPr>
            </w:r>
          </w:p>
        </w:tc>
        <w:tc>
          <w:tcPr>
            <w:tcW w:w="1640" w:type="dxa"/>
            <w:gridSpan w:val="4"/>
            <w:tcBorders/>
            <w:shd w:fill="CCDEF1" w:val="clear"/>
            <w:vAlign w:val="center"/>
          </w:tcPr>
          <w:p>
            <w:pPr>
              <w:pStyle w:val="TableContents"/>
              <w:spacing w:before="0" w:after="283"/>
              <w:rPr>
                <w:sz w:val="4"/>
                <w:szCs w:val="4"/>
              </w:rPr>
            </w:pPr>
            <w:r>
              <w:rPr>
                <w:sz w:val="4"/>
                <w:szCs w:val="4"/>
              </w:rPr>
            </w:r>
          </w:p>
        </w:tc>
        <w:tc>
          <w:tcPr>
            <w:tcW w:w="1420" w:type="dxa"/>
            <w:gridSpan w:val="4"/>
            <w:tcBorders/>
            <w:shd w:fill="CCDEF1" w:val="clear"/>
            <w:vAlign w:val="center"/>
          </w:tcPr>
          <w:p>
            <w:pPr>
              <w:pStyle w:val="TableContents"/>
              <w:spacing w:before="0" w:after="283"/>
              <w:rPr>
                <w:sz w:val="4"/>
                <w:szCs w:val="4"/>
              </w:rPr>
            </w:pPr>
            <w:r>
              <w:rPr>
                <w:sz w:val="4"/>
                <w:szCs w:val="4"/>
              </w:rPr>
            </w:r>
          </w:p>
        </w:tc>
        <w:tc>
          <w:tcPr>
            <w:tcW w:w="1315" w:type="dxa"/>
            <w:gridSpan w:val="4"/>
            <w:tcBorders/>
            <w:shd w:fill="CCDEF1" w:val="clear"/>
            <w:vAlign w:val="center"/>
          </w:tcPr>
          <w:p>
            <w:pPr>
              <w:pStyle w:val="TableContents"/>
              <w:spacing w:before="0" w:after="283"/>
              <w:rPr>
                <w:sz w:val="4"/>
                <w:szCs w:val="4"/>
              </w:rPr>
            </w:pPr>
            <w:r>
              <w:rPr>
                <w:sz w:val="4"/>
                <w:szCs w:val="4"/>
              </w:rPr>
            </w:r>
          </w:p>
        </w:tc>
      </w:tr>
      <w:tr>
        <w:trPr/>
        <w:tc>
          <w:tcPr>
            <w:tcW w:w="5830" w:type="dxa"/>
            <w:tcBorders/>
            <w:shd w:fill="CCDEF1" w:val="clear"/>
            <w:vAlign w:val="center"/>
          </w:tcPr>
          <w:p>
            <w:pPr>
              <w:pStyle w:val="TableContents"/>
              <w:spacing w:lineRule="atLeast" w:line="260" w:before="0" w:after="0"/>
              <w:rPr/>
            </w:pPr>
            <w:r>
              <w:rPr/>
              <w:t>  </w:t>
            </w:r>
            <w:r>
              <w:rPr>
                <w:rFonts w:ascii="ARIAL" w:hAnsi="ARIAL"/>
                <w:sz w:val="19"/>
              </w:rPr>
              <w:t>2022 Restricted Stock Grant</w:t>
            </w:r>
          </w:p>
        </w:tc>
        <w:tc>
          <w:tcPr>
            <w:tcW w:w="240" w:type="dxa"/>
            <w:tcBorders/>
            <w:shd w:fill="CCDEF1" w:val="clear"/>
            <w:vAlign w:val="center"/>
          </w:tcPr>
          <w:p>
            <w:pPr>
              <w:pStyle w:val="TableContents"/>
              <w:spacing w:before="0" w:after="283"/>
              <w:rPr/>
            </w:pPr>
            <w:r>
              <w:rPr/>
              <w:t>    </w:t>
            </w:r>
          </w:p>
        </w:tc>
        <w:tc>
          <w:tcPr>
            <w:tcW w:w="165" w:type="dxa"/>
            <w:tcBorders/>
            <w:shd w:fill="CCDEF1" w:val="clear"/>
            <w:vAlign w:val="center"/>
          </w:tcPr>
          <w:p>
            <w:pPr>
              <w:pStyle w:val="TableContents"/>
              <w:spacing w:lineRule="atLeast" w:line="260" w:before="0" w:after="0"/>
              <w:rPr/>
            </w:pPr>
            <w:r>
              <w:rPr/>
              <w:t> </w:t>
            </w:r>
          </w:p>
        </w:tc>
        <w:tc>
          <w:tcPr>
            <w:tcW w:w="11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99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2,422,729</w:t>
            </w:r>
          </w:p>
        </w:tc>
        <w:tc>
          <w:tcPr>
            <w:tcW w:w="75" w:type="dxa"/>
            <w:tcBorders/>
            <w:shd w:fill="CCDEF1" w:val="clear"/>
            <w:vAlign w:val="center"/>
          </w:tcPr>
          <w:p>
            <w:pPr>
              <w:pStyle w:val="TableContents"/>
              <w:spacing w:lineRule="atLeast" w:line="260" w:before="0" w:after="0"/>
              <w:rPr/>
            </w:pPr>
            <w:r>
              <w:rPr/>
              <w:t> </w:t>
            </w:r>
          </w:p>
        </w:tc>
      </w:tr>
      <w:tr>
        <w:trPr/>
        <w:tc>
          <w:tcPr>
            <w:tcW w:w="5830" w:type="dxa"/>
            <w:tcBorders/>
            <w:shd w:fill="auto" w:val="clear"/>
            <w:vAlign w:val="center"/>
          </w:tcPr>
          <w:p>
            <w:pPr>
              <w:pStyle w:val="TableContents"/>
              <w:spacing w:before="0" w:after="283"/>
              <w:rPr>
                <w:sz w:val="4"/>
                <w:szCs w:val="4"/>
              </w:rPr>
            </w:pPr>
            <w:r>
              <w:rPr>
                <w:sz w:val="4"/>
                <w:szCs w:val="4"/>
              </w:rPr>
            </w:r>
          </w:p>
        </w:tc>
        <w:tc>
          <w:tcPr>
            <w:tcW w:w="1640"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5830" w:type="dxa"/>
            <w:tcBorders/>
            <w:shd w:fill="auto" w:val="clear"/>
            <w:vAlign w:val="center"/>
          </w:tcPr>
          <w:p>
            <w:pPr>
              <w:pStyle w:val="TableContents"/>
              <w:spacing w:lineRule="atLeast" w:line="260" w:before="0" w:after="0"/>
              <w:rPr/>
            </w:pPr>
            <w:r>
              <w:rPr/>
              <w:t>  </w:t>
            </w:r>
            <w:r>
              <w:rPr>
                <w:rFonts w:ascii="ARIAL" w:hAnsi="ARIAL"/>
                <w:sz w:val="19"/>
              </w:rPr>
              <w:t>Continued Medical Benefits</w:t>
            </w:r>
          </w:p>
        </w:tc>
        <w:tc>
          <w:tcPr>
            <w:tcW w:w="24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lineRule="atLeast" w:line="260" w:before="0" w:after="0"/>
              <w:rPr/>
            </w:pPr>
            <w:r>
              <w:rPr/>
              <w:t> </w:t>
            </w:r>
          </w:p>
        </w:tc>
        <w:tc>
          <w:tcPr>
            <w:tcW w:w="11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99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24,525  </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8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24,525</w:t>
            </w:r>
          </w:p>
        </w:tc>
        <w:tc>
          <w:tcPr>
            <w:tcW w:w="75" w:type="dxa"/>
            <w:tcBorders/>
            <w:shd w:fill="auto" w:val="clear"/>
            <w:vAlign w:val="center"/>
          </w:tcPr>
          <w:p>
            <w:pPr>
              <w:pStyle w:val="TableContents"/>
              <w:spacing w:lineRule="atLeast" w:line="260" w:before="0" w:after="0"/>
              <w:rPr/>
            </w:pPr>
            <w:r>
              <w:rPr/>
              <w:t> </w:t>
            </w:r>
          </w:p>
        </w:tc>
      </w:tr>
      <w:tr>
        <w:trPr/>
        <w:tc>
          <w:tcPr>
            <w:tcW w:w="5830" w:type="dxa"/>
            <w:tcBorders/>
            <w:shd w:fill="CCDEF1" w:val="clear"/>
            <w:vAlign w:val="center"/>
          </w:tcPr>
          <w:p>
            <w:pPr>
              <w:pStyle w:val="TableContents"/>
              <w:spacing w:before="0" w:after="283"/>
              <w:rPr>
                <w:sz w:val="4"/>
                <w:szCs w:val="4"/>
              </w:rPr>
            </w:pPr>
            <w:r>
              <w:rPr>
                <w:sz w:val="4"/>
                <w:szCs w:val="4"/>
              </w:rPr>
            </w:r>
          </w:p>
        </w:tc>
        <w:tc>
          <w:tcPr>
            <w:tcW w:w="1640" w:type="dxa"/>
            <w:gridSpan w:val="4"/>
            <w:tcBorders/>
            <w:shd w:fill="CCDEF1" w:val="clear"/>
            <w:vAlign w:val="center"/>
          </w:tcPr>
          <w:p>
            <w:pPr>
              <w:pStyle w:val="TableContents"/>
              <w:spacing w:before="0" w:after="283"/>
              <w:rPr>
                <w:sz w:val="4"/>
                <w:szCs w:val="4"/>
              </w:rPr>
            </w:pPr>
            <w:r>
              <w:rPr>
                <w:sz w:val="4"/>
                <w:szCs w:val="4"/>
              </w:rPr>
            </w:r>
          </w:p>
        </w:tc>
        <w:tc>
          <w:tcPr>
            <w:tcW w:w="1420" w:type="dxa"/>
            <w:gridSpan w:val="4"/>
            <w:tcBorders/>
            <w:shd w:fill="CCDEF1" w:val="clear"/>
            <w:vAlign w:val="center"/>
          </w:tcPr>
          <w:p>
            <w:pPr>
              <w:pStyle w:val="TableContents"/>
              <w:spacing w:before="0" w:after="283"/>
              <w:rPr>
                <w:sz w:val="4"/>
                <w:szCs w:val="4"/>
              </w:rPr>
            </w:pPr>
            <w:r>
              <w:rPr>
                <w:sz w:val="4"/>
                <w:szCs w:val="4"/>
              </w:rPr>
            </w:r>
          </w:p>
        </w:tc>
        <w:tc>
          <w:tcPr>
            <w:tcW w:w="1315" w:type="dxa"/>
            <w:gridSpan w:val="4"/>
            <w:tcBorders/>
            <w:shd w:fill="CCDEF1" w:val="clear"/>
            <w:vAlign w:val="center"/>
          </w:tcPr>
          <w:p>
            <w:pPr>
              <w:pStyle w:val="TableContents"/>
              <w:spacing w:before="0" w:after="283"/>
              <w:rPr>
                <w:sz w:val="4"/>
                <w:szCs w:val="4"/>
              </w:rPr>
            </w:pPr>
            <w:r>
              <w:rPr>
                <w:sz w:val="4"/>
                <w:szCs w:val="4"/>
              </w:rPr>
            </w:r>
          </w:p>
        </w:tc>
      </w:tr>
      <w:tr>
        <w:trPr/>
        <w:tc>
          <w:tcPr>
            <w:tcW w:w="5830" w:type="dxa"/>
            <w:tcBorders/>
            <w:shd w:fill="CCDEF1" w:val="clear"/>
            <w:vAlign w:val="center"/>
          </w:tcPr>
          <w:p>
            <w:pPr>
              <w:pStyle w:val="TableContents"/>
              <w:spacing w:lineRule="atLeast" w:line="260" w:before="0" w:after="0"/>
              <w:rPr/>
            </w:pPr>
            <w:r>
              <w:rPr/>
              <w:t>  </w:t>
            </w:r>
            <w:r>
              <w:rPr>
                <w:rFonts w:ascii="ARIAL" w:hAnsi="ARIAL"/>
                <w:sz w:val="19"/>
              </w:rPr>
              <w:t>Total</w:t>
            </w:r>
          </w:p>
        </w:tc>
        <w:tc>
          <w:tcPr>
            <w:tcW w:w="240" w:type="dxa"/>
            <w:tcBorders/>
            <w:shd w:fill="CCDEF1" w:val="clear"/>
            <w:vAlign w:val="center"/>
          </w:tcPr>
          <w:p>
            <w:pPr>
              <w:pStyle w:val="TableContents"/>
              <w:spacing w:before="0" w:after="283"/>
              <w:rPr/>
            </w:pPr>
            <w:r>
              <w:rPr/>
              <w:t>    </w:t>
            </w:r>
          </w:p>
        </w:tc>
        <w:tc>
          <w:tcPr>
            <w:tcW w:w="165" w:type="dxa"/>
            <w:tcBorders/>
            <w:shd w:fill="CCDEF1" w:val="clear"/>
            <w:vAlign w:val="center"/>
          </w:tcPr>
          <w:p>
            <w:pPr>
              <w:pStyle w:val="TableContents"/>
              <w:spacing w:lineRule="atLeast" w:line="260" w:before="0" w:after="0"/>
              <w:rPr/>
            </w:pPr>
            <w:r>
              <w:rPr/>
              <w:t> </w:t>
            </w:r>
          </w:p>
        </w:tc>
        <w:tc>
          <w:tcPr>
            <w:tcW w:w="11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99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1,757,025  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5,977,075</w:t>
            </w:r>
          </w:p>
        </w:tc>
        <w:tc>
          <w:tcPr>
            <w:tcW w:w="75" w:type="dxa"/>
            <w:tcBorders/>
            <w:shd w:fill="CCDEF1" w:val="clear"/>
            <w:vAlign w:val="center"/>
          </w:tcPr>
          <w:p>
            <w:pPr>
              <w:pStyle w:val="TableContents"/>
              <w:spacing w:lineRule="atLeast" w:line="260" w:before="0" w:after="0"/>
              <w:rPr/>
            </w:pPr>
            <w:r>
              <w:rPr/>
              <w:t> </w:t>
            </w:r>
          </w:p>
        </w:tc>
      </w:tr>
    </w:tbl>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48</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4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00" descr=""/>
                          <pic:cNvPicPr>
                            <a:picLocks noChangeAspect="1" noChangeArrowheads="1"/>
                          </pic:cNvPicPr>
                        </pic:nvPicPr>
                        <pic:blipFill>
                          <a:blip r:embed="rId101"/>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20"/>
        </w:rPr>
      </w:pPr>
      <w:r>
        <w:rPr>
          <w:rFonts w:ascii="ARIAL" w:hAnsi="ARIAL"/>
          <w:color w:val="005CB9"/>
          <w:sz w:val="20"/>
        </w:rPr>
        <w:t xml:space="preserve">EXECUTIVE COMPENSATION </w:t>
      </w:r>
      <w:r>
        <w:rPr>
          <w:rFonts w:ascii="ARIAL" w:hAnsi="ARIAL"/>
          <w:i/>
          <w:color w:val="005CB9"/>
          <w:sz w:val="20"/>
        </w:rPr>
        <w:t>(CONTINUED)</w:t>
      </w:r>
      <w:r>
        <w:rPr>
          <w:rFonts w:ascii="ARIAL" w:hAnsi="ARIAL"/>
          <w:color w:val="005CB9"/>
          <w:sz w:val="20"/>
        </w:rPr>
        <w:t xml:space="preserve"> </w:t>
      </w:r>
    </w:p>
    <w:p>
      <w:pPr>
        <w:pStyle w:val="TextBody"/>
        <w:spacing w:before="0" w:after="0"/>
        <w:jc w:val="left"/>
        <w:rPr/>
      </w:pPr>
      <w:r>
        <w:rPr/>
        <w:t> </w:t>
      </w:r>
    </w:p>
    <w:p>
      <w:pPr>
        <w:pStyle w:val="TextBody"/>
        <w:spacing w:before="0" w:after="0"/>
        <w:jc w:val="left"/>
        <w:rPr>
          <w:rFonts w:ascii="ARIAL" w:hAnsi="ARIAL"/>
          <w:b/>
          <w:color w:val="005CB9"/>
          <w:sz w:val="20"/>
        </w:rPr>
      </w:pPr>
      <w:r>
        <w:rPr>
          <w:rFonts w:ascii="ARIAL" w:hAnsi="ARIAL"/>
          <w:b/>
          <w:color w:val="005CB9"/>
          <w:sz w:val="20"/>
        </w:rPr>
        <w:t xml:space="preserve">JASON CONLEY </w:t>
      </w:r>
    </w:p>
    <w:p>
      <w:pPr>
        <w:pStyle w:val="TextBody"/>
        <w:spacing w:before="0" w:after="0"/>
        <w:jc w:val="left"/>
        <w:rPr/>
      </w:pPr>
      <w:r>
        <w:rPr/>
        <w:t> </w:t>
      </w:r>
    </w:p>
    <w:tbl>
      <w:tblPr>
        <w:tblW w:w="10180" w:type="dxa"/>
        <w:jc w:val="left"/>
        <w:tblInd w:w="0" w:type="dxa"/>
        <w:tblCellMar>
          <w:top w:w="0" w:type="dxa"/>
          <w:left w:w="0" w:type="dxa"/>
          <w:bottom w:w="0" w:type="dxa"/>
          <w:right w:w="0" w:type="dxa"/>
        </w:tblCellMar>
      </w:tblPr>
      <w:tblGrid>
        <w:gridCol w:w="5840"/>
        <w:gridCol w:w="240"/>
        <w:gridCol w:w="220"/>
        <w:gridCol w:w="1120"/>
        <w:gridCol w:w="60"/>
        <w:gridCol w:w="240"/>
        <w:gridCol w:w="178"/>
        <w:gridCol w:w="907"/>
        <w:gridCol w:w="60"/>
        <w:gridCol w:w="240"/>
        <w:gridCol w:w="125"/>
        <w:gridCol w:w="875"/>
        <w:gridCol w:w="75"/>
      </w:tblGrid>
      <w:tr>
        <w:trPr/>
        <w:tc>
          <w:tcPr>
            <w:tcW w:w="58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840"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c>
          <w:tcPr>
            <w:tcW w:w="240" w:type="dxa"/>
            <w:tcBorders/>
            <w:shd w:fill="005CB9" w:val="clear"/>
            <w:vAlign w:val="center"/>
          </w:tcPr>
          <w:p>
            <w:pPr>
              <w:pStyle w:val="TableContents"/>
              <w:spacing w:before="0" w:after="283"/>
              <w:rPr/>
            </w:pPr>
            <w:r>
              <w:rPr/>
              <w:t>    </w:t>
            </w:r>
          </w:p>
        </w:tc>
        <w:tc>
          <w:tcPr>
            <w:tcW w:w="4025" w:type="dxa"/>
            <w:gridSpan w:val="10"/>
            <w:tcBorders>
              <w:bottom w:val="single" w:sz="8" w:space="0" w:color="FFFFFF"/>
            </w:tcBorders>
            <w:shd w:fill="005CB9" w:val="clear"/>
            <w:tcMar>
              <w:bottom w:w="28" w:type="dxa"/>
            </w:tcMar>
            <w:vAlign w:val="center"/>
          </w:tcPr>
          <w:p>
            <w:pPr>
              <w:pStyle w:val="TableContents"/>
              <w:spacing w:before="0" w:after="283"/>
              <w:jc w:val="center"/>
              <w:rPr>
                <w:color w:val="FFFFFF"/>
              </w:rPr>
            </w:pPr>
            <w:r>
              <w:rPr>
                <w:color w:val="FFFFFF"/>
              </w:rPr>
              <w:t>Termination Scenario</w:t>
            </w:r>
          </w:p>
        </w:tc>
        <w:tc>
          <w:tcPr>
            <w:tcW w:w="75" w:type="dxa"/>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r>
      <w:tr>
        <w:trPr/>
        <w:tc>
          <w:tcPr>
            <w:tcW w:w="5840" w:type="dxa"/>
            <w:tcBorders/>
            <w:shd w:fill="005CB9" w:val="clear"/>
            <w:vAlign w:val="center"/>
          </w:tcPr>
          <w:p>
            <w:pPr>
              <w:pStyle w:val="TableContents"/>
              <w:spacing w:before="0" w:after="283"/>
              <w:rPr>
                <w:color w:val="FFFFFF"/>
              </w:rPr>
            </w:pPr>
            <w:r>
              <w:rPr>
                <w:color w:val="FFFFFF"/>
              </w:rPr>
              <w:t>  </w:t>
            </w:r>
            <w:r>
              <w:rPr>
                <w:color w:val="FFFFFF"/>
              </w:rPr>
              <w:t>Potential Payments Upon Termination or Change in Control</w:t>
            </w:r>
          </w:p>
        </w:tc>
        <w:tc>
          <w:tcPr>
            <w:tcW w:w="240" w:type="dxa"/>
            <w:tcBorders/>
            <w:shd w:fill="005CB9" w:val="clear"/>
            <w:vAlign w:val="center"/>
          </w:tcPr>
          <w:p>
            <w:pPr>
              <w:pStyle w:val="TableContents"/>
              <w:spacing w:before="0" w:after="283"/>
              <w:rPr/>
            </w:pPr>
            <w:r>
              <w:rPr/>
              <w:t>    </w:t>
            </w:r>
          </w:p>
        </w:tc>
        <w:tc>
          <w:tcPr>
            <w:tcW w:w="134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By Employee</w:t>
            </w:r>
          </w:p>
          <w:p>
            <w:pPr>
              <w:pStyle w:val="TableContents"/>
              <w:spacing w:before="0" w:after="20"/>
              <w:jc w:val="right"/>
              <w:rPr>
                <w:rFonts w:ascii="arial" w:hAnsi="arial"/>
                <w:color w:val="FFFFFF"/>
                <w:sz w:val="16"/>
              </w:rPr>
            </w:pPr>
            <w:r>
              <w:rPr>
                <w:rFonts w:ascii="arial" w:hAnsi="arial"/>
                <w:color w:val="FFFFFF"/>
                <w:sz w:val="16"/>
              </w:rPr>
              <w:t>For Good Reason</w:t>
            </w:r>
          </w:p>
        </w:tc>
        <w:tc>
          <w:tcPr>
            <w:tcW w:w="60" w:type="dxa"/>
            <w:tcBorders/>
            <w:shd w:fill="005CB9" w:val="clear"/>
            <w:vAlign w:val="center"/>
          </w:tcPr>
          <w:p>
            <w:pPr>
              <w:pStyle w:val="TableContents"/>
              <w:spacing w:before="0" w:after="283"/>
              <w:rPr/>
            </w:pPr>
            <w:r>
              <w:rPr/>
              <w:t> </w:t>
            </w:r>
          </w:p>
        </w:tc>
        <w:tc>
          <w:tcPr>
            <w:tcW w:w="240" w:type="dxa"/>
            <w:tcBorders/>
            <w:shd w:fill="005CB9" w:val="clear"/>
            <w:vAlign w:val="center"/>
          </w:tcPr>
          <w:p>
            <w:pPr>
              <w:pStyle w:val="TableContents"/>
              <w:spacing w:before="0" w:after="283"/>
              <w:rPr/>
            </w:pPr>
            <w:r>
              <w:rPr/>
              <w:t>    </w:t>
            </w:r>
          </w:p>
        </w:tc>
        <w:tc>
          <w:tcPr>
            <w:tcW w:w="1085"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By Company</w:t>
            </w:r>
          </w:p>
          <w:p>
            <w:pPr>
              <w:pStyle w:val="TableContents"/>
              <w:spacing w:before="0" w:after="20"/>
              <w:jc w:val="right"/>
              <w:rPr>
                <w:rFonts w:ascii="arial" w:hAnsi="arial"/>
                <w:color w:val="FFFFFF"/>
                <w:sz w:val="16"/>
              </w:rPr>
            </w:pPr>
            <w:r>
              <w:rPr>
                <w:rFonts w:ascii="arial" w:hAnsi="arial"/>
                <w:color w:val="FFFFFF"/>
                <w:sz w:val="16"/>
              </w:rPr>
              <w:t>Without Cause</w:t>
            </w:r>
          </w:p>
        </w:tc>
        <w:tc>
          <w:tcPr>
            <w:tcW w:w="60" w:type="dxa"/>
            <w:tcBorders/>
            <w:shd w:fill="005CB9" w:val="clear"/>
            <w:vAlign w:val="center"/>
          </w:tcPr>
          <w:p>
            <w:pPr>
              <w:pStyle w:val="TableContents"/>
              <w:spacing w:before="0" w:after="283"/>
              <w:rPr/>
            </w:pPr>
            <w:r>
              <w:rPr/>
              <w:t> </w:t>
            </w:r>
          </w:p>
        </w:tc>
        <w:tc>
          <w:tcPr>
            <w:tcW w:w="240" w:type="dxa"/>
            <w:tcBorders/>
            <w:shd w:fill="005CB9" w:val="clear"/>
            <w:vAlign w:val="center"/>
          </w:tcPr>
          <w:p>
            <w:pPr>
              <w:pStyle w:val="TableContents"/>
              <w:spacing w:before="0" w:after="283"/>
              <w:rPr/>
            </w:pPr>
            <w:r>
              <w:rPr/>
              <w:t>    </w:t>
            </w:r>
          </w:p>
        </w:tc>
        <w:tc>
          <w:tcPr>
            <w:tcW w:w="1000" w:type="dxa"/>
            <w:gridSpan w:val="2"/>
            <w:tcBorders/>
            <w:shd w:fill="005CB9" w:val="clear"/>
            <w:vAlign w:val="center"/>
          </w:tcPr>
          <w:p>
            <w:pPr>
              <w:pStyle w:val="TableContents"/>
              <w:spacing w:before="0" w:after="0"/>
              <w:jc w:val="right"/>
              <w:rPr>
                <w:rFonts w:ascii="arial" w:hAnsi="arial"/>
                <w:color w:val="FFFFFF"/>
                <w:sz w:val="16"/>
              </w:rPr>
            </w:pPr>
            <w:r>
              <w:rPr>
                <w:rFonts w:ascii="arial" w:hAnsi="arial"/>
                <w:color w:val="FFFFFF"/>
                <w:sz w:val="16"/>
              </w:rPr>
              <w:t>Change in</w:t>
            </w:r>
          </w:p>
          <w:p>
            <w:pPr>
              <w:pStyle w:val="TableContents"/>
              <w:spacing w:before="0" w:after="20"/>
              <w:jc w:val="right"/>
              <w:rPr>
                <w:rFonts w:ascii="arial" w:hAnsi="arial"/>
                <w:sz w:val="16"/>
              </w:rPr>
            </w:pPr>
            <w:r>
              <w:rPr>
                <w:rFonts w:ascii="arial" w:hAnsi="arial"/>
                <w:color w:val="FFFFFF"/>
                <w:sz w:val="16"/>
              </w:rPr>
              <w:t>Control</w:t>
            </w:r>
            <w:r>
              <w:rPr>
                <w:rFonts w:ascii="arial" w:hAnsi="arial"/>
                <w:color w:val="FFFFFF"/>
                <w:sz w:val="10"/>
              </w:rPr>
              <w:t xml:space="preserve">(1) </w:t>
            </w:r>
          </w:p>
        </w:tc>
        <w:tc>
          <w:tcPr>
            <w:tcW w:w="75" w:type="dxa"/>
            <w:tcBorders/>
            <w:shd w:fill="005CB9" w:val="clear"/>
            <w:vAlign w:val="center"/>
          </w:tcPr>
          <w:p>
            <w:pPr>
              <w:pStyle w:val="TableContents"/>
              <w:spacing w:before="0" w:after="283"/>
              <w:rPr/>
            </w:pPr>
            <w:r>
              <w:rPr/>
              <w:t> </w:t>
            </w:r>
          </w:p>
        </w:tc>
      </w:tr>
      <w:tr>
        <w:trPr/>
        <w:tc>
          <w:tcPr>
            <w:tcW w:w="5840" w:type="dxa"/>
            <w:tcBorders/>
            <w:shd w:fill="CCDEF1" w:val="clear"/>
            <w:vAlign w:val="center"/>
          </w:tcPr>
          <w:p>
            <w:pPr>
              <w:pStyle w:val="TableContents"/>
              <w:spacing w:before="0" w:after="283"/>
              <w:rPr>
                <w:sz w:val="4"/>
                <w:szCs w:val="4"/>
              </w:rPr>
            </w:pPr>
            <w:r>
              <w:rPr>
                <w:sz w:val="4"/>
                <w:szCs w:val="4"/>
              </w:rPr>
            </w:r>
          </w:p>
        </w:tc>
        <w:tc>
          <w:tcPr>
            <w:tcW w:w="1640" w:type="dxa"/>
            <w:gridSpan w:val="4"/>
            <w:tcBorders/>
            <w:shd w:fill="CCDEF1" w:val="clear"/>
            <w:vAlign w:val="center"/>
          </w:tcPr>
          <w:p>
            <w:pPr>
              <w:pStyle w:val="TableContents"/>
              <w:spacing w:before="0" w:after="283"/>
              <w:rPr>
                <w:sz w:val="4"/>
                <w:szCs w:val="4"/>
              </w:rPr>
            </w:pPr>
            <w:r>
              <w:rPr>
                <w:sz w:val="4"/>
                <w:szCs w:val="4"/>
              </w:rPr>
            </w:r>
          </w:p>
        </w:tc>
        <w:tc>
          <w:tcPr>
            <w:tcW w:w="1385" w:type="dxa"/>
            <w:gridSpan w:val="4"/>
            <w:tcBorders/>
            <w:shd w:fill="CCDEF1" w:val="clear"/>
            <w:vAlign w:val="center"/>
          </w:tcPr>
          <w:p>
            <w:pPr>
              <w:pStyle w:val="TableContents"/>
              <w:spacing w:before="0" w:after="283"/>
              <w:rPr>
                <w:sz w:val="4"/>
                <w:szCs w:val="4"/>
              </w:rPr>
            </w:pPr>
            <w:r>
              <w:rPr>
                <w:sz w:val="4"/>
                <w:szCs w:val="4"/>
              </w:rPr>
            </w:r>
          </w:p>
        </w:tc>
        <w:tc>
          <w:tcPr>
            <w:tcW w:w="1315" w:type="dxa"/>
            <w:gridSpan w:val="4"/>
            <w:tcBorders/>
            <w:shd w:fill="CCDEF1" w:val="clear"/>
            <w:vAlign w:val="center"/>
          </w:tcPr>
          <w:p>
            <w:pPr>
              <w:pStyle w:val="TableContents"/>
              <w:spacing w:before="0" w:after="283"/>
              <w:rPr>
                <w:sz w:val="4"/>
                <w:szCs w:val="4"/>
              </w:rPr>
            </w:pPr>
            <w:r>
              <w:rPr>
                <w:sz w:val="4"/>
                <w:szCs w:val="4"/>
              </w:rPr>
            </w:r>
          </w:p>
        </w:tc>
      </w:tr>
      <w:tr>
        <w:trPr/>
        <w:tc>
          <w:tcPr>
            <w:tcW w:w="5840" w:type="dxa"/>
            <w:tcBorders/>
            <w:shd w:fill="CCDEF1" w:val="clear"/>
            <w:vAlign w:val="center"/>
          </w:tcPr>
          <w:p>
            <w:pPr>
              <w:pStyle w:val="TableContents"/>
              <w:spacing w:lineRule="atLeast" w:line="260" w:before="0" w:after="0"/>
              <w:rPr/>
            </w:pPr>
            <w:r>
              <w:rPr/>
              <w:t>  </w:t>
            </w:r>
            <w:r>
              <w:rPr>
                <w:rFonts w:ascii="ARIAL" w:hAnsi="ARIAL"/>
                <w:sz w:val="19"/>
              </w:rPr>
              <w:t>Cash payments</w:t>
            </w:r>
          </w:p>
        </w:tc>
        <w:tc>
          <w:tcPr>
            <w:tcW w:w="240" w:type="dxa"/>
            <w:tcBorders/>
            <w:shd w:fill="CCDEF1" w:val="clear"/>
            <w:vAlign w:val="center"/>
          </w:tcPr>
          <w:p>
            <w:pPr>
              <w:pStyle w:val="TableContents"/>
              <w:spacing w:before="0" w:after="283"/>
              <w:rPr/>
            </w:pPr>
            <w:r>
              <w:rPr/>
              <w:t>    </w:t>
            </w:r>
          </w:p>
        </w:tc>
        <w:tc>
          <w:tcPr>
            <w:tcW w:w="220" w:type="dxa"/>
            <w:tcBorders/>
            <w:shd w:fill="CCDEF1" w:val="clear"/>
            <w:vAlign w:val="center"/>
          </w:tcPr>
          <w:p>
            <w:pPr>
              <w:pStyle w:val="TableContents"/>
              <w:spacing w:lineRule="atLeast" w:line="260" w:before="0" w:after="0"/>
              <w:rPr/>
            </w:pPr>
            <w:r>
              <w:rPr/>
              <w:t> </w:t>
            </w:r>
          </w:p>
        </w:tc>
        <w:tc>
          <w:tcPr>
            <w:tcW w:w="112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78" w:type="dxa"/>
            <w:tcBorders/>
            <w:shd w:fill="CCDEF1" w:val="clear"/>
            <w:vAlign w:val="center"/>
          </w:tcPr>
          <w:p>
            <w:pPr>
              <w:pStyle w:val="TableContents"/>
              <w:spacing w:lineRule="atLeast" w:line="260" w:before="0" w:after="0"/>
              <w:rPr/>
            </w:pPr>
            <w:r>
              <w:rPr/>
              <w:t> </w:t>
            </w:r>
          </w:p>
        </w:tc>
        <w:tc>
          <w:tcPr>
            <w:tcW w:w="907"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75" w:type="dxa"/>
            <w:tcBorders/>
            <w:shd w:fill="CCDEF1" w:val="clear"/>
            <w:vAlign w:val="center"/>
          </w:tcPr>
          <w:p>
            <w:pPr>
              <w:pStyle w:val="TableContents"/>
              <w:spacing w:lineRule="atLeast" w:line="260" w:before="0" w:after="0"/>
              <w:rPr/>
            </w:pPr>
            <w:r>
              <w:rPr/>
              <w:t> </w:t>
            </w:r>
          </w:p>
        </w:tc>
      </w:tr>
      <w:tr>
        <w:trPr/>
        <w:tc>
          <w:tcPr>
            <w:tcW w:w="5840" w:type="dxa"/>
            <w:tcBorders/>
            <w:shd w:fill="auto" w:val="clear"/>
            <w:vAlign w:val="center"/>
          </w:tcPr>
          <w:p>
            <w:pPr>
              <w:pStyle w:val="TableContents"/>
              <w:spacing w:before="0" w:after="283"/>
              <w:rPr>
                <w:sz w:val="4"/>
                <w:szCs w:val="4"/>
              </w:rPr>
            </w:pPr>
            <w:r>
              <w:rPr>
                <w:sz w:val="4"/>
                <w:szCs w:val="4"/>
              </w:rPr>
            </w:r>
          </w:p>
        </w:tc>
        <w:tc>
          <w:tcPr>
            <w:tcW w:w="1640"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5840" w:type="dxa"/>
            <w:tcBorders/>
            <w:shd w:fill="auto" w:val="clear"/>
            <w:vAlign w:val="center"/>
          </w:tcPr>
          <w:p>
            <w:pPr>
              <w:pStyle w:val="TableContents"/>
              <w:spacing w:lineRule="atLeast" w:line="200" w:before="0" w:after="0"/>
              <w:rPr/>
            </w:pPr>
            <w:r>
              <w:rPr/>
              <w:t>  </w:t>
            </w:r>
            <w:r>
              <w:rPr>
                <w:rFonts w:ascii="ARIAL" w:hAnsi="ARIAL"/>
                <w:sz w:val="19"/>
              </w:rPr>
              <w:t>Accelerated Equity Awards(3)(4)</w:t>
            </w:r>
          </w:p>
        </w:tc>
        <w:tc>
          <w:tcPr>
            <w:tcW w:w="24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pPr>
            <w:r>
              <w:rPr/>
              <w:t> </w:t>
            </w:r>
          </w:p>
        </w:tc>
        <w:tc>
          <w:tcPr>
            <w:tcW w:w="1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4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0"/>
              <w:rPr/>
            </w:pPr>
            <w:r>
              <w:rPr/>
              <w:t> </w:t>
            </w:r>
          </w:p>
        </w:tc>
        <w:tc>
          <w:tcPr>
            <w:tcW w:w="907"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pPr>
            <w:r>
              <w:rPr/>
              <w:t> </w:t>
            </w:r>
          </w:p>
        </w:tc>
        <w:tc>
          <w:tcPr>
            <w:tcW w:w="875"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5840" w:type="dxa"/>
            <w:tcBorders/>
            <w:shd w:fill="CCDEF1" w:val="clear"/>
            <w:vAlign w:val="center"/>
          </w:tcPr>
          <w:p>
            <w:pPr>
              <w:pStyle w:val="TableContents"/>
              <w:spacing w:before="0" w:after="283"/>
              <w:rPr>
                <w:sz w:val="4"/>
                <w:szCs w:val="4"/>
              </w:rPr>
            </w:pPr>
            <w:r>
              <w:rPr>
                <w:sz w:val="4"/>
                <w:szCs w:val="4"/>
              </w:rPr>
            </w:r>
          </w:p>
        </w:tc>
        <w:tc>
          <w:tcPr>
            <w:tcW w:w="1640" w:type="dxa"/>
            <w:gridSpan w:val="4"/>
            <w:tcBorders/>
            <w:shd w:fill="CCDEF1" w:val="clear"/>
            <w:vAlign w:val="center"/>
          </w:tcPr>
          <w:p>
            <w:pPr>
              <w:pStyle w:val="TableContents"/>
              <w:spacing w:before="0" w:after="283"/>
              <w:rPr>
                <w:sz w:val="4"/>
                <w:szCs w:val="4"/>
              </w:rPr>
            </w:pPr>
            <w:r>
              <w:rPr>
                <w:sz w:val="4"/>
                <w:szCs w:val="4"/>
              </w:rPr>
            </w:r>
          </w:p>
        </w:tc>
        <w:tc>
          <w:tcPr>
            <w:tcW w:w="1385" w:type="dxa"/>
            <w:gridSpan w:val="4"/>
            <w:tcBorders/>
            <w:shd w:fill="CCDEF1" w:val="clear"/>
            <w:vAlign w:val="center"/>
          </w:tcPr>
          <w:p>
            <w:pPr>
              <w:pStyle w:val="TableContents"/>
              <w:spacing w:before="0" w:after="283"/>
              <w:rPr>
                <w:sz w:val="4"/>
                <w:szCs w:val="4"/>
              </w:rPr>
            </w:pPr>
            <w:r>
              <w:rPr>
                <w:sz w:val="4"/>
                <w:szCs w:val="4"/>
              </w:rPr>
            </w:r>
          </w:p>
        </w:tc>
        <w:tc>
          <w:tcPr>
            <w:tcW w:w="1315" w:type="dxa"/>
            <w:gridSpan w:val="4"/>
            <w:tcBorders/>
            <w:shd w:fill="CCDEF1" w:val="clear"/>
            <w:vAlign w:val="center"/>
          </w:tcPr>
          <w:p>
            <w:pPr>
              <w:pStyle w:val="TableContents"/>
              <w:spacing w:before="0" w:after="283"/>
              <w:rPr>
                <w:sz w:val="4"/>
                <w:szCs w:val="4"/>
              </w:rPr>
            </w:pPr>
            <w:r>
              <w:rPr>
                <w:sz w:val="4"/>
                <w:szCs w:val="4"/>
              </w:rPr>
            </w:r>
          </w:p>
        </w:tc>
      </w:tr>
      <w:tr>
        <w:trPr/>
        <w:tc>
          <w:tcPr>
            <w:tcW w:w="5840" w:type="dxa"/>
            <w:tcBorders/>
            <w:shd w:fill="CCDEF1" w:val="clear"/>
            <w:vAlign w:val="center"/>
          </w:tcPr>
          <w:p>
            <w:pPr>
              <w:pStyle w:val="TableContents"/>
              <w:spacing w:lineRule="atLeast" w:line="260" w:before="0" w:after="0"/>
              <w:rPr/>
            </w:pPr>
            <w:r>
              <w:rPr/>
              <w:t>  </w:t>
            </w:r>
            <w:r>
              <w:rPr>
                <w:rFonts w:ascii="ARIAL" w:hAnsi="ARIAL"/>
                <w:sz w:val="19"/>
              </w:rPr>
              <w:t>2020 Stock Option Grant</w:t>
            </w:r>
          </w:p>
        </w:tc>
        <w:tc>
          <w:tcPr>
            <w:tcW w:w="240" w:type="dxa"/>
            <w:tcBorders/>
            <w:shd w:fill="CCDEF1" w:val="clear"/>
            <w:vAlign w:val="center"/>
          </w:tcPr>
          <w:p>
            <w:pPr>
              <w:pStyle w:val="TableContents"/>
              <w:spacing w:before="0" w:after="283"/>
              <w:rPr/>
            </w:pPr>
            <w:r>
              <w:rPr/>
              <w:t>    </w:t>
            </w:r>
          </w:p>
        </w:tc>
        <w:tc>
          <w:tcPr>
            <w:tcW w:w="220" w:type="dxa"/>
            <w:tcBorders/>
            <w:shd w:fill="CCDEF1" w:val="clear"/>
            <w:vAlign w:val="center"/>
          </w:tcPr>
          <w:p>
            <w:pPr>
              <w:pStyle w:val="TableContents"/>
              <w:spacing w:lineRule="atLeast" w:line="260" w:before="0" w:after="0"/>
              <w:rPr/>
            </w:pPr>
            <w:r>
              <w:rPr/>
              <w:t> </w:t>
            </w:r>
          </w:p>
        </w:tc>
        <w:tc>
          <w:tcPr>
            <w:tcW w:w="112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78" w:type="dxa"/>
            <w:tcBorders/>
            <w:shd w:fill="CCDEF1" w:val="clear"/>
            <w:vAlign w:val="center"/>
          </w:tcPr>
          <w:p>
            <w:pPr>
              <w:pStyle w:val="TableContents"/>
              <w:spacing w:lineRule="atLeast" w:line="260" w:before="0" w:after="0"/>
              <w:rPr/>
            </w:pPr>
            <w:r>
              <w:rPr/>
              <w:t> </w:t>
            </w:r>
          </w:p>
        </w:tc>
        <w:tc>
          <w:tcPr>
            <w:tcW w:w="907"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329,515</w:t>
            </w:r>
          </w:p>
        </w:tc>
        <w:tc>
          <w:tcPr>
            <w:tcW w:w="75" w:type="dxa"/>
            <w:tcBorders/>
            <w:shd w:fill="CCDEF1" w:val="clear"/>
            <w:vAlign w:val="center"/>
          </w:tcPr>
          <w:p>
            <w:pPr>
              <w:pStyle w:val="TableContents"/>
              <w:spacing w:lineRule="atLeast" w:line="260" w:before="0" w:after="0"/>
              <w:rPr/>
            </w:pPr>
            <w:r>
              <w:rPr/>
              <w:t> </w:t>
            </w:r>
          </w:p>
        </w:tc>
      </w:tr>
      <w:tr>
        <w:trPr/>
        <w:tc>
          <w:tcPr>
            <w:tcW w:w="5840" w:type="dxa"/>
            <w:tcBorders/>
            <w:shd w:fill="auto" w:val="clear"/>
            <w:vAlign w:val="center"/>
          </w:tcPr>
          <w:p>
            <w:pPr>
              <w:pStyle w:val="TableContents"/>
              <w:spacing w:before="0" w:after="283"/>
              <w:rPr>
                <w:sz w:val="4"/>
                <w:szCs w:val="4"/>
              </w:rPr>
            </w:pPr>
            <w:r>
              <w:rPr>
                <w:sz w:val="4"/>
                <w:szCs w:val="4"/>
              </w:rPr>
            </w:r>
          </w:p>
        </w:tc>
        <w:tc>
          <w:tcPr>
            <w:tcW w:w="1640"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5840" w:type="dxa"/>
            <w:tcBorders/>
            <w:shd w:fill="auto" w:val="clear"/>
            <w:vAlign w:val="center"/>
          </w:tcPr>
          <w:p>
            <w:pPr>
              <w:pStyle w:val="TableContents"/>
              <w:spacing w:lineRule="atLeast" w:line="260" w:before="0" w:after="0"/>
              <w:rPr/>
            </w:pPr>
            <w:r>
              <w:rPr/>
              <w:t>  </w:t>
            </w:r>
            <w:r>
              <w:rPr>
                <w:rFonts w:ascii="ARIAL" w:hAnsi="ARIAL"/>
                <w:sz w:val="19"/>
              </w:rPr>
              <w:t>2021 Stock Option Grant</w:t>
            </w:r>
          </w:p>
        </w:tc>
        <w:tc>
          <w:tcPr>
            <w:tcW w:w="24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lineRule="atLeast" w:line="260" w:before="0" w:after="0"/>
              <w:rPr/>
            </w:pPr>
            <w:r>
              <w:rPr/>
              <w:t> </w:t>
            </w:r>
          </w:p>
        </w:tc>
        <w:tc>
          <w:tcPr>
            <w:tcW w:w="112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lineRule="atLeast" w:line="260" w:before="0" w:after="0"/>
              <w:rPr/>
            </w:pPr>
            <w:r>
              <w:rPr/>
              <w:t> </w:t>
            </w:r>
          </w:p>
        </w:tc>
        <w:tc>
          <w:tcPr>
            <w:tcW w:w="907"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8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172,562</w:t>
            </w:r>
          </w:p>
        </w:tc>
        <w:tc>
          <w:tcPr>
            <w:tcW w:w="75" w:type="dxa"/>
            <w:tcBorders/>
            <w:shd w:fill="auto" w:val="clear"/>
            <w:vAlign w:val="center"/>
          </w:tcPr>
          <w:p>
            <w:pPr>
              <w:pStyle w:val="TableContents"/>
              <w:spacing w:lineRule="atLeast" w:line="260" w:before="0" w:after="0"/>
              <w:rPr/>
            </w:pPr>
            <w:r>
              <w:rPr/>
              <w:t> </w:t>
            </w:r>
          </w:p>
        </w:tc>
      </w:tr>
      <w:tr>
        <w:trPr/>
        <w:tc>
          <w:tcPr>
            <w:tcW w:w="5840" w:type="dxa"/>
            <w:tcBorders/>
            <w:shd w:fill="CCDEF1" w:val="clear"/>
            <w:vAlign w:val="center"/>
          </w:tcPr>
          <w:p>
            <w:pPr>
              <w:pStyle w:val="TableContents"/>
              <w:spacing w:before="0" w:after="283"/>
              <w:rPr>
                <w:sz w:val="4"/>
                <w:szCs w:val="4"/>
              </w:rPr>
            </w:pPr>
            <w:r>
              <w:rPr>
                <w:sz w:val="4"/>
                <w:szCs w:val="4"/>
              </w:rPr>
            </w:r>
          </w:p>
        </w:tc>
        <w:tc>
          <w:tcPr>
            <w:tcW w:w="1640" w:type="dxa"/>
            <w:gridSpan w:val="4"/>
            <w:tcBorders/>
            <w:shd w:fill="CCDEF1" w:val="clear"/>
            <w:vAlign w:val="center"/>
          </w:tcPr>
          <w:p>
            <w:pPr>
              <w:pStyle w:val="TableContents"/>
              <w:spacing w:before="0" w:after="283"/>
              <w:rPr>
                <w:sz w:val="4"/>
                <w:szCs w:val="4"/>
              </w:rPr>
            </w:pPr>
            <w:r>
              <w:rPr>
                <w:sz w:val="4"/>
                <w:szCs w:val="4"/>
              </w:rPr>
            </w:r>
          </w:p>
        </w:tc>
        <w:tc>
          <w:tcPr>
            <w:tcW w:w="1385" w:type="dxa"/>
            <w:gridSpan w:val="4"/>
            <w:tcBorders/>
            <w:shd w:fill="CCDEF1" w:val="clear"/>
            <w:vAlign w:val="center"/>
          </w:tcPr>
          <w:p>
            <w:pPr>
              <w:pStyle w:val="TableContents"/>
              <w:spacing w:before="0" w:after="283"/>
              <w:rPr>
                <w:sz w:val="4"/>
                <w:szCs w:val="4"/>
              </w:rPr>
            </w:pPr>
            <w:r>
              <w:rPr>
                <w:sz w:val="4"/>
                <w:szCs w:val="4"/>
              </w:rPr>
            </w:r>
          </w:p>
        </w:tc>
        <w:tc>
          <w:tcPr>
            <w:tcW w:w="1315" w:type="dxa"/>
            <w:gridSpan w:val="4"/>
            <w:tcBorders/>
            <w:shd w:fill="CCDEF1" w:val="clear"/>
            <w:vAlign w:val="center"/>
          </w:tcPr>
          <w:p>
            <w:pPr>
              <w:pStyle w:val="TableContents"/>
              <w:spacing w:before="0" w:after="283"/>
              <w:rPr>
                <w:sz w:val="4"/>
                <w:szCs w:val="4"/>
              </w:rPr>
            </w:pPr>
            <w:r>
              <w:rPr>
                <w:sz w:val="4"/>
                <w:szCs w:val="4"/>
              </w:rPr>
            </w:r>
          </w:p>
        </w:tc>
      </w:tr>
      <w:tr>
        <w:trPr/>
        <w:tc>
          <w:tcPr>
            <w:tcW w:w="5840" w:type="dxa"/>
            <w:tcBorders/>
            <w:shd w:fill="CCDEF1" w:val="clear"/>
            <w:vAlign w:val="center"/>
          </w:tcPr>
          <w:p>
            <w:pPr>
              <w:pStyle w:val="TableContents"/>
              <w:spacing w:lineRule="atLeast" w:line="260" w:before="0" w:after="0"/>
              <w:rPr/>
            </w:pPr>
            <w:r>
              <w:rPr/>
              <w:t>  </w:t>
            </w:r>
            <w:r>
              <w:rPr>
                <w:rFonts w:ascii="ARIAL" w:hAnsi="ARIAL"/>
                <w:sz w:val="19"/>
              </w:rPr>
              <w:t>2022 Stock Option Grant</w:t>
            </w:r>
          </w:p>
        </w:tc>
        <w:tc>
          <w:tcPr>
            <w:tcW w:w="240" w:type="dxa"/>
            <w:tcBorders/>
            <w:shd w:fill="CCDEF1" w:val="clear"/>
            <w:vAlign w:val="center"/>
          </w:tcPr>
          <w:p>
            <w:pPr>
              <w:pStyle w:val="TableContents"/>
              <w:spacing w:before="0" w:after="283"/>
              <w:rPr/>
            </w:pPr>
            <w:r>
              <w:rPr/>
              <w:t>    </w:t>
            </w:r>
          </w:p>
        </w:tc>
        <w:tc>
          <w:tcPr>
            <w:tcW w:w="220" w:type="dxa"/>
            <w:tcBorders/>
            <w:shd w:fill="CCDEF1" w:val="clear"/>
            <w:vAlign w:val="center"/>
          </w:tcPr>
          <w:p>
            <w:pPr>
              <w:pStyle w:val="TableContents"/>
              <w:spacing w:lineRule="atLeast" w:line="260" w:before="0" w:after="0"/>
              <w:rPr/>
            </w:pPr>
            <w:r>
              <w:rPr/>
              <w:t> </w:t>
            </w:r>
          </w:p>
        </w:tc>
        <w:tc>
          <w:tcPr>
            <w:tcW w:w="112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78" w:type="dxa"/>
            <w:tcBorders/>
            <w:shd w:fill="CCDEF1" w:val="clear"/>
            <w:vAlign w:val="center"/>
          </w:tcPr>
          <w:p>
            <w:pPr>
              <w:pStyle w:val="TableContents"/>
              <w:spacing w:lineRule="atLeast" w:line="260" w:before="0" w:after="0"/>
              <w:rPr/>
            </w:pPr>
            <w:r>
              <w:rPr/>
              <w:t> </w:t>
            </w:r>
          </w:p>
        </w:tc>
        <w:tc>
          <w:tcPr>
            <w:tcW w:w="907"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75" w:type="dxa"/>
            <w:tcBorders/>
            <w:shd w:fill="CCDEF1" w:val="clear"/>
            <w:vAlign w:val="center"/>
          </w:tcPr>
          <w:p>
            <w:pPr>
              <w:pStyle w:val="TableContents"/>
              <w:spacing w:lineRule="atLeast" w:line="260" w:before="0" w:after="0"/>
              <w:rPr/>
            </w:pPr>
            <w:r>
              <w:rPr/>
              <w:t> </w:t>
            </w:r>
          </w:p>
        </w:tc>
      </w:tr>
      <w:tr>
        <w:trPr/>
        <w:tc>
          <w:tcPr>
            <w:tcW w:w="5840" w:type="dxa"/>
            <w:tcBorders/>
            <w:shd w:fill="auto" w:val="clear"/>
            <w:vAlign w:val="center"/>
          </w:tcPr>
          <w:p>
            <w:pPr>
              <w:pStyle w:val="TableContents"/>
              <w:spacing w:before="0" w:after="283"/>
              <w:rPr>
                <w:sz w:val="4"/>
                <w:szCs w:val="4"/>
              </w:rPr>
            </w:pPr>
            <w:r>
              <w:rPr>
                <w:sz w:val="4"/>
                <w:szCs w:val="4"/>
              </w:rPr>
            </w:r>
          </w:p>
        </w:tc>
        <w:tc>
          <w:tcPr>
            <w:tcW w:w="1640"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5840" w:type="dxa"/>
            <w:tcBorders/>
            <w:shd w:fill="auto" w:val="clear"/>
            <w:vAlign w:val="center"/>
          </w:tcPr>
          <w:p>
            <w:pPr>
              <w:pStyle w:val="TableContents"/>
              <w:spacing w:lineRule="atLeast" w:line="260" w:before="0" w:after="0"/>
              <w:rPr/>
            </w:pPr>
            <w:r>
              <w:rPr/>
              <w:t>  </w:t>
            </w:r>
            <w:r>
              <w:rPr>
                <w:rFonts w:ascii="ARIAL" w:hAnsi="ARIAL"/>
                <w:sz w:val="19"/>
              </w:rPr>
              <w:t>2021 Restricted Stock Grant</w:t>
            </w:r>
          </w:p>
        </w:tc>
        <w:tc>
          <w:tcPr>
            <w:tcW w:w="24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lineRule="atLeast" w:line="260" w:before="0" w:after="0"/>
              <w:rPr/>
            </w:pPr>
            <w:r>
              <w:rPr/>
              <w:t> </w:t>
            </w:r>
          </w:p>
        </w:tc>
        <w:tc>
          <w:tcPr>
            <w:tcW w:w="112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lineRule="atLeast" w:line="260" w:before="0" w:after="0"/>
              <w:rPr/>
            </w:pPr>
            <w:r>
              <w:rPr/>
              <w:t> </w:t>
            </w:r>
          </w:p>
        </w:tc>
        <w:tc>
          <w:tcPr>
            <w:tcW w:w="907"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8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1,287,628</w:t>
            </w:r>
          </w:p>
        </w:tc>
        <w:tc>
          <w:tcPr>
            <w:tcW w:w="75" w:type="dxa"/>
            <w:tcBorders/>
            <w:shd w:fill="auto" w:val="clear"/>
            <w:vAlign w:val="center"/>
          </w:tcPr>
          <w:p>
            <w:pPr>
              <w:pStyle w:val="TableContents"/>
              <w:spacing w:lineRule="atLeast" w:line="260" w:before="0" w:after="0"/>
              <w:rPr/>
            </w:pPr>
            <w:r>
              <w:rPr/>
              <w:t> </w:t>
            </w:r>
          </w:p>
        </w:tc>
      </w:tr>
      <w:tr>
        <w:trPr/>
        <w:tc>
          <w:tcPr>
            <w:tcW w:w="5840" w:type="dxa"/>
            <w:tcBorders/>
            <w:shd w:fill="CCDEF1" w:val="clear"/>
            <w:vAlign w:val="center"/>
          </w:tcPr>
          <w:p>
            <w:pPr>
              <w:pStyle w:val="TableContents"/>
              <w:spacing w:before="0" w:after="283"/>
              <w:rPr>
                <w:sz w:val="4"/>
                <w:szCs w:val="4"/>
              </w:rPr>
            </w:pPr>
            <w:r>
              <w:rPr>
                <w:sz w:val="4"/>
                <w:szCs w:val="4"/>
              </w:rPr>
            </w:r>
          </w:p>
        </w:tc>
        <w:tc>
          <w:tcPr>
            <w:tcW w:w="1640" w:type="dxa"/>
            <w:gridSpan w:val="4"/>
            <w:tcBorders/>
            <w:shd w:fill="CCDEF1" w:val="clear"/>
            <w:vAlign w:val="center"/>
          </w:tcPr>
          <w:p>
            <w:pPr>
              <w:pStyle w:val="TableContents"/>
              <w:spacing w:before="0" w:after="283"/>
              <w:rPr>
                <w:sz w:val="4"/>
                <w:szCs w:val="4"/>
              </w:rPr>
            </w:pPr>
            <w:r>
              <w:rPr>
                <w:sz w:val="4"/>
                <w:szCs w:val="4"/>
              </w:rPr>
            </w:r>
          </w:p>
        </w:tc>
        <w:tc>
          <w:tcPr>
            <w:tcW w:w="1385" w:type="dxa"/>
            <w:gridSpan w:val="4"/>
            <w:tcBorders/>
            <w:shd w:fill="CCDEF1" w:val="clear"/>
            <w:vAlign w:val="center"/>
          </w:tcPr>
          <w:p>
            <w:pPr>
              <w:pStyle w:val="TableContents"/>
              <w:spacing w:before="0" w:after="283"/>
              <w:rPr>
                <w:sz w:val="4"/>
                <w:szCs w:val="4"/>
              </w:rPr>
            </w:pPr>
            <w:r>
              <w:rPr>
                <w:sz w:val="4"/>
                <w:szCs w:val="4"/>
              </w:rPr>
            </w:r>
          </w:p>
        </w:tc>
        <w:tc>
          <w:tcPr>
            <w:tcW w:w="1315" w:type="dxa"/>
            <w:gridSpan w:val="4"/>
            <w:tcBorders/>
            <w:shd w:fill="CCDEF1" w:val="clear"/>
            <w:vAlign w:val="center"/>
          </w:tcPr>
          <w:p>
            <w:pPr>
              <w:pStyle w:val="TableContents"/>
              <w:spacing w:before="0" w:after="283"/>
              <w:rPr>
                <w:sz w:val="4"/>
                <w:szCs w:val="4"/>
              </w:rPr>
            </w:pPr>
            <w:r>
              <w:rPr>
                <w:sz w:val="4"/>
                <w:szCs w:val="4"/>
              </w:rPr>
            </w:r>
          </w:p>
        </w:tc>
      </w:tr>
      <w:tr>
        <w:trPr/>
        <w:tc>
          <w:tcPr>
            <w:tcW w:w="5840" w:type="dxa"/>
            <w:tcBorders/>
            <w:shd w:fill="CCDEF1" w:val="clear"/>
            <w:vAlign w:val="center"/>
          </w:tcPr>
          <w:p>
            <w:pPr>
              <w:pStyle w:val="TableContents"/>
              <w:spacing w:lineRule="atLeast" w:line="260" w:before="0" w:after="0"/>
              <w:rPr/>
            </w:pPr>
            <w:r>
              <w:rPr/>
              <w:t>  </w:t>
            </w:r>
            <w:r>
              <w:rPr>
                <w:rFonts w:ascii="ARIAL" w:hAnsi="ARIAL"/>
                <w:sz w:val="19"/>
              </w:rPr>
              <w:t>2022 Restricted Stock Grant</w:t>
            </w:r>
          </w:p>
        </w:tc>
        <w:tc>
          <w:tcPr>
            <w:tcW w:w="240" w:type="dxa"/>
            <w:tcBorders/>
            <w:shd w:fill="CCDEF1" w:val="clear"/>
            <w:vAlign w:val="center"/>
          </w:tcPr>
          <w:p>
            <w:pPr>
              <w:pStyle w:val="TableContents"/>
              <w:spacing w:before="0" w:after="283"/>
              <w:rPr/>
            </w:pPr>
            <w:r>
              <w:rPr/>
              <w:t>    </w:t>
            </w:r>
          </w:p>
        </w:tc>
        <w:tc>
          <w:tcPr>
            <w:tcW w:w="220" w:type="dxa"/>
            <w:tcBorders/>
            <w:shd w:fill="CCDEF1" w:val="clear"/>
            <w:vAlign w:val="center"/>
          </w:tcPr>
          <w:p>
            <w:pPr>
              <w:pStyle w:val="TableContents"/>
              <w:spacing w:lineRule="atLeast" w:line="260" w:before="0" w:after="0"/>
              <w:rPr/>
            </w:pPr>
            <w:r>
              <w:rPr/>
              <w:t> </w:t>
            </w:r>
          </w:p>
        </w:tc>
        <w:tc>
          <w:tcPr>
            <w:tcW w:w="112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78" w:type="dxa"/>
            <w:tcBorders/>
            <w:shd w:fill="CCDEF1" w:val="clear"/>
            <w:vAlign w:val="center"/>
          </w:tcPr>
          <w:p>
            <w:pPr>
              <w:pStyle w:val="TableContents"/>
              <w:spacing w:lineRule="atLeast" w:line="260" w:before="0" w:after="0"/>
              <w:rPr/>
            </w:pPr>
            <w:r>
              <w:rPr/>
              <w:t> </w:t>
            </w:r>
          </w:p>
        </w:tc>
        <w:tc>
          <w:tcPr>
            <w:tcW w:w="907"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pPr>
            <w:r>
              <w:rPr/>
              <w:t> </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2,422,729</w:t>
            </w:r>
          </w:p>
        </w:tc>
        <w:tc>
          <w:tcPr>
            <w:tcW w:w="75" w:type="dxa"/>
            <w:tcBorders/>
            <w:shd w:fill="CCDEF1" w:val="clear"/>
            <w:vAlign w:val="center"/>
          </w:tcPr>
          <w:p>
            <w:pPr>
              <w:pStyle w:val="TableContents"/>
              <w:spacing w:lineRule="atLeast" w:line="260" w:before="0" w:after="0"/>
              <w:rPr/>
            </w:pPr>
            <w:r>
              <w:rPr/>
              <w:t> </w:t>
            </w:r>
          </w:p>
        </w:tc>
      </w:tr>
      <w:tr>
        <w:trPr/>
        <w:tc>
          <w:tcPr>
            <w:tcW w:w="5840" w:type="dxa"/>
            <w:tcBorders/>
            <w:shd w:fill="auto" w:val="clear"/>
            <w:vAlign w:val="center"/>
          </w:tcPr>
          <w:p>
            <w:pPr>
              <w:pStyle w:val="TableContents"/>
              <w:spacing w:before="0" w:after="283"/>
              <w:rPr>
                <w:sz w:val="4"/>
                <w:szCs w:val="4"/>
              </w:rPr>
            </w:pPr>
            <w:r>
              <w:rPr>
                <w:sz w:val="4"/>
                <w:szCs w:val="4"/>
              </w:rPr>
            </w:r>
          </w:p>
        </w:tc>
        <w:tc>
          <w:tcPr>
            <w:tcW w:w="1640"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315" w:type="dxa"/>
            <w:gridSpan w:val="4"/>
            <w:tcBorders/>
            <w:shd w:fill="auto" w:val="clear"/>
            <w:vAlign w:val="center"/>
          </w:tcPr>
          <w:p>
            <w:pPr>
              <w:pStyle w:val="TableContents"/>
              <w:spacing w:before="0" w:after="283"/>
              <w:rPr>
                <w:sz w:val="4"/>
                <w:szCs w:val="4"/>
              </w:rPr>
            </w:pPr>
            <w:r>
              <w:rPr>
                <w:sz w:val="4"/>
                <w:szCs w:val="4"/>
              </w:rPr>
            </w:r>
          </w:p>
        </w:tc>
      </w:tr>
      <w:tr>
        <w:trPr/>
        <w:tc>
          <w:tcPr>
            <w:tcW w:w="5840" w:type="dxa"/>
            <w:tcBorders/>
            <w:shd w:fill="auto" w:val="clear"/>
            <w:vAlign w:val="center"/>
          </w:tcPr>
          <w:p>
            <w:pPr>
              <w:pStyle w:val="TableContents"/>
              <w:spacing w:lineRule="atLeast" w:line="260" w:before="0" w:after="0"/>
              <w:rPr/>
            </w:pPr>
            <w:r>
              <w:rPr/>
              <w:t>  </w:t>
            </w:r>
            <w:r>
              <w:rPr>
                <w:rFonts w:ascii="ARIAL" w:hAnsi="ARIAL"/>
                <w:sz w:val="19"/>
              </w:rPr>
              <w:t>Continued Medical Benefits</w:t>
            </w:r>
          </w:p>
        </w:tc>
        <w:tc>
          <w:tcPr>
            <w:tcW w:w="24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lineRule="atLeast" w:line="260" w:before="0" w:after="0"/>
              <w:rPr/>
            </w:pPr>
            <w:r>
              <w:rPr/>
              <w:t> </w:t>
            </w:r>
          </w:p>
        </w:tc>
        <w:tc>
          <w:tcPr>
            <w:tcW w:w="1120"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lineRule="atLeast" w:line="260" w:before="0" w:after="0"/>
              <w:rPr/>
            </w:pPr>
            <w:r>
              <w:rPr/>
              <w:t> </w:t>
            </w:r>
          </w:p>
        </w:tc>
        <w:tc>
          <w:tcPr>
            <w:tcW w:w="907"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60" w:type="dxa"/>
            <w:tcBorders/>
            <w:shd w:fill="auto" w:val="clear"/>
            <w:vAlign w:val="center"/>
          </w:tcPr>
          <w:p>
            <w:pPr>
              <w:pStyle w:val="TableContents"/>
              <w:spacing w:lineRule="atLeast" w:line="260" w:before="0" w:after="0"/>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lineRule="atLeast" w:line="260" w:before="0" w:after="0"/>
              <w:rPr/>
            </w:pPr>
            <w:r>
              <w:rPr/>
              <w:t> </w:t>
            </w:r>
          </w:p>
        </w:tc>
        <w:tc>
          <w:tcPr>
            <w:tcW w:w="875" w:type="dxa"/>
            <w:tcBorders/>
            <w:shd w:fill="auto" w:val="clear"/>
            <w:vAlign w:val="center"/>
          </w:tcPr>
          <w:p>
            <w:pPr>
              <w:pStyle w:val="TableContents"/>
              <w:spacing w:lineRule="atLeast" w:line="260" w:before="0" w:after="0"/>
              <w:jc w:val="right"/>
              <w:rPr>
                <w:rFonts w:ascii="ARIAL" w:hAnsi="ARIAL"/>
                <w:sz w:val="19"/>
              </w:rPr>
            </w:pPr>
            <w:r>
              <w:rPr>
                <w:rFonts w:ascii="ARIAL" w:hAnsi="ARIAL"/>
                <w:sz w:val="19"/>
              </w:rPr>
              <w:t>-</w:t>
            </w:r>
          </w:p>
        </w:tc>
        <w:tc>
          <w:tcPr>
            <w:tcW w:w="75" w:type="dxa"/>
            <w:tcBorders/>
            <w:shd w:fill="auto" w:val="clear"/>
            <w:vAlign w:val="center"/>
          </w:tcPr>
          <w:p>
            <w:pPr>
              <w:pStyle w:val="TableContents"/>
              <w:spacing w:lineRule="atLeast" w:line="260" w:before="0" w:after="0"/>
              <w:rPr/>
            </w:pPr>
            <w:r>
              <w:rPr/>
              <w:t> </w:t>
            </w:r>
          </w:p>
        </w:tc>
      </w:tr>
      <w:tr>
        <w:trPr/>
        <w:tc>
          <w:tcPr>
            <w:tcW w:w="5840" w:type="dxa"/>
            <w:tcBorders/>
            <w:shd w:fill="CCDEF1" w:val="clear"/>
            <w:vAlign w:val="center"/>
          </w:tcPr>
          <w:p>
            <w:pPr>
              <w:pStyle w:val="TableContents"/>
              <w:spacing w:before="0" w:after="283"/>
              <w:rPr>
                <w:sz w:val="4"/>
                <w:szCs w:val="4"/>
              </w:rPr>
            </w:pPr>
            <w:r>
              <w:rPr>
                <w:sz w:val="4"/>
                <w:szCs w:val="4"/>
              </w:rPr>
            </w:r>
          </w:p>
        </w:tc>
        <w:tc>
          <w:tcPr>
            <w:tcW w:w="1640" w:type="dxa"/>
            <w:gridSpan w:val="4"/>
            <w:tcBorders/>
            <w:shd w:fill="CCDEF1" w:val="clear"/>
            <w:vAlign w:val="center"/>
          </w:tcPr>
          <w:p>
            <w:pPr>
              <w:pStyle w:val="TableContents"/>
              <w:spacing w:before="0" w:after="283"/>
              <w:rPr>
                <w:sz w:val="4"/>
                <w:szCs w:val="4"/>
              </w:rPr>
            </w:pPr>
            <w:r>
              <w:rPr>
                <w:sz w:val="4"/>
                <w:szCs w:val="4"/>
              </w:rPr>
            </w:r>
          </w:p>
        </w:tc>
        <w:tc>
          <w:tcPr>
            <w:tcW w:w="1385" w:type="dxa"/>
            <w:gridSpan w:val="4"/>
            <w:tcBorders/>
            <w:shd w:fill="CCDEF1" w:val="clear"/>
            <w:vAlign w:val="center"/>
          </w:tcPr>
          <w:p>
            <w:pPr>
              <w:pStyle w:val="TableContents"/>
              <w:spacing w:before="0" w:after="283"/>
              <w:rPr>
                <w:sz w:val="4"/>
                <w:szCs w:val="4"/>
              </w:rPr>
            </w:pPr>
            <w:r>
              <w:rPr>
                <w:sz w:val="4"/>
                <w:szCs w:val="4"/>
              </w:rPr>
            </w:r>
          </w:p>
        </w:tc>
        <w:tc>
          <w:tcPr>
            <w:tcW w:w="1315" w:type="dxa"/>
            <w:gridSpan w:val="4"/>
            <w:tcBorders/>
            <w:shd w:fill="CCDEF1" w:val="clear"/>
            <w:vAlign w:val="center"/>
          </w:tcPr>
          <w:p>
            <w:pPr>
              <w:pStyle w:val="TableContents"/>
              <w:spacing w:before="0" w:after="283"/>
              <w:rPr>
                <w:sz w:val="4"/>
                <w:szCs w:val="4"/>
              </w:rPr>
            </w:pPr>
            <w:r>
              <w:rPr>
                <w:sz w:val="4"/>
                <w:szCs w:val="4"/>
              </w:rPr>
            </w:r>
          </w:p>
        </w:tc>
      </w:tr>
      <w:tr>
        <w:trPr/>
        <w:tc>
          <w:tcPr>
            <w:tcW w:w="5840" w:type="dxa"/>
            <w:tcBorders/>
            <w:shd w:fill="CCDEF1" w:val="clear"/>
            <w:vAlign w:val="center"/>
          </w:tcPr>
          <w:p>
            <w:pPr>
              <w:pStyle w:val="TableContents"/>
              <w:spacing w:lineRule="atLeast" w:line="260" w:before="0" w:after="0"/>
              <w:rPr/>
            </w:pPr>
            <w:r>
              <w:rPr/>
              <w:t>  </w:t>
            </w:r>
            <w:r>
              <w:rPr>
                <w:rFonts w:ascii="ARIAL" w:hAnsi="ARIAL"/>
                <w:sz w:val="19"/>
              </w:rPr>
              <w:t>Total</w:t>
            </w:r>
          </w:p>
        </w:tc>
        <w:tc>
          <w:tcPr>
            <w:tcW w:w="240" w:type="dxa"/>
            <w:tcBorders/>
            <w:shd w:fill="CCDEF1" w:val="clear"/>
            <w:vAlign w:val="center"/>
          </w:tcPr>
          <w:p>
            <w:pPr>
              <w:pStyle w:val="TableContents"/>
              <w:spacing w:before="0" w:after="283"/>
              <w:rPr/>
            </w:pPr>
            <w:r>
              <w:rPr/>
              <w:t>    </w:t>
            </w:r>
          </w:p>
        </w:tc>
        <w:tc>
          <w:tcPr>
            <w:tcW w:w="220" w:type="dxa"/>
            <w:tcBorders/>
            <w:shd w:fill="CCDEF1" w:val="clear"/>
            <w:vAlign w:val="center"/>
          </w:tcPr>
          <w:p>
            <w:pPr>
              <w:pStyle w:val="TableContents"/>
              <w:spacing w:lineRule="atLeast" w:line="260" w:before="0" w:after="0"/>
              <w:rPr/>
            </w:pPr>
            <w:r>
              <w:rPr/>
              <w:t> </w:t>
            </w:r>
          </w:p>
        </w:tc>
        <w:tc>
          <w:tcPr>
            <w:tcW w:w="1120"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78" w:type="dxa"/>
            <w:tcBorders/>
            <w:shd w:fill="CCDEF1" w:val="clear"/>
            <w:vAlign w:val="center"/>
          </w:tcPr>
          <w:p>
            <w:pPr>
              <w:pStyle w:val="TableContents"/>
              <w:spacing w:lineRule="atLeast" w:line="260" w:before="0" w:after="0"/>
              <w:rPr/>
            </w:pPr>
            <w:r>
              <w:rPr/>
              <w:t> </w:t>
            </w:r>
          </w:p>
        </w:tc>
        <w:tc>
          <w:tcPr>
            <w:tcW w:w="907"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  -</w:t>
            </w:r>
          </w:p>
        </w:tc>
        <w:tc>
          <w:tcPr>
            <w:tcW w:w="60" w:type="dxa"/>
            <w:tcBorders/>
            <w:shd w:fill="CCDEF1" w:val="clear"/>
            <w:vAlign w:val="center"/>
          </w:tcPr>
          <w:p>
            <w:pPr>
              <w:pStyle w:val="TableContents"/>
              <w:spacing w:lineRule="atLeast" w:line="260" w:before="0" w:after="0"/>
              <w:rPr/>
            </w:pPr>
            <w:r>
              <w:rPr/>
              <w:t> </w:t>
            </w:r>
          </w:p>
        </w:tc>
        <w:tc>
          <w:tcPr>
            <w:tcW w:w="240" w:type="dxa"/>
            <w:tcBorders/>
            <w:shd w:fill="CCDEF1" w:val="clear"/>
            <w:vAlign w:val="center"/>
          </w:tcPr>
          <w:p>
            <w:pPr>
              <w:pStyle w:val="TableContents"/>
              <w:spacing w:before="0" w:after="283"/>
              <w:rPr/>
            </w:pPr>
            <w:r>
              <w:rPr/>
              <w:t>    </w:t>
            </w:r>
          </w:p>
        </w:tc>
        <w:tc>
          <w:tcPr>
            <w:tcW w:w="125" w:type="dxa"/>
            <w:tcBorders/>
            <w:shd w:fill="CCDEF1" w:val="clear"/>
            <w:vAlign w:val="center"/>
          </w:tcPr>
          <w:p>
            <w:pPr>
              <w:pStyle w:val="TableContents"/>
              <w:spacing w:lineRule="atLeast" w:line="260" w:before="0" w:after="0"/>
              <w:rPr>
                <w:rFonts w:ascii="ARIAL" w:hAnsi="ARIAL"/>
                <w:sz w:val="19"/>
              </w:rPr>
            </w:pPr>
            <w:r>
              <w:rPr>
                <w:rFonts w:ascii="ARIAL" w:hAnsi="ARIAL"/>
                <w:sz w:val="19"/>
              </w:rPr>
              <w:t>$</w:t>
            </w:r>
          </w:p>
        </w:tc>
        <w:tc>
          <w:tcPr>
            <w:tcW w:w="875" w:type="dxa"/>
            <w:tcBorders/>
            <w:shd w:fill="CCDEF1" w:val="clear"/>
            <w:vAlign w:val="center"/>
          </w:tcPr>
          <w:p>
            <w:pPr>
              <w:pStyle w:val="TableContents"/>
              <w:spacing w:lineRule="atLeast" w:line="260" w:before="0" w:after="0"/>
              <w:jc w:val="right"/>
              <w:rPr>
                <w:rFonts w:ascii="ARIAL" w:hAnsi="ARIAL"/>
                <w:sz w:val="19"/>
              </w:rPr>
            </w:pPr>
            <w:r>
              <w:rPr>
                <w:rFonts w:ascii="ARIAL" w:hAnsi="ARIAL"/>
                <w:sz w:val="19"/>
              </w:rPr>
              <w:t>4,212,434</w:t>
            </w:r>
          </w:p>
        </w:tc>
        <w:tc>
          <w:tcPr>
            <w:tcW w:w="75" w:type="dxa"/>
            <w:tcBorders/>
            <w:shd w:fill="CCDEF1" w:val="clear"/>
            <w:vAlign w:val="center"/>
          </w:tcPr>
          <w:p>
            <w:pPr>
              <w:pStyle w:val="TableContents"/>
              <w:spacing w:lineRule="atLeast" w:line="260" w:before="0" w:after="0"/>
              <w:rPr/>
            </w:pPr>
            <w:r>
              <w:rPr/>
              <w:t> </w:t>
            </w:r>
          </w:p>
        </w:tc>
      </w:tr>
    </w:tbl>
    <w:tbl>
      <w:tblPr>
        <w:tblW w:w="5035" w:type="dxa"/>
        <w:jc w:val="left"/>
        <w:tblInd w:w="0" w:type="dxa"/>
        <w:tblCellMar>
          <w:top w:w="0" w:type="dxa"/>
          <w:left w:w="0" w:type="dxa"/>
          <w:bottom w:w="0" w:type="dxa"/>
          <w:right w:w="0" w:type="dxa"/>
        </w:tblCellMar>
      </w:tblPr>
      <w:tblGrid>
        <w:gridCol w:w="365"/>
        <w:gridCol w:w="4670"/>
      </w:tblGrid>
      <w:tr>
        <w:trPr/>
        <w:tc>
          <w:tcPr>
            <w:tcW w:w="365" w:type="dxa"/>
            <w:tcBorders/>
            <w:shd w:fill="auto" w:val="clear"/>
            <w:vAlign w:val="center"/>
          </w:tcPr>
          <w:p>
            <w:pPr>
              <w:pStyle w:val="TableContents"/>
              <w:spacing w:before="0" w:after="283"/>
              <w:jc w:val="left"/>
              <w:rPr/>
            </w:pPr>
            <w:r>
              <w:rPr/>
              <w:t>(1) </w:t>
            </w:r>
          </w:p>
        </w:tc>
        <w:tc>
          <w:tcPr>
            <w:tcW w:w="4670" w:type="dxa"/>
            <w:tcBorders/>
            <w:shd w:fill="auto" w:val="clear"/>
            <w:vAlign w:val="center"/>
          </w:tcPr>
          <w:p>
            <w:pPr>
              <w:pStyle w:val="TableContents"/>
              <w:spacing w:before="0" w:after="0"/>
              <w:jc w:val="left"/>
              <w:rPr>
                <w:rFonts w:ascii="ARIAL" w:hAnsi="ARIAL"/>
                <w:sz w:val="16"/>
              </w:rPr>
            </w:pPr>
            <w:r>
              <w:rPr>
                <w:rFonts w:ascii="ARIAL" w:hAnsi="ARIAL"/>
                <w:sz w:val="16"/>
              </w:rPr>
              <w:t xml:space="preserve">Assumes employment is terminated involuntarily without cause.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jc w:val="left"/>
              <w:rPr/>
            </w:pPr>
            <w:r>
              <w:rPr/>
              <w:t>(2) </w:t>
            </w:r>
          </w:p>
        </w:tc>
        <w:tc>
          <w:tcPr>
            <w:tcW w:w="9957"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amounts in this row represent the maximum amounts to be paid pursuant to the terms of Mr. Hunn’s Special Long-Term Cash Incentive Award under the above scenarios. The maximum amount to be paid under the Special Long-Term Cash Incentive Award is $18,605,000. Mr. Hunn has elected to defer his receipt of a portion of the long-term incentive amount. As a result, he is expected to receive a 7.5% match on the amount of the special long-term cash incentive award he earns. In general, under each scenario, Mr. Hunn is entitled to a pro-rated portion of the five-year award, which at December 31, 2022, is 80% of the award. In the event of Mr. Hunn’s death or disability, the award remains outstanding, and upon the certification of the performance criteria by the Compensation Committee at the conclusion of the performance period, the amount earned would be paid to Mr. Hunn’s estate. </w:t>
            </w:r>
          </w:p>
        </w:tc>
      </w:tr>
    </w:tbl>
    <w:p>
      <w:pPr>
        <w:pStyle w:val="TextBody"/>
        <w:spacing w:before="0" w:after="0"/>
        <w:jc w:val="left"/>
        <w:rPr/>
      </w:pPr>
      <w:r>
        <w:rPr/>
        <w:t> </w:t>
      </w:r>
    </w:p>
    <w:tbl>
      <w:tblPr>
        <w:tblW w:w="7555" w:type="dxa"/>
        <w:jc w:val="left"/>
        <w:tblInd w:w="0" w:type="dxa"/>
        <w:tblCellMar>
          <w:top w:w="0" w:type="dxa"/>
          <w:left w:w="0" w:type="dxa"/>
          <w:bottom w:w="0" w:type="dxa"/>
          <w:right w:w="0" w:type="dxa"/>
        </w:tblCellMar>
      </w:tblPr>
      <w:tblGrid>
        <w:gridCol w:w="365"/>
        <w:gridCol w:w="7190"/>
      </w:tblGrid>
      <w:tr>
        <w:trPr/>
        <w:tc>
          <w:tcPr>
            <w:tcW w:w="365" w:type="dxa"/>
            <w:tcBorders/>
            <w:shd w:fill="auto" w:val="clear"/>
            <w:vAlign w:val="center"/>
          </w:tcPr>
          <w:p>
            <w:pPr>
              <w:pStyle w:val="TableContents"/>
              <w:spacing w:before="0" w:after="283"/>
              <w:jc w:val="left"/>
              <w:rPr/>
            </w:pPr>
            <w:r>
              <w:rPr/>
              <w:t>(3) </w:t>
            </w:r>
          </w:p>
        </w:tc>
        <w:tc>
          <w:tcPr>
            <w:tcW w:w="7190" w:type="dxa"/>
            <w:tcBorders/>
            <w:shd w:fill="auto" w:val="clear"/>
            <w:vAlign w:val="center"/>
          </w:tcPr>
          <w:p>
            <w:pPr>
              <w:pStyle w:val="TableContents"/>
              <w:spacing w:before="0" w:after="0"/>
              <w:jc w:val="left"/>
              <w:rPr>
                <w:rFonts w:ascii="ARIAL" w:hAnsi="ARIAL"/>
                <w:sz w:val="16"/>
              </w:rPr>
            </w:pPr>
            <w:r>
              <w:rPr>
                <w:rFonts w:ascii="ARIAL" w:hAnsi="ARIAL"/>
                <w:sz w:val="16"/>
              </w:rPr>
              <w:t xml:space="preserve">Based on closing market price of our common stock on December 30, 2022 of $432.09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t>(4) </w:t>
            </w:r>
          </w:p>
        </w:tc>
        <w:tc>
          <w:tcPr>
            <w:tcW w:w="9949" w:type="dxa"/>
            <w:tcBorders/>
            <w:shd w:fill="auto" w:val="clear"/>
            <w:vAlign w:val="center"/>
          </w:tcPr>
          <w:p>
            <w:pPr>
              <w:pStyle w:val="TableContents"/>
              <w:spacing w:before="0" w:after="0"/>
              <w:jc w:val="left"/>
              <w:rPr>
                <w:rFonts w:ascii="ARIAL" w:hAnsi="ARIAL"/>
                <w:sz w:val="16"/>
              </w:rPr>
            </w:pPr>
            <w:r>
              <w:rPr>
                <w:rFonts w:ascii="ARIAL" w:hAnsi="ARIAL"/>
                <w:sz w:val="16"/>
              </w:rPr>
              <w:t xml:space="preserve">Under the terms of our 2016 and 2021 Incentive Plans, if within two years after a change in control, employment is terminated by the employee for good reason or by the acquirer without cause, or if the acquirer does not assume the awards upon a change in control, (i) outstanding stock options become fully exercisable, (ii) time-based vesting restrictions on outstanding restricted stock awards lapse, and (iii) the target payout opportunities on outstanding performance-based restricted stock awards shall be deemed to have been fully earned (subject to the conditions provided in the 2016 and 2021 Incentive Plans). </w:t>
            </w:r>
          </w:p>
        </w:tc>
      </w:tr>
    </w:tbl>
    <w:p>
      <w:pPr>
        <w:pStyle w:val="TextBody"/>
        <w:spacing w:before="180" w:after="0"/>
        <w:jc w:val="left"/>
        <w:rPr>
          <w:rFonts w:ascii="ARIAL" w:hAnsi="ARIAL"/>
          <w:b/>
          <w:i/>
          <w:color w:val="005CB9"/>
          <w:sz w:val="20"/>
        </w:rPr>
      </w:pPr>
      <w:bookmarkStart w:id="31" w:name="toc356364_28"/>
      <w:bookmarkEnd w:id="31"/>
      <w:r>
        <w:rPr>
          <w:rFonts w:ascii="ARIAL" w:hAnsi="ARIAL"/>
          <w:b/>
          <w:i/>
          <w:color w:val="005CB9"/>
          <w:sz w:val="20"/>
        </w:rPr>
        <w:t xml:space="preserve">CEO Pay Ratio </w:t>
      </w:r>
    </w:p>
    <w:p>
      <w:pPr>
        <w:pStyle w:val="TextBody"/>
        <w:spacing w:before="120" w:after="0"/>
        <w:jc w:val="left"/>
        <w:rPr>
          <w:rFonts w:ascii="ARIAL" w:hAnsi="ARIAL"/>
          <w:sz w:val="19"/>
        </w:rPr>
      </w:pPr>
      <w:r>
        <w:rPr>
          <w:rFonts w:ascii="ARIAL" w:hAnsi="ARIAL"/>
          <w:sz w:val="19"/>
        </w:rPr>
        <w:t xml:space="preserve">As required by SEC rules, we compared the total compensation of our CEO in 2022 to that of our median employee for the same period. Through our core human capital management system with supplementation from manual inputs, we collected information for our global workforce of 15,839 employees, including our full-time, part-time and temporary workers, and excluded our employees in Germany (98) and France (88) under the de minimis exemption. </w:t>
      </w:r>
    </w:p>
    <w:p>
      <w:pPr>
        <w:pStyle w:val="TextBody"/>
        <w:spacing w:before="120" w:after="0"/>
        <w:jc w:val="left"/>
        <w:rPr>
          <w:rFonts w:ascii="ARIAL" w:hAnsi="ARIAL"/>
          <w:sz w:val="19"/>
        </w:rPr>
      </w:pPr>
      <w:r>
        <w:rPr>
          <w:rFonts w:ascii="ARIAL" w:hAnsi="ARIAL"/>
          <w:sz w:val="19"/>
        </w:rPr>
        <w:t xml:space="preserve">We identified our median employee as of December 31, 2022 by applying a consistent compensation measure for the period from January 1, 2022 to December 31, 2022 across our global employee population—annual salary or hourly pay, bonus and commissions (excluding equity compensation because inclusion of such would have had no impact on the determination of the median employee). We annualized the compensation for our full-time and part-time employees who were newly-hired in 2022. Our median employee’s total 2022 compensation was $90,000 and our CEO’s was $21,896,030 ($26,929 more than as reported in the Summary Compensation Table above due to the inclusion of certain employee benefits). Accordingly, our 2022 CEO to Median Employee Pay Ratio was 244:1. </w:t>
      </w:r>
    </w:p>
    <w:p>
      <w:pPr>
        <w:pStyle w:val="TextBody"/>
        <w:spacing w:before="120" w:after="0"/>
        <w:jc w:val="left"/>
        <w:rPr>
          <w:rFonts w:ascii="ARIAL" w:hAnsi="ARIAL"/>
          <w:sz w:val="19"/>
        </w:rPr>
      </w:pPr>
      <w:r>
        <w:rPr>
          <w:rFonts w:ascii="ARIAL" w:hAnsi="ARIAL"/>
          <w:sz w:val="19"/>
        </w:rPr>
        <w:t xml:space="preserve">SEC rules for identifying the median employee permit companies to adopt a variety of methodologies, to apply certain exclusions, and to make reasonable estimates and assumptions that reflect their employee populations and compensation practices. Consequently, the pay ratios reported by other companies may not be comparable to the pay ratio reported by Roper. </w: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4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1" descr=""/>
                          <pic:cNvPicPr>
                            <a:picLocks noChangeAspect="1" noChangeArrowheads="1"/>
                          </pic:cNvPicPr>
                        </pic:nvPicPr>
                        <pic:blipFill>
                          <a:blip r:embed="rId102"/>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49</w:t>
            </w:r>
          </w:p>
        </w:tc>
      </w:tr>
    </w:tbl>
    <w:p>
      <w:pPr>
        <w:pStyle w:val="TextBody"/>
        <w:spacing w:before="0" w:after="0"/>
        <w:jc w:val="left"/>
        <w:rPr/>
      </w:pPr>
      <w:r>
        <w:rPr/>
        <w:t> </w:t>
      </w:r>
      <w:r>
        <w:br w:type="page"/>
      </w:r>
    </w:p>
    <w:p>
      <w:pPr>
        <w:pStyle w:val="HorizontalLine"/>
        <w:rPr/>
      </w:pPr>
      <w:r>
        <w:rPr/>
      </w:r>
    </w:p>
    <w:p>
      <w:pPr>
        <w:pStyle w:val="TextBody"/>
        <w:spacing w:before="0" w:after="0"/>
        <w:jc w:val="left"/>
        <w:rPr/>
      </w:pPr>
      <w:r>
        <w:rPr/>
        <w:t> </w:t>
      </w:r>
    </w:p>
    <w:p>
      <w:pPr>
        <w:pStyle w:val="TextBody"/>
        <w:spacing w:before="0" w:after="0"/>
        <w:jc w:val="left"/>
        <w:rPr>
          <w:rFonts w:ascii="ARIAL" w:hAnsi="ARIAL"/>
          <w:color w:val="005CB9"/>
          <w:spacing w:val="0"/>
          <w:sz w:val="20"/>
        </w:rPr>
      </w:pPr>
      <w:r>
        <w:rPr>
          <w:rFonts w:ascii="ARIAL" w:hAnsi="ARIAL"/>
          <w:color w:val="005CB9"/>
          <w:spacing w:val="0"/>
          <w:sz w:val="20"/>
        </w:rPr>
        <w:t xml:space="preserve">EXECUTIVE COMPENSATION </w:t>
      </w:r>
    </w:p>
    <w:p>
      <w:pPr>
        <w:pStyle w:val="TextBody"/>
        <w:spacing w:before="0" w:after="0"/>
        <w:jc w:val="left"/>
        <w:rPr>
          <w:rFonts w:ascii="ARIAL" w:hAnsi="ARIAL"/>
          <w:i/>
          <w:caps w:val="false"/>
          <w:smallCaps w:val="false"/>
          <w:color w:val="005CB9"/>
          <w:spacing w:val="0"/>
          <w:sz w:val="20"/>
        </w:rPr>
      </w:pPr>
      <w:r>
        <w:rPr>
          <w:rFonts w:ascii="ARIAL" w:hAnsi="ARIAL"/>
          <w:i/>
          <w:caps w:val="false"/>
          <w:smallCaps w:val="false"/>
          <w:color w:val="005CB9"/>
          <w:spacing w:val="0"/>
          <w:sz w:val="20"/>
        </w:rPr>
        <w:t>(CONTINUED)</w:t>
      </w:r>
    </w:p>
    <w:p>
      <w:pPr>
        <w:pStyle w:val="TextBody"/>
        <w:spacing w:before="0" w:after="0"/>
        <w:jc w:val="left"/>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 w:hAnsi="ARIAL"/>
          <w:b/>
          <w:i/>
          <w:caps w:val="false"/>
          <w:smallCaps w:val="false"/>
          <w:color w:val="005CB9"/>
          <w:spacing w:val="0"/>
          <w:sz w:val="20"/>
        </w:rPr>
      </w:pPr>
      <w:r>
        <w:rPr>
          <w:rFonts w:ascii="ARIAL" w:hAnsi="ARIAL"/>
          <w:b/>
          <w:i/>
          <w:caps w:val="false"/>
          <w:smallCaps w:val="false"/>
          <w:color w:val="005CB9"/>
          <w:spacing w:val="0"/>
          <w:sz w:val="20"/>
        </w:rPr>
        <w:t xml:space="preserve">PAY VERSUS PERFORMANCE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ARIAL" w:hAnsi="ARIAL"/>
          <w:spacing w:val="0"/>
          <w:sz w:val="19"/>
        </w:rPr>
      </w:pPr>
      <w:r>
        <w:rPr>
          <w:rFonts w:ascii="ARIAL" w:hAnsi="ARIAL"/>
          <w:spacing w:val="0"/>
          <w:sz w:val="19"/>
        </w:rPr>
        <w:t>As</w:t>
      </w:r>
    </w:p>
    <w:p>
      <w:pPr>
        <w:pStyle w:val="TextBody"/>
        <w:spacing w:before="120" w:after="0"/>
        <w:jc w:val="left"/>
        <w:rPr>
          <w:rFonts w:ascii="ARIAL" w:hAnsi="ARIAL"/>
          <w:sz w:val="19"/>
        </w:rPr>
      </w:pPr>
      <w:r>
        <w:rPr>
          <w:rFonts w:ascii="ARIAL" w:hAnsi="ARIAL"/>
          <w:sz w:val="19"/>
        </w:rPr>
        <w:t xml:space="preserve">required </w:t>
      </w:r>
    </w:p>
    <w:p>
      <w:pPr>
        <w:pStyle w:val="TextBody"/>
        <w:spacing w:before="120" w:after="0"/>
        <w:jc w:val="left"/>
        <w:rPr>
          <w:rFonts w:ascii="ARIAL" w:hAnsi="ARIAL"/>
          <w:spacing w:val="0"/>
          <w:sz w:val="19"/>
        </w:rPr>
      </w:pPr>
      <w:r>
        <w:rPr>
          <w:rFonts w:ascii="ARIAL" w:hAnsi="ARIAL"/>
          <w:spacing w:val="0"/>
          <w:sz w:val="19"/>
        </w:rPr>
        <w:t>by</w:t>
      </w:r>
    </w:p>
    <w:p>
      <w:pPr>
        <w:pStyle w:val="TextBody"/>
        <w:spacing w:before="120" w:after="0"/>
        <w:jc w:val="left"/>
        <w:rPr>
          <w:rFonts w:ascii="ARIAL" w:hAnsi="ARIAL"/>
          <w:sz w:val="19"/>
        </w:rPr>
      </w:pPr>
      <w:r>
        <w:rPr>
          <w:rFonts w:ascii="ARIAL" w:hAnsi="ARIAL"/>
          <w:sz w:val="19"/>
        </w:rPr>
        <w:t xml:space="preserve">Section 953(a) of the Dodd-Frank Wall Street Reform and Consumer Protection Act and Item 402(v) of Regulation </w:t>
      </w:r>
    </w:p>
    <w:p>
      <w:pPr>
        <w:pStyle w:val="TextBody"/>
        <w:spacing w:before="120" w:after="0"/>
        <w:jc w:val="left"/>
        <w:rPr>
          <w:rFonts w:ascii="ARIAL" w:hAnsi="ARIAL"/>
          <w:spacing w:val="0"/>
          <w:sz w:val="19"/>
        </w:rPr>
      </w:pPr>
      <w:r>
        <w:rPr>
          <w:rFonts w:ascii="ARIAL" w:hAnsi="ARIAL"/>
          <w:spacing w:val="0"/>
          <w:sz w:val="19"/>
        </w:rPr>
        <w:t>S-K,</w:t>
      </w:r>
    </w:p>
    <w:p>
      <w:pPr>
        <w:pStyle w:val="TextBody"/>
        <w:spacing w:before="120" w:after="0"/>
        <w:jc w:val="left"/>
        <w:rPr>
          <w:rFonts w:ascii="ARIAL" w:hAnsi="ARIAL"/>
          <w:sz w:val="19"/>
        </w:rPr>
      </w:pPr>
      <w:r>
        <w:rPr>
          <w:rFonts w:ascii="ARIAL" w:hAnsi="ARIAL"/>
          <w:sz w:val="19"/>
        </w:rPr>
        <w:t>we are providing the following information about the relationship between certain executive compensation and certain financial performance of our Company, illustrating pay versus performance, or PVP. For its Company Selected Measures (“</w:t>
      </w:r>
    </w:p>
    <w:p>
      <w:pPr>
        <w:pStyle w:val="TextBody"/>
        <w:spacing w:before="120" w:after="0"/>
        <w:jc w:val="left"/>
        <w:rPr>
          <w:rFonts w:ascii="ARIAL" w:hAnsi="ARIAL"/>
          <w:spacing w:val="0"/>
          <w:sz w:val="19"/>
        </w:rPr>
      </w:pPr>
      <w:r>
        <w:rPr>
          <w:rFonts w:ascii="ARIAL" w:hAnsi="ARIAL"/>
          <w:spacing w:val="0"/>
          <w:sz w:val="19"/>
        </w:rPr>
        <w:t>CSM</w:t>
      </w:r>
    </w:p>
    <w:p>
      <w:pPr>
        <w:pStyle w:val="TextBody"/>
        <w:spacing w:before="120" w:after="0"/>
        <w:jc w:val="left"/>
        <w:rPr/>
      </w:pPr>
      <w:r>
        <w:rPr/>
        <w:t>”</w:t>
      </w:r>
      <w:r>
        <w:rPr>
          <w:rFonts w:ascii="ARIAL" w:hAnsi="ARIAL"/>
          <w:sz w:val="19"/>
        </w:rPr>
        <w:t xml:space="preserve">) the Company has chosen Adjusted Free Cash Flow </w:t>
      </w:r>
    </w:p>
    <w:p>
      <w:pPr>
        <w:pStyle w:val="TextBody"/>
        <w:spacing w:before="120" w:after="0"/>
        <w:jc w:val="left"/>
        <w:rPr>
          <w:rFonts w:ascii="ARIAL" w:hAnsi="ARIAL"/>
          <w:spacing w:val="0"/>
          <w:sz w:val="19"/>
        </w:rPr>
      </w:pPr>
      <w:r>
        <w:rPr>
          <w:rFonts w:ascii="ARIAL" w:hAnsi="ARIAL"/>
          <w:spacing w:val="0"/>
          <w:sz w:val="19"/>
        </w:rPr>
        <w:t>and</w:t>
      </w:r>
    </w:p>
    <w:p>
      <w:pPr>
        <w:pStyle w:val="TextBody"/>
        <w:spacing w:before="120" w:after="0"/>
        <w:jc w:val="left"/>
        <w:rPr>
          <w:rFonts w:ascii="ARIAL" w:hAnsi="ARIAL"/>
          <w:sz w:val="19"/>
        </w:rPr>
      </w:pPr>
      <w:r>
        <w:rPr>
          <w:rFonts w:ascii="ARIAL" w:hAnsi="ARIAL"/>
          <w:sz w:val="19"/>
        </w:rPr>
        <w:t xml:space="preserve">Adjusted EBITDA. </w:t>
      </w:r>
    </w:p>
    <w:p>
      <w:pPr>
        <w:pStyle w:val="TextBody"/>
        <w:spacing w:before="200" w:after="0"/>
        <w:jc w:val="center"/>
        <w:rPr>
          <w:rFonts w:ascii="ARIAL" w:hAnsi="ARIAL"/>
          <w:b/>
          <w:sz w:val="20"/>
        </w:rPr>
      </w:pPr>
      <w:r>
        <w:rPr>
          <w:rFonts w:ascii="ARIAL" w:hAnsi="ARIAL"/>
          <w:b/>
          <w:sz w:val="20"/>
        </w:rPr>
        <w:t xml:space="preserve">PAY VERSUS PERFORMANCE </w:t>
      </w:r>
    </w:p>
    <w:p>
      <w:pPr>
        <w:pStyle w:val="TextBody"/>
        <w:spacing w:before="0" w:after="0"/>
        <w:jc w:val="left"/>
        <w:rPr/>
      </w:pPr>
      <w:r>
        <w:rPr/>
        <w:t> </w:t>
      </w:r>
    </w:p>
    <w:tbl>
      <w:tblPr>
        <w:tblW w:w="12165" w:type="dxa"/>
        <w:jc w:val="left"/>
        <w:tblInd w:w="0" w:type="dxa"/>
        <w:tblCellMar>
          <w:top w:w="0" w:type="dxa"/>
          <w:left w:w="0" w:type="dxa"/>
          <w:bottom w:w="0" w:type="dxa"/>
          <w:right w:w="0" w:type="dxa"/>
        </w:tblCellMar>
      </w:tblPr>
      <w:tblGrid>
        <w:gridCol w:w="560"/>
        <w:gridCol w:w="60"/>
        <w:gridCol w:w="156"/>
        <w:gridCol w:w="1229"/>
        <w:gridCol w:w="60"/>
        <w:gridCol w:w="60"/>
        <w:gridCol w:w="156"/>
        <w:gridCol w:w="1229"/>
        <w:gridCol w:w="60"/>
        <w:gridCol w:w="60"/>
        <w:gridCol w:w="173"/>
        <w:gridCol w:w="1212"/>
        <w:gridCol w:w="60"/>
        <w:gridCol w:w="60"/>
        <w:gridCol w:w="173"/>
        <w:gridCol w:w="1212"/>
        <w:gridCol w:w="60"/>
        <w:gridCol w:w="60"/>
        <w:gridCol w:w="101"/>
        <w:gridCol w:w="849"/>
        <w:gridCol w:w="60"/>
        <w:gridCol w:w="60"/>
        <w:gridCol w:w="106"/>
        <w:gridCol w:w="889"/>
        <w:gridCol w:w="60"/>
        <w:gridCol w:w="60"/>
        <w:gridCol w:w="71"/>
        <w:gridCol w:w="594"/>
        <w:gridCol w:w="60"/>
        <w:gridCol w:w="60"/>
        <w:gridCol w:w="140"/>
        <w:gridCol w:w="560"/>
        <w:gridCol w:w="60"/>
        <w:gridCol w:w="60"/>
        <w:gridCol w:w="60"/>
        <w:gridCol w:w="680"/>
        <w:gridCol w:w="60"/>
        <w:gridCol w:w="60"/>
        <w:gridCol w:w="60"/>
        <w:gridCol w:w="740"/>
        <w:gridCol w:w="75"/>
      </w:tblGrid>
      <w:tr>
        <w:trPr/>
        <w:tc>
          <w:tcPr>
            <w:tcW w:w="5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 </w:t>
            </w:r>
          </w:p>
        </w:tc>
        <w:tc>
          <w:tcPr>
            <w:tcW w:w="122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 </w:t>
            </w:r>
          </w:p>
        </w:tc>
        <w:tc>
          <w:tcPr>
            <w:tcW w:w="122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21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21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84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88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59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560" w:type="dxa"/>
            <w:vMerge w:val="restart"/>
            <w:tcBorders/>
            <w:shd w:fill="005CB9" w:val="clear"/>
            <w:vAlign w:val="center"/>
          </w:tcPr>
          <w:p>
            <w:pPr>
              <w:pStyle w:val="TableContents"/>
              <w:spacing w:before="0" w:after="0"/>
              <w:rPr>
                <w:color w:val="FFFFFF"/>
                <w:spacing w:val="0"/>
              </w:rPr>
            </w:pPr>
            <w:r>
              <w:rPr>
                <w:color w:val="FFFFFF"/>
                <w:spacing w:val="0"/>
              </w:rPr>
              <w:t> </w:t>
            </w:r>
            <w:r>
              <w:rPr>
                <w:color w:val="FFFFFF"/>
                <w:spacing w:val="0"/>
              </w:rPr>
              <w:t>Year</w:t>
            </w:r>
          </w:p>
        </w:tc>
        <w:tc>
          <w:tcPr>
            <w:tcW w:w="60" w:type="dxa"/>
            <w:vMerge w:val="restart"/>
            <w:tcBorders/>
            <w:shd w:fill="005CB9" w:val="clear"/>
            <w:vAlign w:val="center"/>
          </w:tcPr>
          <w:p>
            <w:pPr>
              <w:pStyle w:val="TableContents"/>
              <w:spacing w:before="0" w:after="283"/>
              <w:rPr/>
            </w:pPr>
            <w:r>
              <w:rPr/>
              <w:t> </w:t>
            </w:r>
          </w:p>
        </w:tc>
        <w:tc>
          <w:tcPr>
            <w:tcW w:w="1385" w:type="dxa"/>
            <w:gridSpan w:val="2"/>
            <w:vMerge w:val="restart"/>
            <w:tcBorders/>
            <w:shd w:fill="005CB9" w:val="clear"/>
            <w:vAlign w:val="center"/>
          </w:tcPr>
          <w:p>
            <w:pPr>
              <w:pStyle w:val="TableContents"/>
              <w:spacing w:before="0" w:after="0"/>
              <w:jc w:val="right"/>
              <w:rPr>
                <w:color w:val="FFFFFF"/>
                <w:spacing w:val="0"/>
              </w:rPr>
            </w:pPr>
            <w:r>
              <w:rPr>
                <w:color w:val="FFFFFF"/>
                <w:spacing w:val="0"/>
              </w:rPr>
              <w:t>Summary</w:t>
              <w:br/>
              <w:t>Compensation</w:t>
              <w:br/>
              <w:t>Table Total for</w:t>
              <w:br/>
              <w:t>PEO</w:t>
            </w:r>
          </w:p>
        </w:tc>
        <w:tc>
          <w:tcPr>
            <w:tcW w:w="60" w:type="dxa"/>
            <w:vMerge w:val="restart"/>
            <w:tcBorders/>
            <w:shd w:fill="005CB9" w:val="clear"/>
            <w:vAlign w:val="center"/>
          </w:tcPr>
          <w:p>
            <w:pPr>
              <w:pStyle w:val="TableContents"/>
              <w:spacing w:before="0" w:after="283"/>
              <w:rPr/>
            </w:pPr>
            <w:r>
              <w:rPr/>
              <w:t> </w:t>
            </w:r>
          </w:p>
        </w:tc>
        <w:tc>
          <w:tcPr>
            <w:tcW w:w="60" w:type="dxa"/>
            <w:vMerge w:val="restart"/>
            <w:tcBorders/>
            <w:shd w:fill="005CB9" w:val="clear"/>
            <w:vAlign w:val="center"/>
          </w:tcPr>
          <w:p>
            <w:pPr>
              <w:pStyle w:val="TableContents"/>
              <w:spacing w:before="0" w:after="283"/>
              <w:rPr/>
            </w:pPr>
            <w:r>
              <w:rPr/>
              <w:t> </w:t>
            </w:r>
          </w:p>
        </w:tc>
        <w:tc>
          <w:tcPr>
            <w:tcW w:w="1385" w:type="dxa"/>
            <w:gridSpan w:val="2"/>
            <w:vMerge w:val="restart"/>
            <w:tcBorders/>
            <w:shd w:fill="005CB9" w:val="clear"/>
            <w:vAlign w:val="center"/>
          </w:tcPr>
          <w:p>
            <w:pPr>
              <w:pStyle w:val="TableContents"/>
              <w:spacing w:before="0" w:after="0"/>
              <w:jc w:val="right"/>
              <w:rPr>
                <w:color w:val="FFFFFF"/>
                <w:spacing w:val="0"/>
              </w:rPr>
            </w:pPr>
            <w:r>
              <w:rPr>
                <w:color w:val="FFFFFF"/>
                <w:spacing w:val="0"/>
              </w:rPr>
              <w:t>Compensation</w:t>
              <w:br/>
              <w:t>Actually Paid</w:t>
              <w:br/>
              <w:t>to PEO</w:t>
            </w:r>
          </w:p>
        </w:tc>
        <w:tc>
          <w:tcPr>
            <w:tcW w:w="60" w:type="dxa"/>
            <w:vMerge w:val="restart"/>
            <w:tcBorders/>
            <w:shd w:fill="005CB9" w:val="clear"/>
            <w:vAlign w:val="center"/>
          </w:tcPr>
          <w:p>
            <w:pPr>
              <w:pStyle w:val="TableContents"/>
              <w:spacing w:before="0" w:after="283"/>
              <w:rPr/>
            </w:pPr>
            <w:r>
              <w:rPr/>
              <w:t> </w:t>
            </w:r>
          </w:p>
        </w:tc>
        <w:tc>
          <w:tcPr>
            <w:tcW w:w="60" w:type="dxa"/>
            <w:vMerge w:val="restart"/>
            <w:tcBorders/>
            <w:shd w:fill="005CB9" w:val="clear"/>
            <w:vAlign w:val="center"/>
          </w:tcPr>
          <w:p>
            <w:pPr>
              <w:pStyle w:val="TableContents"/>
              <w:spacing w:before="0" w:after="283"/>
              <w:rPr/>
            </w:pPr>
            <w:r>
              <w:rPr/>
              <w:t> </w:t>
            </w:r>
          </w:p>
        </w:tc>
        <w:tc>
          <w:tcPr>
            <w:tcW w:w="1385" w:type="dxa"/>
            <w:gridSpan w:val="2"/>
            <w:vMerge w:val="restart"/>
            <w:tcBorders/>
            <w:shd w:fill="005CB9" w:val="clear"/>
            <w:vAlign w:val="center"/>
          </w:tcPr>
          <w:p>
            <w:pPr>
              <w:pStyle w:val="TableContents"/>
              <w:spacing w:before="0" w:after="0"/>
              <w:jc w:val="right"/>
              <w:rPr>
                <w:color w:val="FFFFFF"/>
                <w:spacing w:val="0"/>
              </w:rPr>
            </w:pPr>
            <w:r>
              <w:rPr>
                <w:color w:val="FFFFFF"/>
                <w:spacing w:val="0"/>
              </w:rPr>
              <w:t>Average</w:t>
              <w:br/>
              <w:t>Summary</w:t>
              <w:br/>
              <w:t>Compensation</w:t>
              <w:br/>
              <w:t>Table Total for</w:t>
            </w:r>
          </w:p>
          <w:p>
            <w:pPr>
              <w:pStyle w:val="TableContents"/>
              <w:spacing w:before="0" w:after="0"/>
              <w:jc w:val="right"/>
              <w:rPr>
                <w:color w:val="FFFFFF"/>
                <w:spacing w:val="0"/>
              </w:rPr>
            </w:pPr>
            <w:r>
              <w:rPr>
                <w:color w:val="FFFFFF"/>
                <w:spacing w:val="0"/>
              </w:rPr>
              <w:t>Non-PEO</w:t>
            </w:r>
          </w:p>
          <w:p>
            <w:pPr>
              <w:pStyle w:val="TableContents"/>
              <w:spacing w:before="0" w:after="0"/>
              <w:jc w:val="right"/>
              <w:rPr>
                <w:color w:val="FFFFFF"/>
                <w:spacing w:val="0"/>
              </w:rPr>
            </w:pPr>
            <w:r>
              <w:rPr>
                <w:color w:val="FFFFFF"/>
                <w:spacing w:val="0"/>
              </w:rPr>
              <w:br/>
              <w:t>NEOs</w:t>
            </w:r>
          </w:p>
        </w:tc>
        <w:tc>
          <w:tcPr>
            <w:tcW w:w="60" w:type="dxa"/>
            <w:vMerge w:val="restart"/>
            <w:tcBorders/>
            <w:shd w:fill="005CB9" w:val="clear"/>
            <w:vAlign w:val="center"/>
          </w:tcPr>
          <w:p>
            <w:pPr>
              <w:pStyle w:val="TableContents"/>
              <w:spacing w:before="0" w:after="283"/>
              <w:rPr/>
            </w:pPr>
            <w:r>
              <w:rPr/>
              <w:t> </w:t>
            </w:r>
          </w:p>
        </w:tc>
        <w:tc>
          <w:tcPr>
            <w:tcW w:w="60" w:type="dxa"/>
            <w:vMerge w:val="restart"/>
            <w:tcBorders/>
            <w:shd w:fill="005CB9" w:val="clear"/>
            <w:vAlign w:val="center"/>
          </w:tcPr>
          <w:p>
            <w:pPr>
              <w:pStyle w:val="TableContents"/>
              <w:spacing w:before="0" w:after="283"/>
              <w:rPr/>
            </w:pPr>
            <w:r>
              <w:rPr/>
              <w:t> </w:t>
            </w:r>
          </w:p>
        </w:tc>
        <w:tc>
          <w:tcPr>
            <w:tcW w:w="1385" w:type="dxa"/>
            <w:gridSpan w:val="2"/>
            <w:vMerge w:val="restart"/>
            <w:tcBorders/>
            <w:shd w:fill="005CB9" w:val="clear"/>
            <w:vAlign w:val="center"/>
          </w:tcPr>
          <w:p>
            <w:pPr>
              <w:pStyle w:val="TableContents"/>
              <w:spacing w:before="0" w:after="0"/>
              <w:jc w:val="right"/>
              <w:rPr>
                <w:color w:val="FFFFFF"/>
                <w:spacing w:val="0"/>
              </w:rPr>
            </w:pPr>
            <w:r>
              <w:rPr>
                <w:color w:val="FFFFFF"/>
                <w:spacing w:val="0"/>
              </w:rPr>
              <w:t>Average</w:t>
              <w:br/>
              <w:t>Compensation</w:t>
              <w:br/>
              <w:t>Actually Paid</w:t>
              <w:br/>
              <w:t xml:space="preserve">to </w:t>
            </w:r>
          </w:p>
          <w:p>
            <w:pPr>
              <w:pStyle w:val="TableContents"/>
              <w:spacing w:before="0" w:after="0"/>
              <w:jc w:val="right"/>
              <w:rPr>
                <w:color w:val="FFFFFF"/>
                <w:spacing w:val="0"/>
              </w:rPr>
            </w:pPr>
            <w:r>
              <w:rPr>
                <w:color w:val="FFFFFF"/>
                <w:spacing w:val="0"/>
              </w:rPr>
              <w:t>Non-PEO</w:t>
            </w:r>
          </w:p>
          <w:p>
            <w:pPr>
              <w:pStyle w:val="TableContents"/>
              <w:spacing w:before="0" w:after="0"/>
              <w:jc w:val="right"/>
              <w:rPr>
                <w:color w:val="FFFFFF"/>
                <w:spacing w:val="0"/>
              </w:rPr>
            </w:pPr>
            <w:r>
              <w:rPr>
                <w:color w:val="FFFFFF"/>
                <w:spacing w:val="0"/>
              </w:rPr>
              <w:br/>
              <w:t>NEOs</w:t>
            </w:r>
          </w:p>
        </w:tc>
        <w:tc>
          <w:tcPr>
            <w:tcW w:w="60" w:type="dxa"/>
            <w:vMerge w:val="restart"/>
            <w:tcBorders/>
            <w:shd w:fill="005CB9" w:val="clear"/>
            <w:vAlign w:val="center"/>
          </w:tcPr>
          <w:p>
            <w:pPr>
              <w:pStyle w:val="TableContents"/>
              <w:spacing w:before="0" w:after="283"/>
              <w:rPr/>
            </w:pPr>
            <w:r>
              <w:rPr/>
              <w:t> </w:t>
            </w:r>
          </w:p>
        </w:tc>
        <w:tc>
          <w:tcPr>
            <w:tcW w:w="60" w:type="dxa"/>
            <w:tcBorders>
              <w:bottom w:val="single" w:sz="6" w:space="0" w:color="FFFFFF"/>
            </w:tcBorders>
            <w:shd w:fill="005CB9" w:val="clear"/>
            <w:tcMar>
              <w:bottom w:w="28" w:type="dxa"/>
            </w:tcMar>
            <w:vAlign w:val="center"/>
          </w:tcPr>
          <w:p>
            <w:pPr>
              <w:pStyle w:val="TableContents"/>
              <w:spacing w:before="0" w:after="283"/>
              <w:rPr/>
            </w:pPr>
            <w:r>
              <w:rPr/>
              <w:t> </w:t>
            </w:r>
          </w:p>
        </w:tc>
        <w:tc>
          <w:tcPr>
            <w:tcW w:w="2850" w:type="dxa"/>
            <w:gridSpan w:val="10"/>
            <w:tcBorders>
              <w:bottom w:val="single" w:sz="6" w:space="0" w:color="FFFFFF"/>
            </w:tcBorders>
            <w:shd w:fill="005CB9" w:val="clear"/>
            <w:tcMar>
              <w:bottom w:w="28" w:type="dxa"/>
            </w:tcMar>
            <w:vAlign w:val="center"/>
          </w:tcPr>
          <w:p>
            <w:pPr>
              <w:pStyle w:val="TableContents"/>
              <w:spacing w:before="0" w:after="0"/>
              <w:rPr/>
            </w:pPr>
            <w:r>
              <w:rPr/>
              <w:t> </w:t>
            </w:r>
          </w:p>
          <w:p>
            <w:pPr>
              <w:pStyle w:val="TableContents"/>
              <w:spacing w:before="0" w:after="20"/>
              <w:jc w:val="right"/>
              <w:rPr>
                <w:rFonts w:ascii="arial" w:hAnsi="arial"/>
                <w:color w:val="FFFFFF"/>
                <w:spacing w:val="0"/>
                <w:sz w:val="14"/>
              </w:rPr>
            </w:pPr>
            <w:r>
              <w:rPr>
                <w:rFonts w:ascii="arial" w:hAnsi="arial"/>
                <w:color w:val="FFFFFF"/>
                <w:spacing w:val="0"/>
                <w:sz w:val="14"/>
              </w:rPr>
              <w:t>Value of Initial Fixed $100</w:t>
              <w:br/>
              <w:t>Investment Based On:</w:t>
            </w:r>
          </w:p>
        </w:tc>
        <w:tc>
          <w:tcPr>
            <w:tcW w:w="60" w:type="dxa"/>
            <w:tcBorders>
              <w:bottom w:val="single" w:sz="6" w:space="0" w:color="FFFFFF"/>
            </w:tcBorders>
            <w:shd w:fill="005CB9" w:val="clear"/>
            <w:tcMar>
              <w:bottom w:w="28" w:type="dxa"/>
            </w:tcMar>
            <w:vAlign w:val="center"/>
          </w:tcPr>
          <w:p>
            <w:pPr>
              <w:pStyle w:val="TableContents"/>
              <w:spacing w:before="0" w:after="283"/>
              <w:rPr/>
            </w:pPr>
            <w:r>
              <w:rPr/>
              <w:t> </w:t>
            </w:r>
          </w:p>
        </w:tc>
        <w:tc>
          <w:tcPr>
            <w:tcW w:w="60" w:type="dxa"/>
            <w:vMerge w:val="restart"/>
            <w:tcBorders/>
            <w:shd w:fill="005CB9" w:val="clear"/>
            <w:vAlign w:val="center"/>
          </w:tcPr>
          <w:p>
            <w:pPr>
              <w:pStyle w:val="TableContents"/>
              <w:spacing w:before="0" w:after="283"/>
              <w:rPr/>
            </w:pPr>
            <w:r>
              <w:rPr/>
              <w:t> </w:t>
            </w:r>
          </w:p>
        </w:tc>
        <w:tc>
          <w:tcPr>
            <w:tcW w:w="700" w:type="dxa"/>
            <w:gridSpan w:val="2"/>
            <w:vMerge w:val="restart"/>
            <w:tcBorders/>
            <w:shd w:fill="005CB9" w:val="clear"/>
            <w:vAlign w:val="center"/>
          </w:tcPr>
          <w:p>
            <w:pPr>
              <w:pStyle w:val="TableContents"/>
              <w:spacing w:before="0" w:after="0"/>
              <w:jc w:val="right"/>
              <w:rPr>
                <w:rFonts w:ascii="arial" w:hAnsi="arial"/>
                <w:color w:val="FFFFFF"/>
                <w:spacing w:val="0"/>
                <w:sz w:val="14"/>
              </w:rPr>
            </w:pPr>
            <w:r>
              <w:rPr>
                <w:rFonts w:ascii="arial" w:hAnsi="arial"/>
                <w:color w:val="FFFFFF"/>
                <w:spacing w:val="0"/>
                <w:sz w:val="14"/>
              </w:rPr>
              <w:t>Net</w:t>
              <w:br/>
              <w:t xml:space="preserve">Income </w:t>
            </w:r>
          </w:p>
          <w:p>
            <w:pPr>
              <w:pStyle w:val="TableContents"/>
              <w:spacing w:before="0" w:after="20"/>
              <w:jc w:val="right"/>
              <w:rPr>
                <w:rFonts w:ascii="arial" w:hAnsi="arial"/>
                <w:color w:val="FFFFFF"/>
                <w:spacing w:val="0"/>
                <w:sz w:val="14"/>
              </w:rPr>
            </w:pPr>
            <w:r>
              <w:rPr>
                <w:rFonts w:ascii="arial" w:hAnsi="arial"/>
                <w:color w:val="FFFFFF"/>
                <w:spacing w:val="0"/>
                <w:sz w:val="14"/>
              </w:rPr>
              <w:t>$ millions</w:t>
            </w:r>
          </w:p>
        </w:tc>
        <w:tc>
          <w:tcPr>
            <w:tcW w:w="60" w:type="dxa"/>
            <w:vMerge w:val="restart"/>
            <w:tcBorders/>
            <w:shd w:fill="005CB9" w:val="clear"/>
            <w:vAlign w:val="center"/>
          </w:tcPr>
          <w:p>
            <w:pPr>
              <w:pStyle w:val="TableContents"/>
              <w:spacing w:before="0" w:after="283"/>
              <w:rPr/>
            </w:pPr>
            <w:r>
              <w:rPr/>
              <w:t> </w:t>
            </w:r>
          </w:p>
        </w:tc>
        <w:tc>
          <w:tcPr>
            <w:tcW w:w="60" w:type="dxa"/>
            <w:vMerge w:val="restart"/>
            <w:tcBorders/>
            <w:shd w:fill="005CB9" w:val="clear"/>
            <w:vAlign w:val="center"/>
          </w:tcPr>
          <w:p>
            <w:pPr>
              <w:pStyle w:val="TableContents"/>
              <w:spacing w:before="0" w:after="283"/>
              <w:rPr/>
            </w:pPr>
            <w:r>
              <w:rPr/>
              <w:t> </w:t>
            </w:r>
          </w:p>
        </w:tc>
        <w:tc>
          <w:tcPr>
            <w:tcW w:w="740" w:type="dxa"/>
            <w:gridSpan w:val="2"/>
            <w:vMerge w:val="restart"/>
            <w:tcBorders/>
            <w:shd w:fill="005CB9" w:val="clear"/>
            <w:vAlign w:val="center"/>
          </w:tcPr>
          <w:p>
            <w:pPr>
              <w:pStyle w:val="TableContents"/>
              <w:spacing w:before="0" w:after="0"/>
              <w:jc w:val="right"/>
              <w:rPr>
                <w:rFonts w:ascii="arial" w:hAnsi="arial"/>
                <w:color w:val="FFFFFF"/>
                <w:spacing w:val="0"/>
                <w:sz w:val="14"/>
              </w:rPr>
            </w:pPr>
            <w:r>
              <w:rPr>
                <w:rFonts w:ascii="arial" w:hAnsi="arial"/>
                <w:color w:val="FFFFFF"/>
                <w:spacing w:val="0"/>
                <w:sz w:val="14"/>
              </w:rPr>
              <w:t>Adjusted</w:t>
              <w:br/>
              <w:t>Free</w:t>
              <w:br/>
              <w:t>Cash</w:t>
              <w:br/>
              <w:t>Flow</w:t>
            </w:r>
          </w:p>
          <w:p>
            <w:pPr>
              <w:pStyle w:val="TableContents"/>
              <w:spacing w:before="0" w:after="20"/>
              <w:jc w:val="right"/>
              <w:rPr>
                <w:rFonts w:ascii="arial" w:hAnsi="arial"/>
                <w:color w:val="FFFFFF"/>
                <w:spacing w:val="0"/>
                <w:sz w:val="14"/>
              </w:rPr>
            </w:pPr>
            <w:r>
              <w:rPr>
                <w:rFonts w:ascii="arial" w:hAnsi="arial"/>
                <w:color w:val="FFFFFF"/>
                <w:spacing w:val="0"/>
                <w:sz w:val="14"/>
              </w:rPr>
              <w:t>$ millions</w:t>
            </w:r>
          </w:p>
        </w:tc>
        <w:tc>
          <w:tcPr>
            <w:tcW w:w="60" w:type="dxa"/>
            <w:vMerge w:val="restart"/>
            <w:tcBorders/>
            <w:shd w:fill="005CB9" w:val="clear"/>
            <w:vAlign w:val="center"/>
          </w:tcPr>
          <w:p>
            <w:pPr>
              <w:pStyle w:val="TableContents"/>
              <w:spacing w:before="0" w:after="283"/>
              <w:rPr/>
            </w:pPr>
            <w:r>
              <w:rPr/>
              <w:t> </w:t>
            </w:r>
          </w:p>
        </w:tc>
        <w:tc>
          <w:tcPr>
            <w:tcW w:w="60" w:type="dxa"/>
            <w:vMerge w:val="restart"/>
            <w:tcBorders/>
            <w:shd w:fill="005CB9" w:val="clear"/>
            <w:vAlign w:val="center"/>
          </w:tcPr>
          <w:p>
            <w:pPr>
              <w:pStyle w:val="TableContents"/>
              <w:spacing w:before="0" w:after="283"/>
              <w:rPr/>
            </w:pPr>
            <w:r>
              <w:rPr/>
              <w:t> </w:t>
            </w:r>
          </w:p>
        </w:tc>
        <w:tc>
          <w:tcPr>
            <w:tcW w:w="800" w:type="dxa"/>
            <w:gridSpan w:val="2"/>
            <w:vMerge w:val="restart"/>
            <w:tcBorders/>
            <w:shd w:fill="005CB9" w:val="clear"/>
            <w:vAlign w:val="center"/>
          </w:tcPr>
          <w:p>
            <w:pPr>
              <w:pStyle w:val="TableContents"/>
              <w:spacing w:before="0" w:after="0"/>
              <w:jc w:val="right"/>
              <w:rPr>
                <w:rFonts w:ascii="arial" w:hAnsi="arial"/>
                <w:color w:val="FFFFFF"/>
                <w:spacing w:val="0"/>
                <w:sz w:val="14"/>
              </w:rPr>
            </w:pPr>
            <w:r>
              <w:rPr>
                <w:rFonts w:ascii="arial" w:hAnsi="arial"/>
                <w:color w:val="FFFFFF"/>
                <w:spacing w:val="0"/>
                <w:sz w:val="14"/>
              </w:rPr>
              <w:t>Adjusted </w:t>
              <w:br/>
              <w:t>EBITDA </w:t>
            </w:r>
          </w:p>
          <w:p>
            <w:pPr>
              <w:pStyle w:val="TableContents"/>
              <w:spacing w:before="0" w:after="20"/>
              <w:jc w:val="right"/>
              <w:rPr>
                <w:rFonts w:ascii="arial" w:hAnsi="arial"/>
                <w:color w:val="FFFFFF"/>
                <w:spacing w:val="0"/>
                <w:sz w:val="14"/>
              </w:rPr>
            </w:pPr>
            <w:r>
              <w:rPr>
                <w:rFonts w:ascii="arial" w:hAnsi="arial"/>
                <w:color w:val="FFFFFF"/>
                <w:spacing w:val="0"/>
                <w:sz w:val="14"/>
              </w:rPr>
              <w:t>$ millions </w:t>
            </w:r>
          </w:p>
        </w:tc>
        <w:tc>
          <w:tcPr>
            <w:tcW w:w="75" w:type="dxa"/>
            <w:vMerge w:val="restart"/>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TableContents"/>
              <w:spacing w:before="0" w:after="283"/>
              <w:rPr/>
            </w:pPr>
            <w:r>
              <w:rPr/>
              <w:t> </w:t>
            </w:r>
          </w:p>
        </w:tc>
      </w:tr>
      <w:tr>
        <w:trPr/>
        <w:tc>
          <w:tcPr>
            <w:tcW w:w="560" w:type="dxa"/>
            <w:vMerge w:val="continue"/>
            <w:tcBorders/>
            <w:shd w:fill="005CB9" w:val="clear"/>
            <w:vAlign w:val="center"/>
          </w:tcPr>
          <w:p>
            <w:pPr>
              <w:pStyle w:val="Normal"/>
              <w:rPr/>
            </w:pPr>
            <w:r>
              <w:rPr/>
            </w:r>
          </w:p>
        </w:tc>
        <w:tc>
          <w:tcPr>
            <w:tcW w:w="60" w:type="dxa"/>
            <w:vMerge w:val="continue"/>
            <w:tcBorders/>
            <w:shd w:fill="005CB9" w:val="clear"/>
            <w:vAlign w:val="center"/>
          </w:tcPr>
          <w:p>
            <w:pPr>
              <w:pStyle w:val="Normal"/>
              <w:rPr/>
            </w:pPr>
            <w:r>
              <w:rPr/>
            </w:r>
          </w:p>
        </w:tc>
        <w:tc>
          <w:tcPr>
            <w:tcW w:w="1385" w:type="dxa"/>
            <w:gridSpan w:val="2"/>
            <w:vMerge w:val="continue"/>
            <w:tcBorders/>
            <w:shd w:fill="005CB9" w:val="clear"/>
            <w:vAlign w:val="center"/>
          </w:tcPr>
          <w:p>
            <w:pPr>
              <w:pStyle w:val="Normal"/>
              <w:rPr/>
            </w:pPr>
            <w:r>
              <w:rPr/>
            </w:r>
          </w:p>
        </w:tc>
        <w:tc>
          <w:tcPr>
            <w:tcW w:w="60" w:type="dxa"/>
            <w:vMerge w:val="continue"/>
            <w:tcBorders/>
            <w:shd w:fill="005CB9" w:val="clear"/>
            <w:vAlign w:val="center"/>
          </w:tcPr>
          <w:p>
            <w:pPr>
              <w:pStyle w:val="Normal"/>
              <w:rPr/>
            </w:pPr>
            <w:r>
              <w:rPr/>
            </w:r>
          </w:p>
        </w:tc>
        <w:tc>
          <w:tcPr>
            <w:tcW w:w="60" w:type="dxa"/>
            <w:vMerge w:val="continue"/>
            <w:tcBorders/>
            <w:shd w:fill="005CB9" w:val="clear"/>
            <w:vAlign w:val="center"/>
          </w:tcPr>
          <w:p>
            <w:pPr>
              <w:pStyle w:val="Normal"/>
              <w:rPr/>
            </w:pPr>
            <w:r>
              <w:rPr/>
            </w:r>
          </w:p>
        </w:tc>
        <w:tc>
          <w:tcPr>
            <w:tcW w:w="1385" w:type="dxa"/>
            <w:gridSpan w:val="2"/>
            <w:vMerge w:val="continue"/>
            <w:tcBorders/>
            <w:shd w:fill="005CB9" w:val="clear"/>
            <w:vAlign w:val="center"/>
          </w:tcPr>
          <w:p>
            <w:pPr>
              <w:pStyle w:val="Normal"/>
              <w:rPr/>
            </w:pPr>
            <w:r>
              <w:rPr/>
            </w:r>
          </w:p>
        </w:tc>
        <w:tc>
          <w:tcPr>
            <w:tcW w:w="60" w:type="dxa"/>
            <w:vMerge w:val="continue"/>
            <w:tcBorders/>
            <w:shd w:fill="005CB9" w:val="clear"/>
            <w:vAlign w:val="center"/>
          </w:tcPr>
          <w:p>
            <w:pPr>
              <w:pStyle w:val="Normal"/>
              <w:rPr/>
            </w:pPr>
            <w:r>
              <w:rPr/>
            </w:r>
          </w:p>
        </w:tc>
        <w:tc>
          <w:tcPr>
            <w:tcW w:w="60" w:type="dxa"/>
            <w:vMerge w:val="continue"/>
            <w:tcBorders/>
            <w:shd w:fill="005CB9" w:val="clear"/>
            <w:vAlign w:val="center"/>
          </w:tcPr>
          <w:p>
            <w:pPr>
              <w:pStyle w:val="Normal"/>
              <w:rPr/>
            </w:pPr>
            <w:r>
              <w:rPr/>
            </w:r>
          </w:p>
        </w:tc>
        <w:tc>
          <w:tcPr>
            <w:tcW w:w="1385" w:type="dxa"/>
            <w:gridSpan w:val="2"/>
            <w:vMerge w:val="continue"/>
            <w:tcBorders/>
            <w:shd w:fill="005CB9" w:val="clear"/>
            <w:vAlign w:val="center"/>
          </w:tcPr>
          <w:p>
            <w:pPr>
              <w:pStyle w:val="Normal"/>
              <w:rPr/>
            </w:pPr>
            <w:r>
              <w:rPr/>
            </w:r>
          </w:p>
        </w:tc>
        <w:tc>
          <w:tcPr>
            <w:tcW w:w="60" w:type="dxa"/>
            <w:vMerge w:val="continue"/>
            <w:tcBorders/>
            <w:shd w:fill="005CB9" w:val="clear"/>
            <w:vAlign w:val="center"/>
          </w:tcPr>
          <w:p>
            <w:pPr>
              <w:pStyle w:val="Normal"/>
              <w:rPr/>
            </w:pPr>
            <w:r>
              <w:rPr/>
            </w:r>
          </w:p>
        </w:tc>
        <w:tc>
          <w:tcPr>
            <w:tcW w:w="60" w:type="dxa"/>
            <w:vMerge w:val="continue"/>
            <w:tcBorders/>
            <w:shd w:fill="005CB9" w:val="clear"/>
            <w:vAlign w:val="center"/>
          </w:tcPr>
          <w:p>
            <w:pPr>
              <w:pStyle w:val="Normal"/>
              <w:rPr/>
            </w:pPr>
            <w:r>
              <w:rPr/>
            </w:r>
          </w:p>
        </w:tc>
        <w:tc>
          <w:tcPr>
            <w:tcW w:w="1385" w:type="dxa"/>
            <w:gridSpan w:val="2"/>
            <w:vMerge w:val="continue"/>
            <w:tcBorders/>
            <w:shd w:fill="005CB9" w:val="clear"/>
            <w:vAlign w:val="center"/>
          </w:tcPr>
          <w:p>
            <w:pPr>
              <w:pStyle w:val="Normal"/>
              <w:rPr/>
            </w:pPr>
            <w:r>
              <w:rPr/>
            </w:r>
          </w:p>
        </w:tc>
        <w:tc>
          <w:tcPr>
            <w:tcW w:w="60" w:type="dxa"/>
            <w:vMerge w:val="continue"/>
            <w:tcBorders/>
            <w:shd w:fill="005CB9" w:val="clear"/>
            <w:vAlign w:val="center"/>
          </w:tcPr>
          <w:p>
            <w:pPr>
              <w:pStyle w:val="Normal"/>
              <w:rPr/>
            </w:pPr>
            <w:r>
              <w:rPr/>
            </w:r>
          </w:p>
        </w:tc>
        <w:tc>
          <w:tcPr>
            <w:tcW w:w="60" w:type="dxa"/>
            <w:tcBorders/>
            <w:shd w:fill="005CB9" w:val="clear"/>
            <w:vAlign w:val="center"/>
          </w:tcPr>
          <w:p>
            <w:pPr>
              <w:pStyle w:val="TableContents"/>
              <w:spacing w:before="0" w:after="283"/>
              <w:rPr/>
            </w:pPr>
            <w:r>
              <w:rPr/>
              <w:t> </w:t>
            </w:r>
          </w:p>
        </w:tc>
        <w:tc>
          <w:tcPr>
            <w:tcW w:w="950" w:type="dxa"/>
            <w:gridSpan w:val="2"/>
            <w:tcBorders/>
            <w:shd w:fill="005CB9" w:val="clear"/>
            <w:vAlign w:val="center"/>
          </w:tcPr>
          <w:p>
            <w:pPr>
              <w:pStyle w:val="TableContents"/>
              <w:spacing w:before="0" w:after="0"/>
              <w:jc w:val="right"/>
              <w:rPr>
                <w:color w:val="FFFFFF"/>
                <w:spacing w:val="0"/>
              </w:rPr>
            </w:pPr>
            <w:r>
              <w:rPr>
                <w:color w:val="FFFFFF"/>
                <w:spacing w:val="0"/>
              </w:rPr>
              <w:t>Company</w:t>
              <w:br/>
              <w:t>TSR</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995" w:type="dxa"/>
            <w:gridSpan w:val="2"/>
            <w:tcBorders/>
            <w:shd w:fill="005CB9" w:val="clear"/>
            <w:vAlign w:val="center"/>
          </w:tcPr>
          <w:p>
            <w:pPr>
              <w:pStyle w:val="TableContents"/>
              <w:spacing w:before="0" w:after="0"/>
              <w:jc w:val="right"/>
              <w:rPr>
                <w:color w:val="FFFFFF"/>
                <w:spacing w:val="0"/>
              </w:rPr>
            </w:pPr>
            <w:r>
              <w:rPr>
                <w:color w:val="FFFFFF"/>
                <w:spacing w:val="0"/>
              </w:rPr>
              <w:t>S&amp;P 500</w:t>
              <w:br/>
              <w:t>Industrials</w:t>
            </w:r>
          </w:p>
        </w:tc>
        <w:tc>
          <w:tcPr>
            <w:tcW w:w="60" w:type="dxa"/>
            <w:tcBorders/>
            <w:shd w:fill="005CB9" w:val="clear"/>
            <w:vAlign w:val="center"/>
          </w:tcPr>
          <w:p>
            <w:pPr>
              <w:pStyle w:val="TableContents"/>
              <w:spacing w:before="0" w:after="283"/>
              <w:rPr/>
            </w:pPr>
            <w:r>
              <w:rPr/>
              <w:t> </w:t>
            </w:r>
          </w:p>
        </w:tc>
        <w:tc>
          <w:tcPr>
            <w:tcW w:w="60" w:type="dxa"/>
            <w:tcBorders/>
            <w:shd w:fill="005CB9" w:val="clear"/>
            <w:vAlign w:val="center"/>
          </w:tcPr>
          <w:p>
            <w:pPr>
              <w:pStyle w:val="TableContents"/>
              <w:spacing w:before="0" w:after="283"/>
              <w:rPr/>
            </w:pPr>
            <w:r>
              <w:rPr/>
              <w:t> </w:t>
            </w:r>
          </w:p>
        </w:tc>
        <w:tc>
          <w:tcPr>
            <w:tcW w:w="665" w:type="dxa"/>
            <w:gridSpan w:val="2"/>
            <w:tcBorders/>
            <w:shd w:fill="005CB9" w:val="clear"/>
            <w:vAlign w:val="center"/>
          </w:tcPr>
          <w:p>
            <w:pPr>
              <w:pStyle w:val="TableContents"/>
              <w:spacing w:before="0" w:after="0"/>
              <w:jc w:val="right"/>
              <w:rPr>
                <w:color w:val="FFFFFF"/>
                <w:spacing w:val="0"/>
              </w:rPr>
            </w:pPr>
            <w:r>
              <w:rPr>
                <w:color w:val="FFFFFF"/>
                <w:spacing w:val="0"/>
              </w:rPr>
              <w:t>S&amp;P</w:t>
              <w:br/>
              <w:t>500 IT</w:t>
            </w:r>
          </w:p>
        </w:tc>
        <w:tc>
          <w:tcPr>
            <w:tcW w:w="60" w:type="dxa"/>
            <w:tcBorders/>
            <w:shd w:fill="005CB9" w:val="clear"/>
            <w:vAlign w:val="center"/>
          </w:tcPr>
          <w:p>
            <w:pPr>
              <w:pStyle w:val="TableContents"/>
              <w:spacing w:before="0" w:after="283"/>
              <w:rPr/>
            </w:pPr>
            <w:r>
              <w:rPr/>
              <w:t> </w:t>
            </w:r>
          </w:p>
        </w:tc>
        <w:tc>
          <w:tcPr>
            <w:tcW w:w="60" w:type="dxa"/>
            <w:vMerge w:val="continue"/>
            <w:tcBorders/>
            <w:shd w:fill="005CB9" w:val="clear"/>
            <w:vAlign w:val="center"/>
          </w:tcPr>
          <w:p>
            <w:pPr>
              <w:pStyle w:val="Normal"/>
              <w:rPr/>
            </w:pPr>
            <w:r>
              <w:rPr/>
            </w:r>
          </w:p>
        </w:tc>
        <w:tc>
          <w:tcPr>
            <w:tcW w:w="700" w:type="dxa"/>
            <w:gridSpan w:val="2"/>
            <w:vMerge w:val="continue"/>
            <w:tcBorders/>
            <w:shd w:fill="005CB9" w:val="clear"/>
            <w:vAlign w:val="center"/>
          </w:tcPr>
          <w:p>
            <w:pPr>
              <w:pStyle w:val="Normal"/>
              <w:rPr/>
            </w:pPr>
            <w:r>
              <w:rPr/>
            </w:r>
          </w:p>
        </w:tc>
        <w:tc>
          <w:tcPr>
            <w:tcW w:w="60" w:type="dxa"/>
            <w:vMerge w:val="continue"/>
            <w:tcBorders/>
            <w:shd w:fill="005CB9" w:val="clear"/>
            <w:vAlign w:val="center"/>
          </w:tcPr>
          <w:p>
            <w:pPr>
              <w:pStyle w:val="Normal"/>
              <w:rPr/>
            </w:pPr>
            <w:r>
              <w:rPr/>
            </w:r>
          </w:p>
        </w:tc>
        <w:tc>
          <w:tcPr>
            <w:tcW w:w="60" w:type="dxa"/>
            <w:vMerge w:val="continue"/>
            <w:tcBorders/>
            <w:shd w:fill="005CB9" w:val="clear"/>
            <w:vAlign w:val="center"/>
          </w:tcPr>
          <w:p>
            <w:pPr>
              <w:pStyle w:val="Normal"/>
              <w:rPr/>
            </w:pPr>
            <w:r>
              <w:rPr/>
            </w:r>
          </w:p>
        </w:tc>
        <w:tc>
          <w:tcPr>
            <w:tcW w:w="740" w:type="dxa"/>
            <w:gridSpan w:val="2"/>
            <w:vMerge w:val="continue"/>
            <w:tcBorders/>
            <w:shd w:fill="005CB9" w:val="clear"/>
            <w:vAlign w:val="center"/>
          </w:tcPr>
          <w:p>
            <w:pPr>
              <w:pStyle w:val="Normal"/>
              <w:rPr/>
            </w:pPr>
            <w:r>
              <w:rPr/>
            </w:r>
          </w:p>
        </w:tc>
        <w:tc>
          <w:tcPr>
            <w:tcW w:w="60" w:type="dxa"/>
            <w:vMerge w:val="continue"/>
            <w:tcBorders/>
            <w:shd w:fill="005CB9" w:val="clear"/>
            <w:vAlign w:val="center"/>
          </w:tcPr>
          <w:p>
            <w:pPr>
              <w:pStyle w:val="Normal"/>
              <w:rPr/>
            </w:pPr>
            <w:r>
              <w:rPr/>
            </w:r>
          </w:p>
        </w:tc>
        <w:tc>
          <w:tcPr>
            <w:tcW w:w="60" w:type="dxa"/>
            <w:vMerge w:val="continue"/>
            <w:tcBorders/>
            <w:shd w:fill="005CB9" w:val="clear"/>
            <w:vAlign w:val="center"/>
          </w:tcPr>
          <w:p>
            <w:pPr>
              <w:pStyle w:val="Normal"/>
              <w:rPr/>
            </w:pPr>
            <w:r>
              <w:rPr/>
            </w:r>
          </w:p>
        </w:tc>
        <w:tc>
          <w:tcPr>
            <w:tcW w:w="800" w:type="dxa"/>
            <w:gridSpan w:val="2"/>
            <w:vMerge w:val="continue"/>
            <w:tcBorders/>
            <w:shd w:fill="005CB9" w:val="clear"/>
            <w:vAlign w:val="center"/>
          </w:tcPr>
          <w:p>
            <w:pPr>
              <w:pStyle w:val="Normal"/>
              <w:rPr/>
            </w:pPr>
            <w:r>
              <w:rPr/>
            </w:r>
          </w:p>
        </w:tc>
        <w:tc>
          <w:tcPr>
            <w:tcW w:w="75" w:type="dxa"/>
            <w:vMerge w:val="continue"/>
            <w:tcBorders>
              <w:top w:val="single" w:sz="4" w:space="0" w:color="000000"/>
              <w:left w:val="single" w:sz="4" w:space="0" w:color="000000"/>
              <w:bottom w:val="single" w:sz="4" w:space="0" w:color="000000"/>
              <w:right w:val="single" w:sz="4" w:space="0" w:color="000000"/>
            </w:tcBorders>
            <w:shd w:fill="005CB9" w:val="clear"/>
            <w:tcMar>
              <w:top w:w="28" w:type="dxa"/>
              <w:left w:w="28" w:type="dxa"/>
              <w:bottom w:w="28" w:type="dxa"/>
              <w:right w:w="28" w:type="dxa"/>
            </w:tcMar>
            <w:vAlign w:val="center"/>
          </w:tcPr>
          <w:p>
            <w:pPr>
              <w:pStyle w:val="Normal"/>
              <w:rPr/>
            </w:pPr>
            <w:r>
              <w:rPr/>
            </w:r>
          </w:p>
        </w:tc>
      </w:tr>
      <w:tr>
        <w:trPr/>
        <w:tc>
          <w:tcPr>
            <w:tcW w:w="560" w:type="dxa"/>
            <w:tcBorders/>
            <w:shd w:fill="CCDEF1" w:val="clear"/>
            <w:vAlign w:val="center"/>
          </w:tcPr>
          <w:p>
            <w:pPr>
              <w:pStyle w:val="TableContents"/>
              <w:spacing w:before="0" w:after="283"/>
              <w:rPr/>
            </w:pPr>
            <w:r>
              <w:rPr/>
              <w:t> </w:t>
            </w:r>
          </w:p>
        </w:tc>
        <w:tc>
          <w:tcPr>
            <w:tcW w:w="1505" w:type="dxa"/>
            <w:gridSpan w:val="4"/>
            <w:tcBorders/>
            <w:shd w:fill="CCDEF1" w:val="clear"/>
            <w:vAlign w:val="center"/>
          </w:tcPr>
          <w:p>
            <w:pPr>
              <w:pStyle w:val="TableContents"/>
              <w:spacing w:before="0" w:after="283"/>
              <w:rPr/>
            </w:pPr>
            <w:r>
              <w:rPr/>
              <w:t> </w:t>
            </w:r>
          </w:p>
        </w:tc>
        <w:tc>
          <w:tcPr>
            <w:tcW w:w="1505" w:type="dxa"/>
            <w:gridSpan w:val="4"/>
            <w:tcBorders/>
            <w:shd w:fill="CCDEF1" w:val="clear"/>
            <w:vAlign w:val="center"/>
          </w:tcPr>
          <w:p>
            <w:pPr>
              <w:pStyle w:val="TableContents"/>
              <w:spacing w:before="0" w:after="283"/>
              <w:rPr/>
            </w:pPr>
            <w:r>
              <w:rPr/>
              <w:t> </w:t>
            </w:r>
          </w:p>
        </w:tc>
        <w:tc>
          <w:tcPr>
            <w:tcW w:w="1505" w:type="dxa"/>
            <w:gridSpan w:val="4"/>
            <w:tcBorders/>
            <w:shd w:fill="CCDEF1" w:val="clear"/>
            <w:vAlign w:val="center"/>
          </w:tcPr>
          <w:p>
            <w:pPr>
              <w:pStyle w:val="TableContents"/>
              <w:spacing w:before="0" w:after="283"/>
              <w:rPr/>
            </w:pPr>
            <w:r>
              <w:rPr/>
              <w:t> </w:t>
            </w:r>
          </w:p>
        </w:tc>
        <w:tc>
          <w:tcPr>
            <w:tcW w:w="1505" w:type="dxa"/>
            <w:gridSpan w:val="4"/>
            <w:tcBorders/>
            <w:shd w:fill="CCDEF1" w:val="clear"/>
            <w:vAlign w:val="center"/>
          </w:tcPr>
          <w:p>
            <w:pPr>
              <w:pStyle w:val="TableContents"/>
              <w:spacing w:before="0" w:after="283"/>
              <w:rPr/>
            </w:pPr>
            <w:r>
              <w:rPr/>
              <w:t> </w:t>
            </w:r>
          </w:p>
        </w:tc>
        <w:tc>
          <w:tcPr>
            <w:tcW w:w="1070" w:type="dxa"/>
            <w:gridSpan w:val="4"/>
            <w:tcBorders/>
            <w:shd w:fill="CCDEF1" w:val="clear"/>
            <w:vAlign w:val="center"/>
          </w:tcPr>
          <w:p>
            <w:pPr>
              <w:pStyle w:val="TableContents"/>
              <w:spacing w:before="0" w:after="283"/>
              <w:rPr/>
            </w:pPr>
            <w:r>
              <w:rPr/>
              <w:t> </w:t>
            </w:r>
          </w:p>
        </w:tc>
        <w:tc>
          <w:tcPr>
            <w:tcW w:w="1115" w:type="dxa"/>
            <w:gridSpan w:val="4"/>
            <w:tcBorders/>
            <w:shd w:fill="CCDEF1" w:val="clear"/>
            <w:vAlign w:val="center"/>
          </w:tcPr>
          <w:p>
            <w:pPr>
              <w:pStyle w:val="TableContents"/>
              <w:spacing w:before="0" w:after="283"/>
              <w:rPr/>
            </w:pPr>
            <w:r>
              <w:rPr/>
              <w:t> </w:t>
            </w:r>
          </w:p>
        </w:tc>
        <w:tc>
          <w:tcPr>
            <w:tcW w:w="785" w:type="dxa"/>
            <w:gridSpan w:val="4"/>
            <w:tcBorders/>
            <w:shd w:fill="CCDEF1" w:val="clear"/>
            <w:vAlign w:val="center"/>
          </w:tcPr>
          <w:p>
            <w:pPr>
              <w:pStyle w:val="TableContents"/>
              <w:spacing w:before="0" w:after="283"/>
              <w:rPr/>
            </w:pPr>
            <w:r>
              <w:rPr/>
              <w:t> </w:t>
            </w:r>
          </w:p>
        </w:tc>
        <w:tc>
          <w:tcPr>
            <w:tcW w:w="820" w:type="dxa"/>
            <w:gridSpan w:val="4"/>
            <w:tcBorders/>
            <w:shd w:fill="CCDEF1" w:val="clear"/>
            <w:vAlign w:val="center"/>
          </w:tcPr>
          <w:p>
            <w:pPr>
              <w:pStyle w:val="TableContents"/>
              <w:spacing w:before="0" w:after="283"/>
              <w:rPr/>
            </w:pPr>
            <w:r>
              <w:rPr/>
              <w:t> </w:t>
            </w:r>
          </w:p>
        </w:tc>
        <w:tc>
          <w:tcPr>
            <w:tcW w:w="860" w:type="dxa"/>
            <w:gridSpan w:val="4"/>
            <w:tcBorders/>
            <w:shd w:fill="CCDEF1" w:val="clear"/>
            <w:vAlign w:val="center"/>
          </w:tcPr>
          <w:p>
            <w:pPr>
              <w:pStyle w:val="TableContents"/>
              <w:spacing w:before="0" w:after="283"/>
              <w:rPr/>
            </w:pPr>
            <w:r>
              <w:rPr/>
              <w:t> </w:t>
            </w:r>
          </w:p>
        </w:tc>
        <w:tc>
          <w:tcPr>
            <w:tcW w:w="935" w:type="dxa"/>
            <w:gridSpan w:val="4"/>
            <w:tcBorders/>
            <w:shd w:fill="CCDEF1" w:val="clear"/>
            <w:vAlign w:val="center"/>
          </w:tcPr>
          <w:p>
            <w:pPr>
              <w:pStyle w:val="TableContents"/>
              <w:spacing w:before="0" w:after="283"/>
              <w:rPr/>
            </w:pPr>
            <w:r>
              <w:rPr/>
              <w:t> </w:t>
            </w:r>
          </w:p>
        </w:tc>
      </w:tr>
      <w:tr>
        <w:trPr/>
        <w:tc>
          <w:tcPr>
            <w:tcW w:w="560" w:type="dxa"/>
            <w:tcBorders/>
            <w:shd w:fill="CCDEF1" w:val="clear"/>
            <w:vAlign w:val="center"/>
          </w:tcPr>
          <w:p>
            <w:pPr>
              <w:pStyle w:val="TableContents"/>
              <w:spacing w:before="0" w:after="0"/>
              <w:rPr/>
            </w:pPr>
            <w:r>
              <w:rPr/>
              <w:t> </w:t>
            </w:r>
            <w:r>
              <w:rPr>
                <w:rFonts w:ascii="ARIAL" w:hAnsi="ARIAL"/>
                <w:sz w:val="16"/>
              </w:rPr>
              <w:t>2022</w:t>
            </w:r>
          </w:p>
        </w:tc>
        <w:tc>
          <w:tcPr>
            <w:tcW w:w="60" w:type="dxa"/>
            <w:tcBorders/>
            <w:shd w:fill="CCDEF1" w:val="clear"/>
            <w:vAlign w:val="center"/>
          </w:tcPr>
          <w:p>
            <w:pPr>
              <w:pStyle w:val="TableContents"/>
              <w:spacing w:before="0" w:after="283"/>
              <w:rPr/>
            </w:pPr>
            <w:r>
              <w:rPr/>
              <w:t> </w:t>
            </w:r>
          </w:p>
        </w:tc>
        <w:tc>
          <w:tcPr>
            <w:tcW w:w="156" w:type="dxa"/>
            <w:tcBorders/>
            <w:shd w:fill="CCDEF1" w:val="clear"/>
            <w:vAlign w:val="center"/>
          </w:tcPr>
          <w:p>
            <w:pPr>
              <w:pStyle w:val="TableContents"/>
              <w:spacing w:before="0" w:after="283"/>
              <w:rPr/>
            </w:pPr>
            <w:r>
              <w:rPr/>
              <w:t>$</w:t>
            </w:r>
          </w:p>
        </w:tc>
        <w:tc>
          <w:tcPr>
            <w:tcW w:w="1229" w:type="dxa"/>
            <w:tcBorders/>
            <w:shd w:fill="CCDEF1" w:val="clear"/>
            <w:vAlign w:val="center"/>
          </w:tcPr>
          <w:p>
            <w:pPr>
              <w:pStyle w:val="TableContents"/>
              <w:spacing w:before="0" w:after="283"/>
              <w:jc w:val="right"/>
              <w:rPr/>
            </w:pPr>
            <w:r>
              <w:rPr/>
              <w:t>21,893,365</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56" w:type="dxa"/>
            <w:tcBorders/>
            <w:shd w:fill="CCDEF1" w:val="clear"/>
            <w:vAlign w:val="center"/>
          </w:tcPr>
          <w:p>
            <w:pPr>
              <w:pStyle w:val="TableContents"/>
              <w:spacing w:before="0" w:after="283"/>
              <w:rPr/>
            </w:pPr>
            <w:r>
              <w:rPr/>
              <w:t>$</w:t>
            </w:r>
          </w:p>
        </w:tc>
        <w:tc>
          <w:tcPr>
            <w:tcW w:w="1229" w:type="dxa"/>
            <w:tcBorders/>
            <w:shd w:fill="CCDEF1" w:val="clear"/>
            <w:vAlign w:val="center"/>
          </w:tcPr>
          <w:p>
            <w:pPr>
              <w:pStyle w:val="TableContents"/>
              <w:spacing w:before="0" w:after="283"/>
              <w:jc w:val="right"/>
              <w:rPr/>
            </w:pPr>
            <w:r>
              <w:rPr/>
              <w:t>8,358,572</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73" w:type="dxa"/>
            <w:tcBorders/>
            <w:shd w:fill="CCDEF1" w:val="clear"/>
            <w:vAlign w:val="center"/>
          </w:tcPr>
          <w:p>
            <w:pPr>
              <w:pStyle w:val="TableContents"/>
              <w:spacing w:before="0" w:after="283"/>
              <w:rPr/>
            </w:pPr>
            <w:r>
              <w:rPr/>
              <w:t>$</w:t>
            </w:r>
          </w:p>
        </w:tc>
        <w:tc>
          <w:tcPr>
            <w:tcW w:w="1212" w:type="dxa"/>
            <w:tcBorders/>
            <w:shd w:fill="CCDEF1" w:val="clear"/>
            <w:vAlign w:val="center"/>
          </w:tcPr>
          <w:p>
            <w:pPr>
              <w:pStyle w:val="TableContents"/>
              <w:spacing w:before="0" w:after="283"/>
              <w:jc w:val="right"/>
              <w:rPr/>
            </w:pPr>
            <w:r>
              <w:rPr/>
              <w:t>6,063,861</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73" w:type="dxa"/>
            <w:tcBorders/>
            <w:shd w:fill="CCDEF1" w:val="clear"/>
            <w:vAlign w:val="center"/>
          </w:tcPr>
          <w:p>
            <w:pPr>
              <w:pStyle w:val="TableContents"/>
              <w:spacing w:before="0" w:after="283"/>
              <w:rPr/>
            </w:pPr>
            <w:r>
              <w:rPr/>
              <w:t>$</w:t>
            </w:r>
          </w:p>
        </w:tc>
        <w:tc>
          <w:tcPr>
            <w:tcW w:w="1212" w:type="dxa"/>
            <w:tcBorders/>
            <w:shd w:fill="CCDEF1" w:val="clear"/>
            <w:vAlign w:val="center"/>
          </w:tcPr>
          <w:p>
            <w:pPr>
              <w:pStyle w:val="TableContents"/>
              <w:spacing w:before="0" w:after="283"/>
              <w:jc w:val="right"/>
              <w:rPr/>
            </w:pPr>
            <w:r>
              <w:rPr/>
              <w:t>3,431,516</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01" w:type="dxa"/>
            <w:tcBorders/>
            <w:shd w:fill="CCDEF1" w:val="clear"/>
            <w:vAlign w:val="center"/>
          </w:tcPr>
          <w:p>
            <w:pPr>
              <w:pStyle w:val="TableContents"/>
              <w:spacing w:before="0" w:after="283"/>
              <w:rPr/>
            </w:pPr>
            <w:r>
              <w:rPr/>
              <w:t> </w:t>
            </w:r>
          </w:p>
        </w:tc>
        <w:tc>
          <w:tcPr>
            <w:tcW w:w="849" w:type="dxa"/>
            <w:tcBorders/>
            <w:shd w:fill="CCDEF1" w:val="clear"/>
            <w:vAlign w:val="center"/>
          </w:tcPr>
          <w:p>
            <w:pPr>
              <w:pStyle w:val="TableContents"/>
              <w:spacing w:before="0" w:after="283"/>
              <w:jc w:val="right"/>
              <w:rPr/>
            </w:pPr>
            <w:r>
              <w:rPr/>
              <w:t>$124</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06" w:type="dxa"/>
            <w:tcBorders/>
            <w:shd w:fill="CCDEF1" w:val="clear"/>
            <w:vAlign w:val="center"/>
          </w:tcPr>
          <w:p>
            <w:pPr>
              <w:pStyle w:val="TableContents"/>
              <w:spacing w:before="0" w:after="283"/>
              <w:rPr/>
            </w:pPr>
            <w:r>
              <w:rPr/>
              <w:t> </w:t>
            </w:r>
          </w:p>
        </w:tc>
        <w:tc>
          <w:tcPr>
            <w:tcW w:w="889" w:type="dxa"/>
            <w:tcBorders/>
            <w:shd w:fill="CCDEF1" w:val="clear"/>
            <w:vAlign w:val="center"/>
          </w:tcPr>
          <w:p>
            <w:pPr>
              <w:pStyle w:val="TableContents"/>
              <w:spacing w:before="0" w:after="283"/>
              <w:jc w:val="right"/>
              <w:rPr/>
            </w:pPr>
            <w:r>
              <w:rPr/>
              <w:t>$127</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71" w:type="dxa"/>
            <w:tcBorders/>
            <w:shd w:fill="CCDEF1" w:val="clear"/>
            <w:vAlign w:val="center"/>
          </w:tcPr>
          <w:p>
            <w:pPr>
              <w:pStyle w:val="TableContents"/>
              <w:spacing w:before="0" w:after="283"/>
              <w:rPr/>
            </w:pPr>
            <w:r>
              <w:rPr/>
              <w:t> </w:t>
            </w:r>
          </w:p>
        </w:tc>
        <w:tc>
          <w:tcPr>
            <w:tcW w:w="594" w:type="dxa"/>
            <w:tcBorders/>
            <w:shd w:fill="CCDEF1" w:val="clear"/>
            <w:vAlign w:val="center"/>
          </w:tcPr>
          <w:p>
            <w:pPr>
              <w:pStyle w:val="TableContents"/>
              <w:spacing w:before="0" w:after="283"/>
              <w:jc w:val="right"/>
              <w:rPr/>
            </w:pPr>
            <w:r>
              <w:rPr/>
              <w:t>$139</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4,545</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680" w:type="dxa"/>
            <w:tcBorders/>
            <w:shd w:fill="CCDEF1" w:val="clear"/>
            <w:vAlign w:val="center"/>
          </w:tcPr>
          <w:p>
            <w:pPr>
              <w:pStyle w:val="TableContents"/>
              <w:spacing w:before="0" w:after="283"/>
              <w:jc w:val="right"/>
              <w:rPr/>
            </w:pPr>
            <w:r>
              <w:rPr/>
              <w:t>$1,490</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740" w:type="dxa"/>
            <w:tcBorders/>
            <w:shd w:fill="CCDEF1" w:val="clear"/>
            <w:vAlign w:val="center"/>
          </w:tcPr>
          <w:p>
            <w:pPr>
              <w:pStyle w:val="TableContents"/>
              <w:spacing w:before="0" w:after="283"/>
              <w:jc w:val="right"/>
              <w:rPr/>
            </w:pPr>
            <w:r>
              <w:rPr/>
              <w:t>$2,170 </w:t>
            </w:r>
          </w:p>
        </w:tc>
        <w:tc>
          <w:tcPr>
            <w:tcW w:w="75" w:type="dxa"/>
            <w:tcBorders/>
            <w:shd w:fill="CCDEF1" w:val="clear"/>
            <w:vAlign w:val="center"/>
          </w:tcPr>
          <w:p>
            <w:pPr>
              <w:pStyle w:val="TableContents"/>
              <w:spacing w:before="0" w:after="283"/>
              <w:rPr/>
            </w:pPr>
            <w:r>
              <w:rPr/>
              <w:t> </w:t>
            </w:r>
          </w:p>
        </w:tc>
      </w:tr>
      <w:tr>
        <w:trPr/>
        <w:tc>
          <w:tcPr>
            <w:tcW w:w="560" w:type="dxa"/>
            <w:tcBorders/>
            <w:shd w:fill="auto" w:val="clear"/>
            <w:vAlign w:val="center"/>
          </w:tcPr>
          <w:p>
            <w:pPr>
              <w:pStyle w:val="TableContents"/>
              <w:spacing w:before="0" w:after="283"/>
              <w:rPr/>
            </w:pPr>
            <w:r>
              <w:rPr/>
              <w:t> </w:t>
            </w:r>
          </w:p>
        </w:tc>
        <w:tc>
          <w:tcPr>
            <w:tcW w:w="1505" w:type="dxa"/>
            <w:gridSpan w:val="4"/>
            <w:tcBorders/>
            <w:shd w:fill="auto" w:val="clear"/>
            <w:vAlign w:val="center"/>
          </w:tcPr>
          <w:p>
            <w:pPr>
              <w:pStyle w:val="TableContents"/>
              <w:spacing w:before="0" w:after="283"/>
              <w:rPr/>
            </w:pPr>
            <w:r>
              <w:rPr/>
              <w:t> </w:t>
            </w:r>
          </w:p>
        </w:tc>
        <w:tc>
          <w:tcPr>
            <w:tcW w:w="1505" w:type="dxa"/>
            <w:gridSpan w:val="4"/>
            <w:tcBorders/>
            <w:shd w:fill="auto" w:val="clear"/>
            <w:vAlign w:val="center"/>
          </w:tcPr>
          <w:p>
            <w:pPr>
              <w:pStyle w:val="TableContents"/>
              <w:spacing w:before="0" w:after="283"/>
              <w:rPr/>
            </w:pPr>
            <w:r>
              <w:rPr/>
              <w:t> </w:t>
            </w:r>
          </w:p>
        </w:tc>
        <w:tc>
          <w:tcPr>
            <w:tcW w:w="1505" w:type="dxa"/>
            <w:gridSpan w:val="4"/>
            <w:tcBorders/>
            <w:shd w:fill="auto" w:val="clear"/>
            <w:vAlign w:val="center"/>
          </w:tcPr>
          <w:p>
            <w:pPr>
              <w:pStyle w:val="TableContents"/>
              <w:spacing w:before="0" w:after="283"/>
              <w:rPr/>
            </w:pPr>
            <w:r>
              <w:rPr/>
              <w:t> </w:t>
            </w:r>
          </w:p>
        </w:tc>
        <w:tc>
          <w:tcPr>
            <w:tcW w:w="1505" w:type="dxa"/>
            <w:gridSpan w:val="4"/>
            <w:tcBorders/>
            <w:shd w:fill="auto" w:val="clear"/>
            <w:vAlign w:val="center"/>
          </w:tcPr>
          <w:p>
            <w:pPr>
              <w:pStyle w:val="TableContents"/>
              <w:spacing w:before="0" w:after="283"/>
              <w:rPr/>
            </w:pPr>
            <w:r>
              <w:rPr/>
              <w:t> </w:t>
            </w:r>
          </w:p>
        </w:tc>
        <w:tc>
          <w:tcPr>
            <w:tcW w:w="1070" w:type="dxa"/>
            <w:gridSpan w:val="4"/>
            <w:tcBorders/>
            <w:shd w:fill="auto" w:val="clear"/>
            <w:vAlign w:val="center"/>
          </w:tcPr>
          <w:p>
            <w:pPr>
              <w:pStyle w:val="TableContents"/>
              <w:spacing w:before="0" w:after="283"/>
              <w:rPr/>
            </w:pPr>
            <w:r>
              <w:rPr/>
              <w:t> </w:t>
            </w:r>
          </w:p>
        </w:tc>
        <w:tc>
          <w:tcPr>
            <w:tcW w:w="1115" w:type="dxa"/>
            <w:gridSpan w:val="4"/>
            <w:tcBorders/>
            <w:shd w:fill="auto" w:val="clear"/>
            <w:vAlign w:val="center"/>
          </w:tcPr>
          <w:p>
            <w:pPr>
              <w:pStyle w:val="TableContents"/>
              <w:spacing w:before="0" w:after="283"/>
              <w:rPr/>
            </w:pPr>
            <w:r>
              <w:rPr/>
              <w:t> </w:t>
            </w:r>
          </w:p>
        </w:tc>
        <w:tc>
          <w:tcPr>
            <w:tcW w:w="785" w:type="dxa"/>
            <w:gridSpan w:val="4"/>
            <w:tcBorders/>
            <w:shd w:fill="auto" w:val="clear"/>
            <w:vAlign w:val="center"/>
          </w:tcPr>
          <w:p>
            <w:pPr>
              <w:pStyle w:val="TableContents"/>
              <w:spacing w:before="0" w:after="283"/>
              <w:rPr/>
            </w:pPr>
            <w:r>
              <w:rPr/>
              <w:t> </w:t>
            </w:r>
          </w:p>
        </w:tc>
        <w:tc>
          <w:tcPr>
            <w:tcW w:w="820" w:type="dxa"/>
            <w:gridSpan w:val="4"/>
            <w:tcBorders/>
            <w:shd w:fill="auto" w:val="clear"/>
            <w:vAlign w:val="center"/>
          </w:tcPr>
          <w:p>
            <w:pPr>
              <w:pStyle w:val="TableContents"/>
              <w:spacing w:before="0" w:after="283"/>
              <w:rPr/>
            </w:pPr>
            <w:r>
              <w:rPr/>
              <w:t> </w:t>
            </w:r>
          </w:p>
        </w:tc>
        <w:tc>
          <w:tcPr>
            <w:tcW w:w="860" w:type="dxa"/>
            <w:gridSpan w:val="4"/>
            <w:tcBorders/>
            <w:shd w:fill="auto" w:val="clear"/>
            <w:vAlign w:val="center"/>
          </w:tcPr>
          <w:p>
            <w:pPr>
              <w:pStyle w:val="TableContents"/>
              <w:spacing w:before="0" w:after="283"/>
              <w:rPr/>
            </w:pPr>
            <w:r>
              <w:rPr/>
              <w:t> </w:t>
            </w:r>
          </w:p>
        </w:tc>
        <w:tc>
          <w:tcPr>
            <w:tcW w:w="935" w:type="dxa"/>
            <w:gridSpan w:val="4"/>
            <w:tcBorders/>
            <w:shd w:fill="auto" w:val="clear"/>
            <w:vAlign w:val="center"/>
          </w:tcPr>
          <w:p>
            <w:pPr>
              <w:pStyle w:val="TableContents"/>
              <w:spacing w:before="0" w:after="283"/>
              <w:rPr/>
            </w:pPr>
            <w:r>
              <w:rPr/>
              <w:t> </w:t>
            </w:r>
          </w:p>
        </w:tc>
      </w:tr>
      <w:tr>
        <w:trPr/>
        <w:tc>
          <w:tcPr>
            <w:tcW w:w="560" w:type="dxa"/>
            <w:tcBorders/>
            <w:shd w:fill="auto" w:val="clear"/>
            <w:vAlign w:val="center"/>
          </w:tcPr>
          <w:p>
            <w:pPr>
              <w:pStyle w:val="TableContents"/>
              <w:spacing w:before="0" w:after="0"/>
              <w:rPr/>
            </w:pPr>
            <w:r>
              <w:rPr/>
              <w:t> </w:t>
            </w:r>
            <w:r>
              <w:rPr>
                <w:rFonts w:ascii="ARIAL" w:hAnsi="ARIAL"/>
                <w:sz w:val="16"/>
              </w:rPr>
              <w:t>2021</w:t>
            </w:r>
          </w:p>
        </w:tc>
        <w:tc>
          <w:tcPr>
            <w:tcW w:w="6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w:t>
            </w:r>
          </w:p>
        </w:tc>
        <w:tc>
          <w:tcPr>
            <w:tcW w:w="1229" w:type="dxa"/>
            <w:tcBorders/>
            <w:shd w:fill="auto" w:val="clear"/>
            <w:vAlign w:val="center"/>
          </w:tcPr>
          <w:p>
            <w:pPr>
              <w:pStyle w:val="TableContents"/>
              <w:spacing w:before="0" w:after="283"/>
              <w:jc w:val="right"/>
              <w:rPr/>
            </w:pPr>
            <w:r>
              <w:rPr/>
              <w:t>21,532,055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w:t>
            </w:r>
          </w:p>
        </w:tc>
        <w:tc>
          <w:tcPr>
            <w:tcW w:w="1229" w:type="dxa"/>
            <w:tcBorders/>
            <w:shd w:fill="auto" w:val="clear"/>
            <w:vAlign w:val="center"/>
          </w:tcPr>
          <w:p>
            <w:pPr>
              <w:pStyle w:val="TableContents"/>
              <w:spacing w:before="0" w:after="283"/>
              <w:jc w:val="right"/>
              <w:rPr/>
            </w:pPr>
            <w:r>
              <w:rPr/>
              <w:t>34,591,237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w:t>
            </w:r>
          </w:p>
        </w:tc>
        <w:tc>
          <w:tcPr>
            <w:tcW w:w="1212" w:type="dxa"/>
            <w:tcBorders/>
            <w:shd w:fill="auto" w:val="clear"/>
            <w:vAlign w:val="center"/>
          </w:tcPr>
          <w:p>
            <w:pPr>
              <w:pStyle w:val="TableContents"/>
              <w:spacing w:before="0" w:after="283"/>
              <w:jc w:val="right"/>
              <w:rPr/>
            </w:pPr>
            <w:r>
              <w:rPr/>
              <w:t>6,036,612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w:t>
            </w:r>
          </w:p>
        </w:tc>
        <w:tc>
          <w:tcPr>
            <w:tcW w:w="1212" w:type="dxa"/>
            <w:tcBorders/>
            <w:shd w:fill="auto" w:val="clear"/>
            <w:vAlign w:val="center"/>
          </w:tcPr>
          <w:p>
            <w:pPr>
              <w:pStyle w:val="TableContents"/>
              <w:spacing w:before="0" w:after="283"/>
              <w:jc w:val="right"/>
              <w:rPr/>
            </w:pPr>
            <w:r>
              <w:rPr/>
              <w:t>8,448,612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849" w:type="dxa"/>
            <w:tcBorders/>
            <w:shd w:fill="auto" w:val="clear"/>
            <w:vAlign w:val="center"/>
          </w:tcPr>
          <w:p>
            <w:pPr>
              <w:pStyle w:val="TableContents"/>
              <w:spacing w:before="0" w:after="283"/>
              <w:jc w:val="right"/>
              <w:rPr/>
            </w:pPr>
            <w:r>
              <w:rPr/>
              <w:t>$140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889" w:type="dxa"/>
            <w:tcBorders/>
            <w:shd w:fill="auto" w:val="clear"/>
            <w:vAlign w:val="center"/>
          </w:tcPr>
          <w:p>
            <w:pPr>
              <w:pStyle w:val="TableContents"/>
              <w:spacing w:before="0" w:after="283"/>
              <w:jc w:val="right"/>
              <w:rPr/>
            </w:pPr>
            <w:r>
              <w:rPr/>
              <w:t>$135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594" w:type="dxa"/>
            <w:tcBorders/>
            <w:shd w:fill="auto" w:val="clear"/>
            <w:vAlign w:val="center"/>
          </w:tcPr>
          <w:p>
            <w:pPr>
              <w:pStyle w:val="TableContents"/>
              <w:spacing w:before="0" w:after="283"/>
              <w:jc w:val="right"/>
              <w:rPr/>
            </w:pPr>
            <w:r>
              <w:rPr/>
              <w:t>$194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jc w:val="right"/>
              <w:rPr/>
            </w:pPr>
            <w:r>
              <w:rPr/>
              <w:t>1,153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$1,598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$1,944 </w:t>
            </w:r>
          </w:p>
        </w:tc>
        <w:tc>
          <w:tcPr>
            <w:tcW w:w="75" w:type="dxa"/>
            <w:tcBorders/>
            <w:shd w:fill="auto" w:val="clear"/>
            <w:vAlign w:val="center"/>
          </w:tcPr>
          <w:p>
            <w:pPr>
              <w:pStyle w:val="TableContents"/>
              <w:spacing w:before="0" w:after="283"/>
              <w:rPr/>
            </w:pPr>
            <w:r>
              <w:rPr/>
              <w:t> </w:t>
            </w:r>
          </w:p>
        </w:tc>
      </w:tr>
      <w:tr>
        <w:trPr/>
        <w:tc>
          <w:tcPr>
            <w:tcW w:w="560" w:type="dxa"/>
            <w:tcBorders/>
            <w:shd w:fill="CCDEF1" w:val="clear"/>
            <w:vAlign w:val="center"/>
          </w:tcPr>
          <w:p>
            <w:pPr>
              <w:pStyle w:val="TableContents"/>
              <w:spacing w:before="0" w:after="283"/>
              <w:rPr/>
            </w:pPr>
            <w:r>
              <w:rPr/>
              <w:t> </w:t>
            </w:r>
          </w:p>
        </w:tc>
        <w:tc>
          <w:tcPr>
            <w:tcW w:w="1505" w:type="dxa"/>
            <w:gridSpan w:val="4"/>
            <w:tcBorders/>
            <w:shd w:fill="CCDEF1" w:val="clear"/>
            <w:vAlign w:val="center"/>
          </w:tcPr>
          <w:p>
            <w:pPr>
              <w:pStyle w:val="TableContents"/>
              <w:spacing w:before="0" w:after="283"/>
              <w:rPr/>
            </w:pPr>
            <w:r>
              <w:rPr/>
              <w:t> </w:t>
            </w:r>
          </w:p>
        </w:tc>
        <w:tc>
          <w:tcPr>
            <w:tcW w:w="1505" w:type="dxa"/>
            <w:gridSpan w:val="4"/>
            <w:tcBorders/>
            <w:shd w:fill="CCDEF1" w:val="clear"/>
            <w:vAlign w:val="center"/>
          </w:tcPr>
          <w:p>
            <w:pPr>
              <w:pStyle w:val="TableContents"/>
              <w:spacing w:before="0" w:after="283"/>
              <w:rPr/>
            </w:pPr>
            <w:r>
              <w:rPr/>
              <w:t> </w:t>
            </w:r>
          </w:p>
        </w:tc>
        <w:tc>
          <w:tcPr>
            <w:tcW w:w="1505" w:type="dxa"/>
            <w:gridSpan w:val="4"/>
            <w:tcBorders/>
            <w:shd w:fill="CCDEF1" w:val="clear"/>
            <w:vAlign w:val="center"/>
          </w:tcPr>
          <w:p>
            <w:pPr>
              <w:pStyle w:val="TableContents"/>
              <w:spacing w:before="0" w:after="283"/>
              <w:rPr/>
            </w:pPr>
            <w:r>
              <w:rPr/>
              <w:t> </w:t>
            </w:r>
          </w:p>
        </w:tc>
        <w:tc>
          <w:tcPr>
            <w:tcW w:w="1505" w:type="dxa"/>
            <w:gridSpan w:val="4"/>
            <w:tcBorders/>
            <w:shd w:fill="CCDEF1" w:val="clear"/>
            <w:vAlign w:val="center"/>
          </w:tcPr>
          <w:p>
            <w:pPr>
              <w:pStyle w:val="TableContents"/>
              <w:spacing w:before="0" w:after="283"/>
              <w:rPr/>
            </w:pPr>
            <w:r>
              <w:rPr/>
              <w:t> </w:t>
            </w:r>
          </w:p>
        </w:tc>
        <w:tc>
          <w:tcPr>
            <w:tcW w:w="1070" w:type="dxa"/>
            <w:gridSpan w:val="4"/>
            <w:tcBorders/>
            <w:shd w:fill="CCDEF1" w:val="clear"/>
            <w:vAlign w:val="center"/>
          </w:tcPr>
          <w:p>
            <w:pPr>
              <w:pStyle w:val="TableContents"/>
              <w:spacing w:before="0" w:after="283"/>
              <w:rPr/>
            </w:pPr>
            <w:r>
              <w:rPr/>
              <w:t> </w:t>
            </w:r>
          </w:p>
        </w:tc>
        <w:tc>
          <w:tcPr>
            <w:tcW w:w="1115" w:type="dxa"/>
            <w:gridSpan w:val="4"/>
            <w:tcBorders/>
            <w:shd w:fill="CCDEF1" w:val="clear"/>
            <w:vAlign w:val="center"/>
          </w:tcPr>
          <w:p>
            <w:pPr>
              <w:pStyle w:val="TableContents"/>
              <w:spacing w:before="0" w:after="283"/>
              <w:rPr/>
            </w:pPr>
            <w:r>
              <w:rPr/>
              <w:t> </w:t>
            </w:r>
          </w:p>
        </w:tc>
        <w:tc>
          <w:tcPr>
            <w:tcW w:w="785" w:type="dxa"/>
            <w:gridSpan w:val="4"/>
            <w:tcBorders/>
            <w:shd w:fill="CCDEF1" w:val="clear"/>
            <w:vAlign w:val="center"/>
          </w:tcPr>
          <w:p>
            <w:pPr>
              <w:pStyle w:val="TableContents"/>
              <w:spacing w:before="0" w:after="283"/>
              <w:rPr/>
            </w:pPr>
            <w:r>
              <w:rPr/>
              <w:t> </w:t>
            </w:r>
          </w:p>
        </w:tc>
        <w:tc>
          <w:tcPr>
            <w:tcW w:w="820" w:type="dxa"/>
            <w:gridSpan w:val="4"/>
            <w:tcBorders/>
            <w:shd w:fill="CCDEF1" w:val="clear"/>
            <w:vAlign w:val="center"/>
          </w:tcPr>
          <w:p>
            <w:pPr>
              <w:pStyle w:val="TableContents"/>
              <w:spacing w:before="0" w:after="283"/>
              <w:rPr/>
            </w:pPr>
            <w:r>
              <w:rPr/>
              <w:t> </w:t>
            </w:r>
          </w:p>
        </w:tc>
        <w:tc>
          <w:tcPr>
            <w:tcW w:w="860" w:type="dxa"/>
            <w:gridSpan w:val="4"/>
            <w:tcBorders/>
            <w:shd w:fill="CCDEF1" w:val="clear"/>
            <w:vAlign w:val="center"/>
          </w:tcPr>
          <w:p>
            <w:pPr>
              <w:pStyle w:val="TableContents"/>
              <w:spacing w:before="0" w:after="283"/>
              <w:rPr/>
            </w:pPr>
            <w:r>
              <w:rPr/>
              <w:t> </w:t>
            </w:r>
          </w:p>
        </w:tc>
        <w:tc>
          <w:tcPr>
            <w:tcW w:w="935" w:type="dxa"/>
            <w:gridSpan w:val="4"/>
            <w:tcBorders/>
            <w:shd w:fill="CCDEF1" w:val="clear"/>
            <w:vAlign w:val="center"/>
          </w:tcPr>
          <w:p>
            <w:pPr>
              <w:pStyle w:val="TableContents"/>
              <w:spacing w:before="0" w:after="283"/>
              <w:rPr/>
            </w:pPr>
            <w:r>
              <w:rPr/>
              <w:t> </w:t>
            </w:r>
          </w:p>
        </w:tc>
      </w:tr>
      <w:tr>
        <w:trPr/>
        <w:tc>
          <w:tcPr>
            <w:tcW w:w="560" w:type="dxa"/>
            <w:tcBorders/>
            <w:shd w:fill="CCDEF1" w:val="clear"/>
            <w:vAlign w:val="center"/>
          </w:tcPr>
          <w:p>
            <w:pPr>
              <w:pStyle w:val="TableContents"/>
              <w:spacing w:before="0" w:after="0"/>
              <w:rPr/>
            </w:pPr>
            <w:r>
              <w:rPr/>
              <w:t> </w:t>
            </w:r>
            <w:r>
              <w:rPr>
                <w:rFonts w:ascii="ARIAL" w:hAnsi="ARIAL"/>
                <w:sz w:val="16"/>
              </w:rPr>
              <w:t>2020</w:t>
            </w:r>
          </w:p>
        </w:tc>
        <w:tc>
          <w:tcPr>
            <w:tcW w:w="60" w:type="dxa"/>
            <w:tcBorders/>
            <w:shd w:fill="CCDEF1" w:val="clear"/>
            <w:vAlign w:val="center"/>
          </w:tcPr>
          <w:p>
            <w:pPr>
              <w:pStyle w:val="TableContents"/>
              <w:spacing w:before="0" w:after="283"/>
              <w:rPr/>
            </w:pPr>
            <w:r>
              <w:rPr/>
              <w:t> </w:t>
            </w:r>
          </w:p>
        </w:tc>
        <w:tc>
          <w:tcPr>
            <w:tcW w:w="156" w:type="dxa"/>
            <w:tcBorders/>
            <w:shd w:fill="CCDEF1" w:val="clear"/>
            <w:vAlign w:val="center"/>
          </w:tcPr>
          <w:p>
            <w:pPr>
              <w:pStyle w:val="TableContents"/>
              <w:spacing w:before="0" w:after="283"/>
              <w:rPr/>
            </w:pPr>
            <w:r>
              <w:rPr/>
              <w:t>$</w:t>
            </w:r>
          </w:p>
        </w:tc>
        <w:tc>
          <w:tcPr>
            <w:tcW w:w="1229" w:type="dxa"/>
            <w:tcBorders/>
            <w:shd w:fill="CCDEF1" w:val="clear"/>
            <w:vAlign w:val="center"/>
          </w:tcPr>
          <w:p>
            <w:pPr>
              <w:pStyle w:val="TableContents"/>
              <w:spacing w:before="0" w:after="283"/>
              <w:jc w:val="right"/>
              <w:rPr/>
            </w:pPr>
            <w:r>
              <w:rPr/>
              <w:t>19,078,951</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56" w:type="dxa"/>
            <w:tcBorders/>
            <w:shd w:fill="CCDEF1" w:val="clear"/>
            <w:vAlign w:val="center"/>
          </w:tcPr>
          <w:p>
            <w:pPr>
              <w:pStyle w:val="TableContents"/>
              <w:spacing w:before="0" w:after="283"/>
              <w:rPr/>
            </w:pPr>
            <w:r>
              <w:rPr/>
              <w:t>$</w:t>
            </w:r>
          </w:p>
        </w:tc>
        <w:tc>
          <w:tcPr>
            <w:tcW w:w="1229" w:type="dxa"/>
            <w:tcBorders/>
            <w:shd w:fill="CCDEF1" w:val="clear"/>
            <w:vAlign w:val="center"/>
          </w:tcPr>
          <w:p>
            <w:pPr>
              <w:pStyle w:val="TableContents"/>
              <w:spacing w:before="0" w:after="283"/>
              <w:jc w:val="right"/>
              <w:rPr/>
            </w:pPr>
            <w:r>
              <w:rPr/>
              <w:t>36,516,078</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73" w:type="dxa"/>
            <w:tcBorders/>
            <w:shd w:fill="CCDEF1" w:val="clear"/>
            <w:vAlign w:val="center"/>
          </w:tcPr>
          <w:p>
            <w:pPr>
              <w:pStyle w:val="TableContents"/>
              <w:spacing w:before="0" w:after="283"/>
              <w:rPr/>
            </w:pPr>
            <w:r>
              <w:rPr/>
              <w:t>$</w:t>
            </w:r>
          </w:p>
        </w:tc>
        <w:tc>
          <w:tcPr>
            <w:tcW w:w="1212" w:type="dxa"/>
            <w:tcBorders/>
            <w:shd w:fill="CCDEF1" w:val="clear"/>
            <w:vAlign w:val="center"/>
          </w:tcPr>
          <w:p>
            <w:pPr>
              <w:pStyle w:val="TableContents"/>
              <w:spacing w:before="0" w:after="283"/>
              <w:jc w:val="right"/>
              <w:rPr/>
            </w:pPr>
            <w:r>
              <w:rPr/>
              <w:t>4,984,588</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73" w:type="dxa"/>
            <w:tcBorders/>
            <w:shd w:fill="CCDEF1" w:val="clear"/>
            <w:vAlign w:val="center"/>
          </w:tcPr>
          <w:p>
            <w:pPr>
              <w:pStyle w:val="TableContents"/>
              <w:spacing w:before="0" w:after="283"/>
              <w:rPr/>
            </w:pPr>
            <w:r>
              <w:rPr/>
              <w:t>$</w:t>
            </w:r>
          </w:p>
        </w:tc>
        <w:tc>
          <w:tcPr>
            <w:tcW w:w="1212" w:type="dxa"/>
            <w:tcBorders/>
            <w:shd w:fill="CCDEF1" w:val="clear"/>
            <w:vAlign w:val="center"/>
          </w:tcPr>
          <w:p>
            <w:pPr>
              <w:pStyle w:val="TableContents"/>
              <w:spacing w:before="0" w:after="283"/>
              <w:jc w:val="right"/>
              <w:rPr/>
            </w:pPr>
            <w:r>
              <w:rPr/>
              <w:t>9,144,533</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01" w:type="dxa"/>
            <w:tcBorders/>
            <w:shd w:fill="CCDEF1" w:val="clear"/>
            <w:vAlign w:val="center"/>
          </w:tcPr>
          <w:p>
            <w:pPr>
              <w:pStyle w:val="TableContents"/>
              <w:spacing w:before="0" w:after="283"/>
              <w:rPr/>
            </w:pPr>
            <w:r>
              <w:rPr/>
              <w:t> </w:t>
            </w:r>
          </w:p>
        </w:tc>
        <w:tc>
          <w:tcPr>
            <w:tcW w:w="849" w:type="dxa"/>
            <w:tcBorders/>
            <w:shd w:fill="CCDEF1" w:val="clear"/>
            <w:vAlign w:val="center"/>
          </w:tcPr>
          <w:p>
            <w:pPr>
              <w:pStyle w:val="TableContents"/>
              <w:spacing w:before="0" w:after="283"/>
              <w:jc w:val="right"/>
              <w:rPr/>
            </w:pPr>
            <w:r>
              <w:rPr/>
              <w:t>$122</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06" w:type="dxa"/>
            <w:tcBorders/>
            <w:shd w:fill="CCDEF1" w:val="clear"/>
            <w:vAlign w:val="center"/>
          </w:tcPr>
          <w:p>
            <w:pPr>
              <w:pStyle w:val="TableContents"/>
              <w:spacing w:before="0" w:after="283"/>
              <w:rPr/>
            </w:pPr>
            <w:r>
              <w:rPr/>
              <w:t> </w:t>
            </w:r>
          </w:p>
        </w:tc>
        <w:tc>
          <w:tcPr>
            <w:tcW w:w="889" w:type="dxa"/>
            <w:tcBorders/>
            <w:shd w:fill="CCDEF1" w:val="clear"/>
            <w:vAlign w:val="center"/>
          </w:tcPr>
          <w:p>
            <w:pPr>
              <w:pStyle w:val="TableContents"/>
              <w:spacing w:before="0" w:after="283"/>
              <w:jc w:val="right"/>
              <w:rPr/>
            </w:pPr>
            <w:r>
              <w:rPr/>
              <w:t>$111</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71" w:type="dxa"/>
            <w:tcBorders/>
            <w:shd w:fill="CCDEF1" w:val="clear"/>
            <w:vAlign w:val="center"/>
          </w:tcPr>
          <w:p>
            <w:pPr>
              <w:pStyle w:val="TableContents"/>
              <w:spacing w:before="0" w:after="283"/>
              <w:rPr/>
            </w:pPr>
            <w:r>
              <w:rPr/>
              <w:t> </w:t>
            </w:r>
          </w:p>
        </w:tc>
        <w:tc>
          <w:tcPr>
            <w:tcW w:w="594" w:type="dxa"/>
            <w:tcBorders/>
            <w:shd w:fill="CCDEF1" w:val="clear"/>
            <w:vAlign w:val="center"/>
          </w:tcPr>
          <w:p>
            <w:pPr>
              <w:pStyle w:val="TableContents"/>
              <w:spacing w:before="0" w:after="283"/>
              <w:jc w:val="right"/>
              <w:rPr/>
            </w:pPr>
            <w:r>
              <w:rPr/>
              <w:t>$144</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950</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680" w:type="dxa"/>
            <w:tcBorders/>
            <w:shd w:fill="CCDEF1" w:val="clear"/>
            <w:vAlign w:val="center"/>
          </w:tcPr>
          <w:p>
            <w:pPr>
              <w:pStyle w:val="TableContents"/>
              <w:spacing w:before="0" w:after="283"/>
              <w:jc w:val="right"/>
              <w:rPr/>
            </w:pPr>
            <w:r>
              <w:rPr/>
              <w:t>$1,273</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740" w:type="dxa"/>
            <w:tcBorders/>
            <w:shd w:fill="CCDEF1" w:val="clear"/>
            <w:vAlign w:val="center"/>
          </w:tcPr>
          <w:p>
            <w:pPr>
              <w:pStyle w:val="TableContents"/>
              <w:spacing w:before="0" w:after="283"/>
              <w:jc w:val="right"/>
              <w:rPr/>
            </w:pPr>
            <w:r>
              <w:rPr/>
              <w:t>$1,590 </w:t>
            </w:r>
          </w:p>
        </w:tc>
        <w:tc>
          <w:tcPr>
            <w:tcW w:w="75" w:type="dxa"/>
            <w:tcBorders/>
            <w:shd w:fill="CCDEF1" w:val="clear"/>
            <w:vAlign w:val="center"/>
          </w:tcPr>
          <w:p>
            <w:pPr>
              <w:pStyle w:val="TableContents"/>
              <w:spacing w:before="0" w:after="283"/>
              <w:rPr/>
            </w:pPr>
            <w:r>
              <w:rPr/>
              <w:t> </w:t>
            </w:r>
          </w:p>
        </w:tc>
      </w:tr>
    </w:tbl>
    <w:p>
      <w:pPr>
        <w:pStyle w:val="TextBody"/>
        <w:spacing w:before="0" w:after="0"/>
        <w:jc w:val="left"/>
        <w:rPr/>
      </w:pPr>
      <w:r>
        <w:rPr/>
        <w:t> </w:t>
      </w:r>
    </w:p>
    <w:tbl>
      <w:tblPr>
        <w:tblW w:w="8410" w:type="dxa"/>
        <w:jc w:val="left"/>
        <w:tblInd w:w="0" w:type="dxa"/>
        <w:tblCellMar>
          <w:top w:w="0" w:type="dxa"/>
          <w:left w:w="0" w:type="dxa"/>
          <w:bottom w:w="0" w:type="dxa"/>
          <w:right w:w="0" w:type="dxa"/>
        </w:tblCellMar>
      </w:tblPr>
      <w:tblGrid>
        <w:gridCol w:w="140"/>
        <w:gridCol w:w="8270"/>
      </w:tblGrid>
      <w:tr>
        <w:trPr/>
        <w:tc>
          <w:tcPr>
            <w:tcW w:w="140" w:type="dxa"/>
            <w:tcBorders/>
            <w:shd w:fill="auto" w:val="clear"/>
            <w:vAlign w:val="center"/>
          </w:tcPr>
          <w:p>
            <w:pPr>
              <w:pStyle w:val="TableContents"/>
              <w:spacing w:before="0" w:after="0"/>
              <w:jc w:val="left"/>
              <w:rPr>
                <w:sz w:val="9"/>
              </w:rPr>
            </w:pPr>
            <w:r>
              <w:rPr>
                <w:sz w:val="9"/>
              </w:rPr>
              <w:t>(1)</w:t>
            </w:r>
          </w:p>
          <w:p>
            <w:pPr>
              <w:pStyle w:val="TableContents"/>
              <w:spacing w:before="0" w:after="0"/>
              <w:jc w:val="left"/>
              <w:rPr/>
            </w:pPr>
            <w:r>
              <w:rPr/>
              <w:t> </w:t>
            </w:r>
          </w:p>
        </w:tc>
        <w:tc>
          <w:tcPr>
            <w:tcW w:w="8270"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principal executive officer (“PEO”) for each of 2022, 2021 and 2020 (each a “Covered Year”) is L. Neil Hunn. </w:t>
            </w:r>
          </w:p>
        </w:tc>
      </w:tr>
    </w:tbl>
    <w:p>
      <w:pPr>
        <w:pStyle w:val="TextBody"/>
        <w:spacing w:before="0" w:after="0"/>
        <w:jc w:val="left"/>
        <w:rPr/>
      </w:pPr>
      <w:r>
        <w:rPr/>
        <w:t> </w:t>
      </w:r>
    </w:p>
    <w:tbl>
      <w:tblPr>
        <w:tblW w:w="9535" w:type="dxa"/>
        <w:jc w:val="left"/>
        <w:tblInd w:w="0" w:type="dxa"/>
        <w:tblCellMar>
          <w:top w:w="0" w:type="dxa"/>
          <w:left w:w="0" w:type="dxa"/>
          <w:bottom w:w="0" w:type="dxa"/>
          <w:right w:w="0" w:type="dxa"/>
        </w:tblCellMar>
      </w:tblPr>
      <w:tblGrid>
        <w:gridCol w:w="140"/>
        <w:gridCol w:w="9395"/>
      </w:tblGrid>
      <w:tr>
        <w:trPr/>
        <w:tc>
          <w:tcPr>
            <w:tcW w:w="140" w:type="dxa"/>
            <w:tcBorders/>
            <w:shd w:fill="auto" w:val="clear"/>
            <w:vAlign w:val="center"/>
          </w:tcPr>
          <w:p>
            <w:pPr>
              <w:pStyle w:val="TableContents"/>
              <w:spacing w:before="0" w:after="0"/>
              <w:jc w:val="left"/>
              <w:rPr>
                <w:sz w:val="9"/>
              </w:rPr>
            </w:pPr>
            <w:r>
              <w:rPr>
                <w:sz w:val="9"/>
              </w:rPr>
              <w:t>(2)</w:t>
            </w:r>
          </w:p>
        </w:tc>
        <w:tc>
          <w:tcPr>
            <w:tcW w:w="9395" w:type="dxa"/>
            <w:tcBorders/>
            <w:shd w:fill="auto" w:val="clear"/>
            <w:vAlign w:val="center"/>
          </w:tcPr>
          <w:p>
            <w:pPr>
              <w:pStyle w:val="TableContents"/>
              <w:spacing w:before="0" w:after="0"/>
              <w:jc w:val="left"/>
              <w:rPr>
                <w:rFonts w:ascii="ARIAL" w:hAnsi="ARIAL"/>
                <w:sz w:val="16"/>
              </w:rPr>
            </w:pPr>
            <w:r>
              <w:rPr>
                <w:rFonts w:ascii="ARIAL" w:hAnsi="ARIAL"/>
                <w:sz w:val="16"/>
              </w:rPr>
              <w:t xml:space="preserve">The </w:t>
            </w:r>
          </w:p>
          <w:p>
            <w:pPr>
              <w:pStyle w:val="TableContents"/>
              <w:spacing w:before="0" w:after="0"/>
              <w:jc w:val="left"/>
              <w:rPr>
                <w:rFonts w:ascii="ARIAL" w:hAnsi="ARIAL"/>
                <w:spacing w:val="0"/>
                <w:sz w:val="16"/>
              </w:rPr>
            </w:pPr>
            <w:r>
              <w:rPr>
                <w:rFonts w:ascii="ARIAL" w:hAnsi="ARIAL"/>
                <w:spacing w:val="0"/>
                <w:sz w:val="16"/>
              </w:rPr>
              <w:t>non-PEO</w:t>
            </w:r>
          </w:p>
          <w:p>
            <w:pPr>
              <w:pStyle w:val="TableContents"/>
              <w:spacing w:before="0" w:after="0"/>
              <w:jc w:val="left"/>
              <w:rPr>
                <w:rFonts w:ascii="ARIAL" w:hAnsi="ARIAL"/>
                <w:sz w:val="16"/>
              </w:rPr>
            </w:pPr>
            <w:r>
              <w:rPr>
                <w:rFonts w:ascii="ARIAL" w:hAnsi="ARIAL"/>
                <w:sz w:val="16"/>
              </w:rPr>
              <w:t xml:space="preserve">named executive officers (the “other NEOs”) for each Covered Year are Jason Conley, Robert C. Crisci and John K. Stipancich. </w:t>
            </w:r>
          </w:p>
        </w:tc>
      </w:tr>
    </w:tbl>
    <w:p>
      <w:pPr>
        <w:pStyle w:val="TextBody"/>
        <w:spacing w:before="0" w:after="0"/>
        <w:jc w:val="left"/>
        <w:rPr/>
      </w:pPr>
      <w:r>
        <w:rPr/>
        <w:t> </w:t>
      </w:r>
    </w:p>
    <w:tbl>
      <w:tblPr>
        <w:tblW w:w="10030" w:type="dxa"/>
        <w:jc w:val="left"/>
        <w:tblInd w:w="0" w:type="dxa"/>
        <w:tblCellMar>
          <w:top w:w="0" w:type="dxa"/>
          <w:left w:w="0" w:type="dxa"/>
          <w:bottom w:w="0" w:type="dxa"/>
          <w:right w:w="0" w:type="dxa"/>
        </w:tblCellMar>
      </w:tblPr>
      <w:tblGrid>
        <w:gridCol w:w="140"/>
        <w:gridCol w:w="9890"/>
      </w:tblGrid>
      <w:tr>
        <w:trPr/>
        <w:tc>
          <w:tcPr>
            <w:tcW w:w="140" w:type="dxa"/>
            <w:tcBorders/>
            <w:shd w:fill="auto" w:val="clear"/>
            <w:vAlign w:val="center"/>
          </w:tcPr>
          <w:p>
            <w:pPr>
              <w:pStyle w:val="TableContents"/>
              <w:spacing w:before="0" w:after="0"/>
              <w:jc w:val="left"/>
              <w:rPr>
                <w:sz w:val="9"/>
              </w:rPr>
            </w:pPr>
            <w:r>
              <w:rPr>
                <w:sz w:val="9"/>
              </w:rPr>
              <w:t>(3)</w:t>
            </w:r>
          </w:p>
          <w:p>
            <w:pPr>
              <w:pStyle w:val="TableContents"/>
              <w:spacing w:before="0" w:after="0"/>
              <w:jc w:val="left"/>
              <w:rPr/>
            </w:pPr>
            <w:r>
              <w:rPr/>
              <w:t> </w:t>
            </w:r>
          </w:p>
        </w:tc>
        <w:tc>
          <w:tcPr>
            <w:tcW w:w="9890" w:type="dxa"/>
            <w:tcBorders/>
            <w:shd w:fill="auto" w:val="clear"/>
            <w:vAlign w:val="center"/>
          </w:tcPr>
          <w:p>
            <w:pPr>
              <w:pStyle w:val="TableContents"/>
              <w:spacing w:before="0" w:after="0"/>
              <w:jc w:val="left"/>
              <w:rPr>
                <w:rFonts w:ascii="ARIAL" w:hAnsi="ARIAL"/>
                <w:sz w:val="16"/>
              </w:rPr>
            </w:pPr>
            <w:r>
              <w:rPr>
                <w:rFonts w:ascii="ARIAL" w:hAnsi="ARIAL"/>
                <w:sz w:val="16"/>
              </w:rPr>
              <w:t xml:space="preserve">Adjusted Free Cash Flow and Adjusted EBITDA are presented on a continuing operations basis and an adjusted </w:t>
            </w:r>
          </w:p>
          <w:p>
            <w:pPr>
              <w:pStyle w:val="TableContents"/>
              <w:spacing w:before="0" w:after="0"/>
              <w:jc w:val="left"/>
              <w:rPr>
                <w:rFonts w:ascii="ARIAL" w:hAnsi="ARIAL"/>
                <w:spacing w:val="0"/>
                <w:sz w:val="16"/>
              </w:rPr>
            </w:pPr>
            <w:r>
              <w:rPr>
                <w:rFonts w:ascii="ARIAL" w:hAnsi="ARIAL"/>
                <w:spacing w:val="0"/>
                <w:sz w:val="16"/>
              </w:rPr>
              <w:t>(non-GAAP)</w:t>
            </w:r>
          </w:p>
          <w:p>
            <w:pPr>
              <w:pStyle w:val="TableContents"/>
              <w:spacing w:before="0" w:after="0"/>
              <w:jc w:val="left"/>
              <w:rPr>
                <w:rFonts w:ascii="ARIAL" w:hAnsi="ARIAL"/>
                <w:sz w:val="16"/>
              </w:rPr>
            </w:pPr>
            <w:r>
              <w:rPr>
                <w:rFonts w:ascii="ARIAL" w:hAnsi="ARIAL"/>
                <w:sz w:val="16"/>
              </w:rPr>
              <w:t xml:space="preserve">basis. A reconciliation from </w:t>
            </w:r>
          </w:p>
          <w:p>
            <w:pPr>
              <w:pStyle w:val="TableContents"/>
              <w:spacing w:before="0" w:after="0"/>
              <w:jc w:val="left"/>
              <w:rPr>
                <w:rFonts w:ascii="ARIAL" w:hAnsi="ARIAL"/>
                <w:spacing w:val="0"/>
                <w:sz w:val="16"/>
              </w:rPr>
            </w:pPr>
            <w:r>
              <w:rPr>
                <w:rFonts w:ascii="ARIAL" w:hAnsi="ARIAL"/>
                <w:spacing w:val="0"/>
                <w:sz w:val="16"/>
              </w:rPr>
              <w:t>non-GAAP</w:t>
            </w:r>
          </w:p>
          <w:p>
            <w:pPr>
              <w:pStyle w:val="TableContents"/>
              <w:spacing w:before="0" w:after="0"/>
              <w:jc w:val="left"/>
              <w:rPr>
                <w:rFonts w:ascii="ARIAL" w:hAnsi="ARIAL"/>
                <w:sz w:val="16"/>
              </w:rPr>
            </w:pPr>
            <w:r>
              <w:rPr>
                <w:rFonts w:ascii="ARIAL" w:hAnsi="ARIAL"/>
                <w:sz w:val="16"/>
              </w:rPr>
              <w:t xml:space="preserve">financial measures to the most comparable GAAP measures and other related information is available in “Appendix A—Reconciliations”. </w:t>
            </w:r>
          </w:p>
        </w:tc>
      </w:tr>
    </w:tbl>
    <w:p>
      <w:pPr>
        <w:pStyle w:val="TextBody"/>
        <w:spacing w:before="240" w:after="0"/>
        <w:jc w:val="left"/>
        <w:rPr>
          <w:rFonts w:ascii="ARIAL" w:hAnsi="ARIAL"/>
          <w:sz w:val="19"/>
        </w:rPr>
      </w:pPr>
      <w:r>
        <w:rPr>
          <w:rFonts w:ascii="ARIAL" w:hAnsi="ARIAL"/>
          <w:sz w:val="19"/>
        </w:rPr>
        <w:t xml:space="preserve">Compensation Actually Paid (“CAP”) illustrated in the table above is calculated by making the following adjustments from the Summary Compensation Table (“SCT”) totals as follows: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292"/>
        <w:gridCol w:w="120"/>
        <w:gridCol w:w="60"/>
        <w:gridCol w:w="140"/>
        <w:gridCol w:w="1233"/>
        <w:gridCol w:w="60"/>
        <w:gridCol w:w="120"/>
        <w:gridCol w:w="60"/>
        <w:gridCol w:w="140"/>
        <w:gridCol w:w="1233"/>
        <w:gridCol w:w="60"/>
        <w:gridCol w:w="120"/>
        <w:gridCol w:w="60"/>
        <w:gridCol w:w="140"/>
        <w:gridCol w:w="1290"/>
        <w:gridCol w:w="77"/>
      </w:tblGrid>
      <w:tr>
        <w:trPr/>
        <w:tc>
          <w:tcPr>
            <w:tcW w:w="529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9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r>
      <w:tr>
        <w:trPr/>
        <w:tc>
          <w:tcPr>
            <w:tcW w:w="5292" w:type="dxa"/>
            <w:tcBorders/>
            <w:shd w:fill="005CB9" w:val="clear"/>
            <w:vAlign w:val="center"/>
          </w:tcPr>
          <w:p>
            <w:pPr>
              <w:pStyle w:val="TableContents"/>
              <w:spacing w:before="0" w:after="0"/>
              <w:rPr>
                <w:color w:val="FFFFFF"/>
                <w:spacing w:val="0"/>
              </w:rPr>
            </w:pPr>
            <w:r>
              <w:rPr>
                <w:color w:val="FFFFFF"/>
                <w:spacing w:val="0"/>
              </w:rPr>
              <w:t>  </w:t>
            </w:r>
            <w:r>
              <w:rPr>
                <w:color w:val="FFFFFF"/>
                <w:spacing w:val="0"/>
              </w:rPr>
              <w:t>Item and Value - Added (Deducted)</w:t>
            </w:r>
          </w:p>
        </w:tc>
        <w:tc>
          <w:tcPr>
            <w:tcW w:w="120" w:type="dxa"/>
            <w:tcBorders/>
            <w:shd w:fill="005CB9" w:val="clear"/>
            <w:vAlign w:val="center"/>
          </w:tcPr>
          <w:p>
            <w:pPr>
              <w:pStyle w:val="TableContents"/>
              <w:spacing w:before="0" w:after="283"/>
              <w:rPr/>
            </w:pPr>
            <w:r>
              <w:rPr/>
              <w:t>  </w:t>
            </w:r>
          </w:p>
        </w:tc>
        <w:tc>
          <w:tcPr>
            <w:tcW w:w="1493" w:type="dxa"/>
            <w:gridSpan w:val="4"/>
            <w:tcBorders/>
            <w:shd w:fill="005CB9" w:val="clear"/>
            <w:vAlign w:val="center"/>
          </w:tcPr>
          <w:p>
            <w:pPr>
              <w:pStyle w:val="TableContents"/>
              <w:spacing w:before="0" w:after="0"/>
              <w:jc w:val="right"/>
              <w:rPr>
                <w:color w:val="FFFFFF"/>
                <w:spacing w:val="0"/>
              </w:rPr>
            </w:pPr>
            <w:r>
              <w:rPr>
                <w:color w:val="FFFFFF"/>
                <w:spacing w:val="0"/>
              </w:rPr>
              <w:t>2022 </w:t>
            </w:r>
          </w:p>
        </w:tc>
        <w:tc>
          <w:tcPr>
            <w:tcW w:w="120" w:type="dxa"/>
            <w:tcBorders/>
            <w:shd w:fill="005CB9" w:val="clear"/>
            <w:vAlign w:val="center"/>
          </w:tcPr>
          <w:p>
            <w:pPr>
              <w:pStyle w:val="TableContents"/>
              <w:spacing w:before="0" w:after="283"/>
              <w:rPr/>
            </w:pPr>
            <w:r>
              <w:rPr/>
              <w:t>  </w:t>
            </w:r>
          </w:p>
        </w:tc>
        <w:tc>
          <w:tcPr>
            <w:tcW w:w="1493" w:type="dxa"/>
            <w:gridSpan w:val="4"/>
            <w:tcBorders/>
            <w:shd w:fill="005CB9" w:val="clear"/>
            <w:vAlign w:val="center"/>
          </w:tcPr>
          <w:p>
            <w:pPr>
              <w:pStyle w:val="TableContents"/>
              <w:spacing w:before="0" w:after="0"/>
              <w:jc w:val="right"/>
              <w:rPr>
                <w:color w:val="FFFFFF"/>
                <w:spacing w:val="0"/>
              </w:rPr>
            </w:pPr>
            <w:r>
              <w:rPr>
                <w:color w:val="FFFFFF"/>
                <w:spacing w:val="0"/>
              </w:rPr>
              <w:t>2021 </w:t>
            </w:r>
          </w:p>
        </w:tc>
        <w:tc>
          <w:tcPr>
            <w:tcW w:w="120" w:type="dxa"/>
            <w:tcBorders/>
            <w:shd w:fill="005CB9" w:val="clear"/>
            <w:vAlign w:val="center"/>
          </w:tcPr>
          <w:p>
            <w:pPr>
              <w:pStyle w:val="TableContents"/>
              <w:spacing w:before="0" w:after="283"/>
              <w:rPr/>
            </w:pPr>
            <w:r>
              <w:rPr/>
              <w:t>  </w:t>
            </w:r>
          </w:p>
        </w:tc>
        <w:tc>
          <w:tcPr>
            <w:tcW w:w="1567" w:type="dxa"/>
            <w:gridSpan w:val="4"/>
            <w:tcBorders/>
            <w:shd w:fill="005CB9" w:val="clear"/>
            <w:vAlign w:val="center"/>
          </w:tcPr>
          <w:p>
            <w:pPr>
              <w:pStyle w:val="TableContents"/>
              <w:spacing w:before="0" w:after="0"/>
              <w:jc w:val="right"/>
              <w:rPr>
                <w:color w:val="FFFFFF"/>
                <w:spacing w:val="0"/>
              </w:rPr>
            </w:pPr>
            <w:r>
              <w:rPr>
                <w:color w:val="FFFFFF"/>
                <w:spacing w:val="0"/>
              </w:rPr>
              <w:t>2020  </w:t>
            </w:r>
          </w:p>
        </w:tc>
      </w:tr>
      <w:tr>
        <w:trPr/>
        <w:tc>
          <w:tcPr>
            <w:tcW w:w="5292" w:type="dxa"/>
            <w:tcBorders/>
            <w:shd w:fill="CCDEF1" w:val="clear"/>
            <w:vAlign w:val="center"/>
          </w:tcPr>
          <w:p>
            <w:pPr>
              <w:pStyle w:val="TableContents"/>
              <w:spacing w:before="0" w:after="283"/>
              <w:rPr/>
            </w:pPr>
            <w:r>
              <w:rPr/>
              <w:t> </w:t>
            </w:r>
          </w:p>
        </w:tc>
        <w:tc>
          <w:tcPr>
            <w:tcW w:w="1613" w:type="dxa"/>
            <w:gridSpan w:val="5"/>
            <w:tcBorders/>
            <w:shd w:fill="CCDEF1" w:val="clear"/>
            <w:vAlign w:val="center"/>
          </w:tcPr>
          <w:p>
            <w:pPr>
              <w:pStyle w:val="TableContents"/>
              <w:spacing w:before="0" w:after="283"/>
              <w:rPr/>
            </w:pPr>
            <w:r>
              <w:rPr/>
              <w:t> </w:t>
            </w:r>
          </w:p>
        </w:tc>
        <w:tc>
          <w:tcPr>
            <w:tcW w:w="1613" w:type="dxa"/>
            <w:gridSpan w:val="5"/>
            <w:tcBorders/>
            <w:shd w:fill="CCDEF1" w:val="clear"/>
            <w:vAlign w:val="center"/>
          </w:tcPr>
          <w:p>
            <w:pPr>
              <w:pStyle w:val="TableContents"/>
              <w:spacing w:before="0" w:after="283"/>
              <w:rPr/>
            </w:pPr>
            <w:r>
              <w:rPr/>
              <w:t> </w:t>
            </w:r>
          </w:p>
        </w:tc>
        <w:tc>
          <w:tcPr>
            <w:tcW w:w="1687" w:type="dxa"/>
            <w:gridSpan w:val="5"/>
            <w:tcBorders/>
            <w:shd w:fill="CCDEF1" w:val="clear"/>
            <w:vAlign w:val="center"/>
          </w:tcPr>
          <w:p>
            <w:pPr>
              <w:pStyle w:val="TableContents"/>
              <w:spacing w:before="0" w:after="283"/>
              <w:rPr/>
            </w:pPr>
            <w:r>
              <w:rPr/>
              <w:t> </w:t>
            </w:r>
          </w:p>
        </w:tc>
      </w:tr>
      <w:tr>
        <w:trPr/>
        <w:tc>
          <w:tcPr>
            <w:tcW w:w="5292" w:type="dxa"/>
            <w:tcBorders/>
            <w:shd w:fill="CCDEF1" w:val="clear"/>
            <w:vAlign w:val="center"/>
          </w:tcPr>
          <w:p>
            <w:pPr>
              <w:pStyle w:val="TableContents"/>
              <w:spacing w:before="0" w:after="0"/>
              <w:rPr>
                <w:rFonts w:ascii="ARIAL" w:hAnsi="ARIAL"/>
                <w:b/>
                <w:sz w:val="19"/>
              </w:rPr>
            </w:pPr>
            <w:r>
              <w:rPr>
                <w:rFonts w:ascii="ARIAL" w:hAnsi="ARIAL"/>
                <w:b/>
                <w:sz w:val="19"/>
              </w:rPr>
              <w:t>For PEO:</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1233"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1233"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1290" w:type="dxa"/>
            <w:tcBorders/>
            <w:shd w:fill="CCDEF1" w:val="clear"/>
            <w:vAlign w:val="center"/>
          </w:tcPr>
          <w:p>
            <w:pPr>
              <w:pStyle w:val="TableContents"/>
              <w:spacing w:before="0" w:after="283"/>
              <w:rPr/>
            </w:pPr>
            <w:r>
              <w:rPr/>
              <w:t> </w:t>
            </w:r>
          </w:p>
        </w:tc>
        <w:tc>
          <w:tcPr>
            <w:tcW w:w="77" w:type="dxa"/>
            <w:tcBorders/>
            <w:shd w:fill="CCDEF1" w:val="clear"/>
            <w:vAlign w:val="center"/>
          </w:tcPr>
          <w:p>
            <w:pPr>
              <w:pStyle w:val="TableContents"/>
              <w:spacing w:before="0" w:after="283"/>
              <w:rPr/>
            </w:pPr>
            <w:r>
              <w:rPr/>
              <w:t> </w:t>
            </w:r>
          </w:p>
        </w:tc>
      </w:tr>
      <w:tr>
        <w:trPr/>
        <w:tc>
          <w:tcPr>
            <w:tcW w:w="5292" w:type="dxa"/>
            <w:tcBorders/>
            <w:shd w:fill="auto" w:val="clear"/>
            <w:vAlign w:val="center"/>
          </w:tcPr>
          <w:p>
            <w:pPr>
              <w:pStyle w:val="TableContents"/>
              <w:spacing w:before="0" w:after="283"/>
              <w:rPr/>
            </w:pPr>
            <w:r>
              <w:rPr/>
              <w:t> </w:t>
            </w:r>
          </w:p>
        </w:tc>
        <w:tc>
          <w:tcPr>
            <w:tcW w:w="1613" w:type="dxa"/>
            <w:gridSpan w:val="5"/>
            <w:tcBorders/>
            <w:shd w:fill="auto" w:val="clear"/>
            <w:vAlign w:val="center"/>
          </w:tcPr>
          <w:p>
            <w:pPr>
              <w:pStyle w:val="TableContents"/>
              <w:spacing w:before="0" w:after="283"/>
              <w:rPr/>
            </w:pPr>
            <w:r>
              <w:rPr/>
              <w:t> </w:t>
            </w:r>
          </w:p>
        </w:tc>
        <w:tc>
          <w:tcPr>
            <w:tcW w:w="1613" w:type="dxa"/>
            <w:gridSpan w:val="5"/>
            <w:tcBorders/>
            <w:shd w:fill="auto" w:val="clear"/>
            <w:vAlign w:val="center"/>
          </w:tcPr>
          <w:p>
            <w:pPr>
              <w:pStyle w:val="TableContents"/>
              <w:spacing w:before="0" w:after="283"/>
              <w:rPr/>
            </w:pPr>
            <w:r>
              <w:rPr/>
              <w:t> </w:t>
            </w:r>
          </w:p>
        </w:tc>
        <w:tc>
          <w:tcPr>
            <w:tcW w:w="1687" w:type="dxa"/>
            <w:gridSpan w:val="5"/>
            <w:tcBorders/>
            <w:shd w:fill="auto" w:val="clear"/>
            <w:vAlign w:val="center"/>
          </w:tcPr>
          <w:p>
            <w:pPr>
              <w:pStyle w:val="TableContents"/>
              <w:spacing w:before="0" w:after="283"/>
              <w:rPr/>
            </w:pPr>
            <w:r>
              <w:rPr/>
              <w:t> </w:t>
            </w:r>
          </w:p>
        </w:tc>
      </w:tr>
      <w:tr>
        <w:trPr/>
        <w:tc>
          <w:tcPr>
            <w:tcW w:w="5292" w:type="dxa"/>
            <w:tcBorders/>
            <w:shd w:fill="auto" w:val="clear"/>
            <w:vAlign w:val="center"/>
          </w:tcPr>
          <w:p>
            <w:pPr>
              <w:pStyle w:val="TableContents"/>
              <w:spacing w:before="0" w:after="0"/>
              <w:rPr>
                <w:rFonts w:ascii="ARIAL" w:hAnsi="ARIAL"/>
                <w:sz w:val="19"/>
              </w:rPr>
            </w:pPr>
            <w:r>
              <w:rPr>
                <w:rFonts w:ascii="ARIAL" w:hAnsi="ARIAL"/>
                <w:sz w:val="19"/>
              </w:rPr>
              <w:t>-SCT “Stock Awards” column value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33" w:type="dxa"/>
            <w:tcBorders/>
            <w:shd w:fill="auto" w:val="clear"/>
            <w:vAlign w:val="center"/>
          </w:tcPr>
          <w:p>
            <w:pPr>
              <w:pStyle w:val="TableContents"/>
              <w:spacing w:before="0" w:after="283"/>
              <w:jc w:val="right"/>
              <w:rPr/>
            </w:pPr>
            <w:r>
              <w:rPr/>
              <w:t>(13,896,152)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33" w:type="dxa"/>
            <w:tcBorders/>
            <w:shd w:fill="auto" w:val="clear"/>
            <w:vAlign w:val="center"/>
          </w:tcPr>
          <w:p>
            <w:pPr>
              <w:pStyle w:val="TableContents"/>
              <w:spacing w:before="0" w:after="283"/>
              <w:jc w:val="right"/>
              <w:rPr/>
            </w:pPr>
            <w:r>
              <w:rPr/>
              <w:t>(12,946,468)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90" w:type="dxa"/>
            <w:tcBorders/>
            <w:shd w:fill="auto" w:val="clear"/>
            <w:vAlign w:val="center"/>
          </w:tcPr>
          <w:p>
            <w:pPr>
              <w:pStyle w:val="TableContents"/>
              <w:spacing w:before="0" w:after="283"/>
              <w:jc w:val="right"/>
              <w:rPr/>
            </w:pPr>
            <w:r>
              <w:rPr/>
              <w:t>(13,091,674) </w:t>
            </w:r>
          </w:p>
        </w:tc>
        <w:tc>
          <w:tcPr>
            <w:tcW w:w="77" w:type="dxa"/>
            <w:tcBorders/>
            <w:shd w:fill="auto" w:val="clear"/>
            <w:vAlign w:val="center"/>
          </w:tcPr>
          <w:p>
            <w:pPr>
              <w:pStyle w:val="TableContents"/>
              <w:spacing w:before="0" w:after="283"/>
              <w:rPr/>
            </w:pPr>
            <w:r>
              <w:rPr/>
              <w:t> </w:t>
            </w:r>
          </w:p>
        </w:tc>
      </w:tr>
      <w:tr>
        <w:trPr/>
        <w:tc>
          <w:tcPr>
            <w:tcW w:w="5292" w:type="dxa"/>
            <w:tcBorders/>
            <w:shd w:fill="CCDEF1" w:val="clear"/>
            <w:vAlign w:val="center"/>
          </w:tcPr>
          <w:p>
            <w:pPr>
              <w:pStyle w:val="TableContents"/>
              <w:spacing w:before="0" w:after="283"/>
              <w:rPr/>
            </w:pPr>
            <w:r>
              <w:rPr/>
              <w:t> </w:t>
            </w:r>
          </w:p>
        </w:tc>
        <w:tc>
          <w:tcPr>
            <w:tcW w:w="1613" w:type="dxa"/>
            <w:gridSpan w:val="5"/>
            <w:tcBorders/>
            <w:shd w:fill="CCDEF1" w:val="clear"/>
            <w:vAlign w:val="center"/>
          </w:tcPr>
          <w:p>
            <w:pPr>
              <w:pStyle w:val="TableContents"/>
              <w:spacing w:before="0" w:after="283"/>
              <w:rPr/>
            </w:pPr>
            <w:r>
              <w:rPr/>
              <w:t> </w:t>
            </w:r>
          </w:p>
        </w:tc>
        <w:tc>
          <w:tcPr>
            <w:tcW w:w="1613" w:type="dxa"/>
            <w:gridSpan w:val="5"/>
            <w:tcBorders/>
            <w:shd w:fill="CCDEF1" w:val="clear"/>
            <w:vAlign w:val="center"/>
          </w:tcPr>
          <w:p>
            <w:pPr>
              <w:pStyle w:val="TableContents"/>
              <w:spacing w:before="0" w:after="283"/>
              <w:rPr/>
            </w:pPr>
            <w:r>
              <w:rPr/>
              <w:t> </w:t>
            </w:r>
          </w:p>
        </w:tc>
        <w:tc>
          <w:tcPr>
            <w:tcW w:w="1687" w:type="dxa"/>
            <w:gridSpan w:val="5"/>
            <w:tcBorders/>
            <w:shd w:fill="CCDEF1" w:val="clear"/>
            <w:vAlign w:val="center"/>
          </w:tcPr>
          <w:p>
            <w:pPr>
              <w:pStyle w:val="TableContents"/>
              <w:spacing w:before="0" w:after="283"/>
              <w:rPr/>
            </w:pPr>
            <w:r>
              <w:rPr/>
              <w:t> </w:t>
            </w:r>
          </w:p>
        </w:tc>
      </w:tr>
      <w:tr>
        <w:trPr/>
        <w:tc>
          <w:tcPr>
            <w:tcW w:w="5292" w:type="dxa"/>
            <w:tcBorders/>
            <w:shd w:fill="CCDEF1" w:val="clear"/>
            <w:vAlign w:val="center"/>
          </w:tcPr>
          <w:p>
            <w:pPr>
              <w:pStyle w:val="TableContents"/>
              <w:spacing w:before="0" w:after="0"/>
              <w:rPr>
                <w:rFonts w:ascii="ARIAL" w:hAnsi="ARIAL"/>
                <w:sz w:val="19"/>
              </w:rPr>
            </w:pPr>
            <w:r>
              <w:rPr>
                <w:rFonts w:ascii="ARIAL" w:hAnsi="ARIAL"/>
                <w:sz w:val="19"/>
              </w:rPr>
              <w:t>-SCT “Option Awards” column value</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1233" w:type="dxa"/>
            <w:tcBorders/>
            <w:shd w:fill="CCDEF1" w:val="clear"/>
            <w:vAlign w:val="center"/>
          </w:tcPr>
          <w:p>
            <w:pPr>
              <w:pStyle w:val="TableContents"/>
              <w:spacing w:before="0" w:after="283"/>
              <w:jc w:val="right"/>
              <w:rPr/>
            </w:pPr>
            <w:r>
              <w:rPr/>
              <w:t>(4,632,053)</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1233" w:type="dxa"/>
            <w:tcBorders/>
            <w:shd w:fill="CCDEF1" w:val="clear"/>
            <w:vAlign w:val="center"/>
          </w:tcPr>
          <w:p>
            <w:pPr>
              <w:pStyle w:val="TableContents"/>
              <w:spacing w:before="0" w:after="283"/>
              <w:jc w:val="right"/>
              <w:rPr/>
            </w:pPr>
            <w:r>
              <w:rPr/>
              <w:t>(4,425,029)</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1290" w:type="dxa"/>
            <w:tcBorders/>
            <w:shd w:fill="CCDEF1" w:val="clear"/>
            <w:vAlign w:val="center"/>
          </w:tcPr>
          <w:p>
            <w:pPr>
              <w:pStyle w:val="TableContents"/>
              <w:spacing w:before="0" w:after="283"/>
              <w:jc w:val="right"/>
              <w:rPr/>
            </w:pPr>
            <w:r>
              <w:rPr/>
              <w:t>(4,249,979) </w:t>
            </w:r>
          </w:p>
        </w:tc>
        <w:tc>
          <w:tcPr>
            <w:tcW w:w="77" w:type="dxa"/>
            <w:tcBorders/>
            <w:shd w:fill="CCDEF1" w:val="clear"/>
            <w:vAlign w:val="center"/>
          </w:tcPr>
          <w:p>
            <w:pPr>
              <w:pStyle w:val="TableContents"/>
              <w:spacing w:before="0" w:after="283"/>
              <w:rPr/>
            </w:pPr>
            <w:r>
              <w:rPr/>
              <w:t> </w:t>
            </w:r>
          </w:p>
        </w:tc>
      </w:tr>
      <w:tr>
        <w:trPr/>
        <w:tc>
          <w:tcPr>
            <w:tcW w:w="5292" w:type="dxa"/>
            <w:tcBorders/>
            <w:shd w:fill="auto" w:val="clear"/>
            <w:vAlign w:val="center"/>
          </w:tcPr>
          <w:p>
            <w:pPr>
              <w:pStyle w:val="TableContents"/>
              <w:spacing w:before="0" w:after="283"/>
              <w:rPr/>
            </w:pPr>
            <w:r>
              <w:rPr/>
              <w:t> </w:t>
            </w:r>
          </w:p>
        </w:tc>
        <w:tc>
          <w:tcPr>
            <w:tcW w:w="1613" w:type="dxa"/>
            <w:gridSpan w:val="5"/>
            <w:tcBorders/>
            <w:shd w:fill="auto" w:val="clear"/>
            <w:vAlign w:val="center"/>
          </w:tcPr>
          <w:p>
            <w:pPr>
              <w:pStyle w:val="TableContents"/>
              <w:spacing w:before="0" w:after="283"/>
              <w:rPr/>
            </w:pPr>
            <w:r>
              <w:rPr/>
              <w:t> </w:t>
            </w:r>
          </w:p>
        </w:tc>
        <w:tc>
          <w:tcPr>
            <w:tcW w:w="1613" w:type="dxa"/>
            <w:gridSpan w:val="5"/>
            <w:tcBorders/>
            <w:shd w:fill="auto" w:val="clear"/>
            <w:vAlign w:val="center"/>
          </w:tcPr>
          <w:p>
            <w:pPr>
              <w:pStyle w:val="TableContents"/>
              <w:spacing w:before="0" w:after="283"/>
              <w:rPr/>
            </w:pPr>
            <w:r>
              <w:rPr/>
              <w:t> </w:t>
            </w:r>
          </w:p>
        </w:tc>
        <w:tc>
          <w:tcPr>
            <w:tcW w:w="1687" w:type="dxa"/>
            <w:gridSpan w:val="5"/>
            <w:tcBorders/>
            <w:shd w:fill="auto" w:val="clear"/>
            <w:vAlign w:val="center"/>
          </w:tcPr>
          <w:p>
            <w:pPr>
              <w:pStyle w:val="TableContents"/>
              <w:spacing w:before="0" w:after="283"/>
              <w:rPr/>
            </w:pPr>
            <w:r>
              <w:rPr/>
              <w:t> </w:t>
            </w:r>
          </w:p>
        </w:tc>
      </w:tr>
      <w:tr>
        <w:trPr/>
        <w:tc>
          <w:tcPr>
            <w:tcW w:w="5292" w:type="dxa"/>
            <w:tcBorders/>
            <w:shd w:fill="auto" w:val="clear"/>
            <w:vAlign w:val="center"/>
          </w:tcPr>
          <w:p>
            <w:pPr>
              <w:pStyle w:val="TableContents"/>
              <w:spacing w:before="0" w:after="0"/>
              <w:rPr>
                <w:rFonts w:ascii="ARIAL" w:hAnsi="ARIAL"/>
                <w:sz w:val="19"/>
              </w:rPr>
            </w:pPr>
            <w:r>
              <w:rPr>
                <w:rFonts w:ascii="ARIAL" w:hAnsi="ARIAL"/>
                <w:sz w:val="19"/>
              </w:rPr>
              <w:t xml:space="preserve">+ </w:t>
            </w:r>
          </w:p>
          <w:p>
            <w:pPr>
              <w:pStyle w:val="TableContents"/>
              <w:spacing w:before="0" w:after="0"/>
              <w:rPr>
                <w:rFonts w:ascii="ARIAL" w:hAnsi="ARIAL"/>
                <w:spacing w:val="0"/>
                <w:sz w:val="19"/>
              </w:rPr>
            </w:pPr>
            <w:r>
              <w:rPr>
                <w:rFonts w:ascii="ARIAL" w:hAnsi="ARIAL"/>
                <w:spacing w:val="0"/>
                <w:sz w:val="19"/>
              </w:rPr>
              <w:t>year-end</w:t>
            </w:r>
          </w:p>
          <w:p>
            <w:pPr>
              <w:pStyle w:val="TableContents"/>
              <w:spacing w:before="0" w:after="0"/>
              <w:rPr>
                <w:rFonts w:ascii="ARIAL" w:hAnsi="ARIAL"/>
                <w:sz w:val="19"/>
              </w:rPr>
            </w:pPr>
            <w:r>
              <w:rPr>
                <w:rFonts w:ascii="ARIAL" w:hAnsi="ARIAL"/>
                <w:sz w:val="19"/>
              </w:rPr>
              <w:t>fair value of outstanding equity awards granted in Covered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33" w:type="dxa"/>
            <w:tcBorders/>
            <w:shd w:fill="auto" w:val="clear"/>
            <w:vAlign w:val="center"/>
          </w:tcPr>
          <w:p>
            <w:pPr>
              <w:pStyle w:val="TableContents"/>
              <w:spacing w:before="0" w:after="283"/>
              <w:jc w:val="right"/>
              <w:rPr/>
            </w:pPr>
            <w:r>
              <w:rPr/>
              <w:t>17,314,227 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33" w:type="dxa"/>
            <w:tcBorders/>
            <w:shd w:fill="auto" w:val="clear"/>
            <w:vAlign w:val="center"/>
          </w:tcPr>
          <w:p>
            <w:pPr>
              <w:pStyle w:val="TableContents"/>
              <w:spacing w:before="0" w:after="283"/>
              <w:jc w:val="right"/>
              <w:rPr/>
            </w:pPr>
            <w:r>
              <w:rPr/>
              <w:t>22,368,375 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90" w:type="dxa"/>
            <w:tcBorders/>
            <w:shd w:fill="auto" w:val="clear"/>
            <w:vAlign w:val="center"/>
          </w:tcPr>
          <w:p>
            <w:pPr>
              <w:pStyle w:val="TableContents"/>
              <w:spacing w:before="0" w:after="283"/>
              <w:jc w:val="right"/>
              <w:rPr/>
            </w:pPr>
            <w:r>
              <w:rPr/>
              <w:t>21,693,698  </w:t>
            </w:r>
          </w:p>
        </w:tc>
        <w:tc>
          <w:tcPr>
            <w:tcW w:w="77" w:type="dxa"/>
            <w:tcBorders/>
            <w:shd w:fill="auto" w:val="clear"/>
            <w:vAlign w:val="center"/>
          </w:tcPr>
          <w:p>
            <w:pPr>
              <w:pStyle w:val="TableContents"/>
              <w:spacing w:before="0" w:after="283"/>
              <w:rPr/>
            </w:pPr>
            <w:r>
              <w:rPr/>
              <w:t> </w:t>
            </w:r>
          </w:p>
        </w:tc>
      </w:tr>
      <w:tr>
        <w:trPr/>
        <w:tc>
          <w:tcPr>
            <w:tcW w:w="5292" w:type="dxa"/>
            <w:tcBorders/>
            <w:shd w:fill="CCDEF1" w:val="clear"/>
            <w:vAlign w:val="center"/>
          </w:tcPr>
          <w:p>
            <w:pPr>
              <w:pStyle w:val="TableContents"/>
              <w:spacing w:before="0" w:after="283"/>
              <w:rPr/>
            </w:pPr>
            <w:r>
              <w:rPr/>
              <w:t> </w:t>
            </w:r>
          </w:p>
        </w:tc>
        <w:tc>
          <w:tcPr>
            <w:tcW w:w="1613" w:type="dxa"/>
            <w:gridSpan w:val="5"/>
            <w:tcBorders/>
            <w:shd w:fill="CCDEF1" w:val="clear"/>
            <w:vAlign w:val="center"/>
          </w:tcPr>
          <w:p>
            <w:pPr>
              <w:pStyle w:val="TableContents"/>
              <w:spacing w:before="0" w:after="283"/>
              <w:rPr/>
            </w:pPr>
            <w:r>
              <w:rPr/>
              <w:t> </w:t>
            </w:r>
          </w:p>
        </w:tc>
        <w:tc>
          <w:tcPr>
            <w:tcW w:w="1613" w:type="dxa"/>
            <w:gridSpan w:val="5"/>
            <w:tcBorders/>
            <w:shd w:fill="CCDEF1" w:val="clear"/>
            <w:vAlign w:val="center"/>
          </w:tcPr>
          <w:p>
            <w:pPr>
              <w:pStyle w:val="TableContents"/>
              <w:spacing w:before="0" w:after="283"/>
              <w:rPr/>
            </w:pPr>
            <w:r>
              <w:rPr/>
              <w:t> </w:t>
            </w:r>
          </w:p>
        </w:tc>
        <w:tc>
          <w:tcPr>
            <w:tcW w:w="1687" w:type="dxa"/>
            <w:gridSpan w:val="5"/>
            <w:tcBorders/>
            <w:shd w:fill="CCDEF1" w:val="clear"/>
            <w:vAlign w:val="center"/>
          </w:tcPr>
          <w:p>
            <w:pPr>
              <w:pStyle w:val="TableContents"/>
              <w:spacing w:before="0" w:after="283"/>
              <w:rPr/>
            </w:pPr>
            <w:r>
              <w:rPr/>
              <w:t> </w:t>
            </w:r>
          </w:p>
        </w:tc>
      </w:tr>
      <w:tr>
        <w:trPr/>
        <w:tc>
          <w:tcPr>
            <w:tcW w:w="5292" w:type="dxa"/>
            <w:tcBorders/>
            <w:shd w:fill="CCDEF1" w:val="clear"/>
            <w:vAlign w:val="center"/>
          </w:tcPr>
          <w:p>
            <w:pPr>
              <w:pStyle w:val="TableContents"/>
              <w:spacing w:before="0" w:after="0"/>
              <w:rPr>
                <w:rFonts w:ascii="ARIAL" w:hAnsi="ARIAL"/>
                <w:sz w:val="19"/>
              </w:rPr>
            </w:pPr>
            <w:r>
              <w:rPr>
                <w:rFonts w:ascii="ARIAL" w:hAnsi="ARIAL"/>
                <w:sz w:val="19"/>
              </w:rPr>
              <w:t>+/- change in fair value of outstanding equity awards granted in prior years</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1233" w:type="dxa"/>
            <w:tcBorders/>
            <w:shd w:fill="CCDEF1" w:val="clear"/>
            <w:vAlign w:val="center"/>
          </w:tcPr>
          <w:p>
            <w:pPr>
              <w:pStyle w:val="TableContents"/>
              <w:spacing w:before="0" w:after="283"/>
              <w:jc w:val="right"/>
              <w:rPr/>
            </w:pPr>
            <w:r>
              <w:rPr/>
              <w:t>(5,664,370)</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1233" w:type="dxa"/>
            <w:tcBorders/>
            <w:shd w:fill="CCDEF1" w:val="clear"/>
            <w:vAlign w:val="center"/>
          </w:tcPr>
          <w:p>
            <w:pPr>
              <w:pStyle w:val="TableContents"/>
              <w:spacing w:before="0" w:after="283"/>
              <w:jc w:val="right"/>
              <w:rPr/>
            </w:pPr>
            <w:r>
              <w:rPr/>
              <w:t>7,832,790 </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1290" w:type="dxa"/>
            <w:tcBorders/>
            <w:shd w:fill="CCDEF1" w:val="clear"/>
            <w:vAlign w:val="center"/>
          </w:tcPr>
          <w:p>
            <w:pPr>
              <w:pStyle w:val="TableContents"/>
              <w:spacing w:before="0" w:after="283"/>
              <w:jc w:val="right"/>
              <w:rPr/>
            </w:pPr>
            <w:r>
              <w:rPr/>
              <w:t>9,312,916  </w:t>
            </w:r>
          </w:p>
        </w:tc>
        <w:tc>
          <w:tcPr>
            <w:tcW w:w="77" w:type="dxa"/>
            <w:tcBorders/>
            <w:shd w:fill="CCDEF1" w:val="clear"/>
            <w:vAlign w:val="center"/>
          </w:tcPr>
          <w:p>
            <w:pPr>
              <w:pStyle w:val="TableContents"/>
              <w:spacing w:before="0" w:after="283"/>
              <w:rPr/>
            </w:pPr>
            <w:r>
              <w:rPr/>
              <w:t> </w:t>
            </w:r>
          </w:p>
        </w:tc>
      </w:tr>
      <w:tr>
        <w:trPr/>
        <w:tc>
          <w:tcPr>
            <w:tcW w:w="5292" w:type="dxa"/>
            <w:tcBorders/>
            <w:shd w:fill="auto" w:val="clear"/>
            <w:vAlign w:val="center"/>
          </w:tcPr>
          <w:p>
            <w:pPr>
              <w:pStyle w:val="TableContents"/>
              <w:spacing w:before="0" w:after="283"/>
              <w:rPr/>
            </w:pPr>
            <w:r>
              <w:rPr/>
              <w:t> </w:t>
            </w:r>
          </w:p>
        </w:tc>
        <w:tc>
          <w:tcPr>
            <w:tcW w:w="1613" w:type="dxa"/>
            <w:gridSpan w:val="5"/>
            <w:tcBorders/>
            <w:shd w:fill="auto" w:val="clear"/>
            <w:vAlign w:val="center"/>
          </w:tcPr>
          <w:p>
            <w:pPr>
              <w:pStyle w:val="TableContents"/>
              <w:spacing w:before="0" w:after="283"/>
              <w:rPr/>
            </w:pPr>
            <w:r>
              <w:rPr/>
              <w:t> </w:t>
            </w:r>
          </w:p>
        </w:tc>
        <w:tc>
          <w:tcPr>
            <w:tcW w:w="1613" w:type="dxa"/>
            <w:gridSpan w:val="5"/>
            <w:tcBorders/>
            <w:shd w:fill="auto" w:val="clear"/>
            <w:vAlign w:val="center"/>
          </w:tcPr>
          <w:p>
            <w:pPr>
              <w:pStyle w:val="TableContents"/>
              <w:spacing w:before="0" w:after="283"/>
              <w:rPr/>
            </w:pPr>
            <w:r>
              <w:rPr/>
              <w:t> </w:t>
            </w:r>
          </w:p>
        </w:tc>
        <w:tc>
          <w:tcPr>
            <w:tcW w:w="1687" w:type="dxa"/>
            <w:gridSpan w:val="5"/>
            <w:tcBorders/>
            <w:shd w:fill="auto" w:val="clear"/>
            <w:vAlign w:val="center"/>
          </w:tcPr>
          <w:p>
            <w:pPr>
              <w:pStyle w:val="TableContents"/>
              <w:spacing w:before="0" w:after="283"/>
              <w:rPr/>
            </w:pPr>
            <w:r>
              <w:rPr/>
              <w:t> </w:t>
            </w:r>
          </w:p>
        </w:tc>
      </w:tr>
      <w:tr>
        <w:trPr/>
        <w:tc>
          <w:tcPr>
            <w:tcW w:w="5292" w:type="dxa"/>
            <w:tcBorders/>
            <w:shd w:fill="auto" w:val="clear"/>
            <w:vAlign w:val="center"/>
          </w:tcPr>
          <w:p>
            <w:pPr>
              <w:pStyle w:val="TableContents"/>
              <w:spacing w:before="0" w:after="0"/>
              <w:rPr>
                <w:rFonts w:ascii="ARIAL" w:hAnsi="ARIAL"/>
                <w:sz w:val="19"/>
              </w:rPr>
            </w:pPr>
            <w:r>
              <w:rPr>
                <w:rFonts w:ascii="ARIAL" w:hAnsi="ARIAL"/>
                <w:sz w:val="19"/>
              </w:rPr>
              <w:t>+/- change in fair value of prior-year equity awards vested in Covered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33" w:type="dxa"/>
            <w:tcBorders/>
            <w:shd w:fill="auto" w:val="clear"/>
            <w:vAlign w:val="center"/>
          </w:tcPr>
          <w:p>
            <w:pPr>
              <w:pStyle w:val="TableContents"/>
              <w:spacing w:before="0" w:after="283"/>
              <w:jc w:val="right"/>
              <w:rPr/>
            </w:pPr>
            <w:r>
              <w:rPr/>
              <w:t>(6,656,446)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33" w:type="dxa"/>
            <w:tcBorders/>
            <w:shd w:fill="auto" w:val="clear"/>
            <w:vAlign w:val="center"/>
          </w:tcPr>
          <w:p>
            <w:pPr>
              <w:pStyle w:val="TableContents"/>
              <w:spacing w:before="0" w:after="283"/>
              <w:jc w:val="right"/>
              <w:rPr/>
            </w:pPr>
            <w:r>
              <w:rPr/>
              <w:t>229,515 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90" w:type="dxa"/>
            <w:tcBorders/>
            <w:shd w:fill="auto" w:val="clear"/>
            <w:vAlign w:val="center"/>
          </w:tcPr>
          <w:p>
            <w:pPr>
              <w:pStyle w:val="TableContents"/>
              <w:spacing w:before="0" w:after="283"/>
              <w:jc w:val="right"/>
              <w:rPr/>
            </w:pPr>
            <w:r>
              <w:rPr/>
              <w:t>3,772,165  </w:t>
            </w:r>
          </w:p>
        </w:tc>
        <w:tc>
          <w:tcPr>
            <w:tcW w:w="77" w:type="dxa"/>
            <w:tcBorders/>
            <w:shd w:fill="auto" w:val="clear"/>
            <w:vAlign w:val="center"/>
          </w:tcPr>
          <w:p>
            <w:pPr>
              <w:pStyle w:val="TableContents"/>
              <w:spacing w:before="0" w:after="283"/>
              <w:rPr/>
            </w:pPr>
            <w:r>
              <w:rPr/>
              <w:t> </w:t>
            </w:r>
          </w:p>
        </w:tc>
      </w:tr>
      <w:tr>
        <w:trPr/>
        <w:tc>
          <w:tcPr>
            <w:tcW w:w="5292" w:type="dxa"/>
            <w:tcBorders/>
            <w:shd w:fill="CCDEF1" w:val="clear"/>
            <w:vAlign w:val="center"/>
          </w:tcPr>
          <w:p>
            <w:pPr>
              <w:pStyle w:val="TableContents"/>
              <w:spacing w:before="0" w:after="283"/>
              <w:rPr/>
            </w:pPr>
            <w:r>
              <w:rPr/>
              <w:t> </w:t>
            </w:r>
          </w:p>
        </w:tc>
        <w:tc>
          <w:tcPr>
            <w:tcW w:w="1613" w:type="dxa"/>
            <w:gridSpan w:val="5"/>
            <w:tcBorders/>
            <w:shd w:fill="CCDEF1" w:val="clear"/>
            <w:vAlign w:val="center"/>
          </w:tcPr>
          <w:p>
            <w:pPr>
              <w:pStyle w:val="TableContents"/>
              <w:spacing w:before="0" w:after="283"/>
              <w:rPr/>
            </w:pPr>
            <w:r>
              <w:rPr/>
              <w:t> </w:t>
            </w:r>
          </w:p>
        </w:tc>
        <w:tc>
          <w:tcPr>
            <w:tcW w:w="1613" w:type="dxa"/>
            <w:gridSpan w:val="5"/>
            <w:tcBorders/>
            <w:shd w:fill="CCDEF1" w:val="clear"/>
            <w:vAlign w:val="center"/>
          </w:tcPr>
          <w:p>
            <w:pPr>
              <w:pStyle w:val="TableContents"/>
              <w:spacing w:before="0" w:after="283"/>
              <w:rPr/>
            </w:pPr>
            <w:r>
              <w:rPr/>
              <w:t> </w:t>
            </w:r>
          </w:p>
        </w:tc>
        <w:tc>
          <w:tcPr>
            <w:tcW w:w="1687" w:type="dxa"/>
            <w:gridSpan w:val="5"/>
            <w:tcBorders/>
            <w:shd w:fill="CCDEF1" w:val="clear"/>
            <w:vAlign w:val="center"/>
          </w:tcPr>
          <w:p>
            <w:pPr>
              <w:pStyle w:val="TableContents"/>
              <w:spacing w:before="0" w:after="283"/>
              <w:rPr/>
            </w:pPr>
            <w:r>
              <w:rPr/>
              <w:t> </w:t>
            </w:r>
          </w:p>
        </w:tc>
      </w:tr>
      <w:tr>
        <w:trPr/>
        <w:tc>
          <w:tcPr>
            <w:tcW w:w="5292" w:type="dxa"/>
            <w:tcBorders/>
            <w:shd w:fill="CCDEF1" w:val="clear"/>
            <w:vAlign w:val="center"/>
          </w:tcPr>
          <w:p>
            <w:pPr>
              <w:pStyle w:val="TableContents"/>
              <w:spacing w:before="0" w:after="0"/>
              <w:rPr>
                <w:rFonts w:ascii="ARIAL" w:hAnsi="ARIAL"/>
                <w:b/>
                <w:sz w:val="19"/>
              </w:rPr>
            </w:pPr>
            <w:r>
              <w:rPr>
                <w:rFonts w:ascii="ARIAL" w:hAnsi="ARIAL"/>
                <w:b/>
                <w:sz w:val="19"/>
              </w:rPr>
              <w:t xml:space="preserve">For </w:t>
            </w:r>
          </w:p>
          <w:p>
            <w:pPr>
              <w:pStyle w:val="TableContents"/>
              <w:spacing w:before="0" w:after="0"/>
              <w:rPr>
                <w:rFonts w:ascii="ARIAL" w:hAnsi="ARIAL"/>
                <w:b/>
                <w:spacing w:val="0"/>
                <w:sz w:val="19"/>
              </w:rPr>
            </w:pPr>
            <w:r>
              <w:rPr>
                <w:rFonts w:ascii="ARIAL" w:hAnsi="ARIAL"/>
                <w:b/>
                <w:spacing w:val="0"/>
                <w:sz w:val="19"/>
              </w:rPr>
              <w:t>Non-PEO</w:t>
            </w:r>
          </w:p>
          <w:p>
            <w:pPr>
              <w:pStyle w:val="TableContents"/>
              <w:spacing w:before="0" w:after="0"/>
              <w:rPr>
                <w:rFonts w:ascii="ARIAL" w:hAnsi="ARIAL"/>
                <w:b/>
                <w:sz w:val="19"/>
              </w:rPr>
            </w:pPr>
            <w:r>
              <w:rPr>
                <w:rFonts w:ascii="ARIAL" w:hAnsi="ARIAL"/>
                <w:b/>
                <w:sz w:val="19"/>
              </w:rPr>
              <w:t>Named Executive Officers (Average):</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1233"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1233"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1290" w:type="dxa"/>
            <w:tcBorders/>
            <w:shd w:fill="CCDEF1" w:val="clear"/>
            <w:vAlign w:val="center"/>
          </w:tcPr>
          <w:p>
            <w:pPr>
              <w:pStyle w:val="TableContents"/>
              <w:spacing w:before="0" w:after="283"/>
              <w:rPr/>
            </w:pPr>
            <w:r>
              <w:rPr/>
              <w:t> </w:t>
            </w:r>
          </w:p>
        </w:tc>
        <w:tc>
          <w:tcPr>
            <w:tcW w:w="77" w:type="dxa"/>
            <w:tcBorders/>
            <w:shd w:fill="CCDEF1" w:val="clear"/>
            <w:vAlign w:val="center"/>
          </w:tcPr>
          <w:p>
            <w:pPr>
              <w:pStyle w:val="TableContents"/>
              <w:spacing w:before="0" w:after="283"/>
              <w:rPr/>
            </w:pPr>
            <w:r>
              <w:rPr/>
              <w:t> </w:t>
            </w:r>
          </w:p>
        </w:tc>
      </w:tr>
      <w:tr>
        <w:trPr/>
        <w:tc>
          <w:tcPr>
            <w:tcW w:w="5292" w:type="dxa"/>
            <w:tcBorders/>
            <w:shd w:fill="auto" w:val="clear"/>
            <w:vAlign w:val="center"/>
          </w:tcPr>
          <w:p>
            <w:pPr>
              <w:pStyle w:val="TableContents"/>
              <w:spacing w:before="0" w:after="283"/>
              <w:rPr/>
            </w:pPr>
            <w:r>
              <w:rPr/>
              <w:t> </w:t>
            </w:r>
          </w:p>
        </w:tc>
        <w:tc>
          <w:tcPr>
            <w:tcW w:w="1613" w:type="dxa"/>
            <w:gridSpan w:val="5"/>
            <w:tcBorders/>
            <w:shd w:fill="auto" w:val="clear"/>
            <w:vAlign w:val="center"/>
          </w:tcPr>
          <w:p>
            <w:pPr>
              <w:pStyle w:val="TableContents"/>
              <w:spacing w:before="0" w:after="283"/>
              <w:rPr/>
            </w:pPr>
            <w:r>
              <w:rPr/>
              <w:t> </w:t>
            </w:r>
          </w:p>
        </w:tc>
        <w:tc>
          <w:tcPr>
            <w:tcW w:w="1613" w:type="dxa"/>
            <w:gridSpan w:val="5"/>
            <w:tcBorders/>
            <w:shd w:fill="auto" w:val="clear"/>
            <w:vAlign w:val="center"/>
          </w:tcPr>
          <w:p>
            <w:pPr>
              <w:pStyle w:val="TableContents"/>
              <w:spacing w:before="0" w:after="283"/>
              <w:rPr/>
            </w:pPr>
            <w:r>
              <w:rPr/>
              <w:t> </w:t>
            </w:r>
          </w:p>
        </w:tc>
        <w:tc>
          <w:tcPr>
            <w:tcW w:w="1687" w:type="dxa"/>
            <w:gridSpan w:val="5"/>
            <w:tcBorders/>
            <w:shd w:fill="auto" w:val="clear"/>
            <w:vAlign w:val="center"/>
          </w:tcPr>
          <w:p>
            <w:pPr>
              <w:pStyle w:val="TableContents"/>
              <w:spacing w:before="0" w:after="283"/>
              <w:rPr/>
            </w:pPr>
            <w:r>
              <w:rPr/>
              <w:t> </w:t>
            </w:r>
          </w:p>
        </w:tc>
      </w:tr>
      <w:tr>
        <w:trPr/>
        <w:tc>
          <w:tcPr>
            <w:tcW w:w="5292" w:type="dxa"/>
            <w:tcBorders/>
            <w:shd w:fill="auto" w:val="clear"/>
            <w:vAlign w:val="center"/>
          </w:tcPr>
          <w:p>
            <w:pPr>
              <w:pStyle w:val="TableContents"/>
              <w:spacing w:before="0" w:after="0"/>
              <w:rPr>
                <w:rFonts w:ascii="ARIAL" w:hAnsi="ARIAL"/>
                <w:sz w:val="19"/>
              </w:rPr>
            </w:pPr>
            <w:r>
              <w:rPr>
                <w:rFonts w:ascii="ARIAL" w:hAnsi="ARIAL"/>
                <w:sz w:val="19"/>
              </w:rPr>
              <w:t>-SCT “Stock Awards” column value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33" w:type="dxa"/>
            <w:tcBorders/>
            <w:shd w:fill="auto" w:val="clear"/>
            <w:vAlign w:val="center"/>
          </w:tcPr>
          <w:p>
            <w:pPr>
              <w:pStyle w:val="TableContents"/>
              <w:spacing w:before="0" w:after="283"/>
              <w:jc w:val="right"/>
              <w:rPr/>
            </w:pPr>
            <w:r>
              <w:rPr/>
              <w:t>(3,233,282)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33" w:type="dxa"/>
            <w:tcBorders/>
            <w:shd w:fill="auto" w:val="clear"/>
            <w:vAlign w:val="center"/>
          </w:tcPr>
          <w:p>
            <w:pPr>
              <w:pStyle w:val="TableContents"/>
              <w:spacing w:before="0" w:after="283"/>
              <w:jc w:val="right"/>
              <w:rPr/>
            </w:pPr>
            <w:r>
              <w:rPr/>
              <w:t>(2,998,780)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90" w:type="dxa"/>
            <w:tcBorders/>
            <w:shd w:fill="auto" w:val="clear"/>
            <w:vAlign w:val="center"/>
          </w:tcPr>
          <w:p>
            <w:pPr>
              <w:pStyle w:val="TableContents"/>
              <w:spacing w:before="0" w:after="283"/>
              <w:jc w:val="right"/>
              <w:rPr/>
            </w:pPr>
            <w:r>
              <w:rPr/>
              <w:t>(3,011,974) </w:t>
            </w:r>
          </w:p>
        </w:tc>
        <w:tc>
          <w:tcPr>
            <w:tcW w:w="77" w:type="dxa"/>
            <w:tcBorders/>
            <w:shd w:fill="auto" w:val="clear"/>
            <w:vAlign w:val="center"/>
          </w:tcPr>
          <w:p>
            <w:pPr>
              <w:pStyle w:val="TableContents"/>
              <w:spacing w:before="0" w:after="283"/>
              <w:rPr/>
            </w:pPr>
            <w:r>
              <w:rPr/>
              <w:t> </w:t>
            </w:r>
          </w:p>
        </w:tc>
      </w:tr>
      <w:tr>
        <w:trPr/>
        <w:tc>
          <w:tcPr>
            <w:tcW w:w="5292" w:type="dxa"/>
            <w:tcBorders/>
            <w:shd w:fill="CCDEF1" w:val="clear"/>
            <w:vAlign w:val="center"/>
          </w:tcPr>
          <w:p>
            <w:pPr>
              <w:pStyle w:val="TableContents"/>
              <w:spacing w:before="0" w:after="283"/>
              <w:rPr/>
            </w:pPr>
            <w:r>
              <w:rPr/>
              <w:t> </w:t>
            </w:r>
          </w:p>
        </w:tc>
        <w:tc>
          <w:tcPr>
            <w:tcW w:w="1613" w:type="dxa"/>
            <w:gridSpan w:val="5"/>
            <w:tcBorders/>
            <w:shd w:fill="CCDEF1" w:val="clear"/>
            <w:vAlign w:val="center"/>
          </w:tcPr>
          <w:p>
            <w:pPr>
              <w:pStyle w:val="TableContents"/>
              <w:spacing w:before="0" w:after="283"/>
              <w:rPr/>
            </w:pPr>
            <w:r>
              <w:rPr/>
              <w:t> </w:t>
            </w:r>
          </w:p>
        </w:tc>
        <w:tc>
          <w:tcPr>
            <w:tcW w:w="1613" w:type="dxa"/>
            <w:gridSpan w:val="5"/>
            <w:tcBorders/>
            <w:shd w:fill="CCDEF1" w:val="clear"/>
            <w:vAlign w:val="center"/>
          </w:tcPr>
          <w:p>
            <w:pPr>
              <w:pStyle w:val="TableContents"/>
              <w:spacing w:before="0" w:after="283"/>
              <w:rPr/>
            </w:pPr>
            <w:r>
              <w:rPr/>
              <w:t> </w:t>
            </w:r>
          </w:p>
        </w:tc>
        <w:tc>
          <w:tcPr>
            <w:tcW w:w="1687" w:type="dxa"/>
            <w:gridSpan w:val="5"/>
            <w:tcBorders/>
            <w:shd w:fill="CCDEF1" w:val="clear"/>
            <w:vAlign w:val="center"/>
          </w:tcPr>
          <w:p>
            <w:pPr>
              <w:pStyle w:val="TableContents"/>
              <w:spacing w:before="0" w:after="283"/>
              <w:rPr/>
            </w:pPr>
            <w:r>
              <w:rPr/>
              <w:t> </w:t>
            </w:r>
          </w:p>
        </w:tc>
      </w:tr>
      <w:tr>
        <w:trPr/>
        <w:tc>
          <w:tcPr>
            <w:tcW w:w="5292" w:type="dxa"/>
            <w:tcBorders/>
            <w:shd w:fill="CCDEF1" w:val="clear"/>
            <w:vAlign w:val="center"/>
          </w:tcPr>
          <w:p>
            <w:pPr>
              <w:pStyle w:val="TableContents"/>
              <w:spacing w:before="0" w:after="0"/>
              <w:rPr>
                <w:rFonts w:ascii="ARIAL" w:hAnsi="ARIAL"/>
                <w:sz w:val="19"/>
              </w:rPr>
            </w:pPr>
            <w:r>
              <w:rPr>
                <w:rFonts w:ascii="ARIAL" w:hAnsi="ARIAL"/>
                <w:sz w:val="19"/>
              </w:rPr>
              <w:t>-SCT “Option Awards” column value</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1233" w:type="dxa"/>
            <w:tcBorders/>
            <w:shd w:fill="CCDEF1" w:val="clear"/>
            <w:vAlign w:val="center"/>
          </w:tcPr>
          <w:p>
            <w:pPr>
              <w:pStyle w:val="TableContents"/>
              <w:spacing w:before="0" w:after="283"/>
              <w:jc w:val="right"/>
              <w:rPr/>
            </w:pPr>
            <w:r>
              <w:rPr/>
              <w:t>(1,098,312)</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1233" w:type="dxa"/>
            <w:tcBorders/>
            <w:shd w:fill="CCDEF1" w:val="clear"/>
            <w:vAlign w:val="center"/>
          </w:tcPr>
          <w:p>
            <w:pPr>
              <w:pStyle w:val="TableContents"/>
              <w:spacing w:before="0" w:after="283"/>
              <w:jc w:val="right"/>
              <w:rPr/>
            </w:pPr>
            <w:r>
              <w:rPr/>
              <w:t>(1,066,670)</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1290" w:type="dxa"/>
            <w:tcBorders/>
            <w:shd w:fill="CCDEF1" w:val="clear"/>
            <w:vAlign w:val="center"/>
          </w:tcPr>
          <w:p>
            <w:pPr>
              <w:pStyle w:val="TableContents"/>
              <w:spacing w:before="0" w:after="283"/>
              <w:jc w:val="right"/>
              <w:rPr/>
            </w:pPr>
            <w:r>
              <w:rPr/>
              <w:t>(1,025,010) </w:t>
            </w:r>
          </w:p>
        </w:tc>
        <w:tc>
          <w:tcPr>
            <w:tcW w:w="77" w:type="dxa"/>
            <w:tcBorders/>
            <w:shd w:fill="CCDEF1" w:val="clear"/>
            <w:vAlign w:val="center"/>
          </w:tcPr>
          <w:p>
            <w:pPr>
              <w:pStyle w:val="TableContents"/>
              <w:spacing w:before="0" w:after="283"/>
              <w:rPr/>
            </w:pPr>
            <w:r>
              <w:rPr/>
              <w:t> </w:t>
            </w:r>
          </w:p>
        </w:tc>
      </w:tr>
      <w:tr>
        <w:trPr/>
        <w:tc>
          <w:tcPr>
            <w:tcW w:w="5292" w:type="dxa"/>
            <w:tcBorders/>
            <w:shd w:fill="auto" w:val="clear"/>
            <w:vAlign w:val="center"/>
          </w:tcPr>
          <w:p>
            <w:pPr>
              <w:pStyle w:val="TableContents"/>
              <w:spacing w:before="0" w:after="283"/>
              <w:rPr/>
            </w:pPr>
            <w:r>
              <w:rPr/>
              <w:t> </w:t>
            </w:r>
          </w:p>
        </w:tc>
        <w:tc>
          <w:tcPr>
            <w:tcW w:w="1613" w:type="dxa"/>
            <w:gridSpan w:val="5"/>
            <w:tcBorders/>
            <w:shd w:fill="auto" w:val="clear"/>
            <w:vAlign w:val="center"/>
          </w:tcPr>
          <w:p>
            <w:pPr>
              <w:pStyle w:val="TableContents"/>
              <w:spacing w:before="0" w:after="283"/>
              <w:rPr/>
            </w:pPr>
            <w:r>
              <w:rPr/>
              <w:t> </w:t>
            </w:r>
          </w:p>
        </w:tc>
        <w:tc>
          <w:tcPr>
            <w:tcW w:w="1613" w:type="dxa"/>
            <w:gridSpan w:val="5"/>
            <w:tcBorders/>
            <w:shd w:fill="auto" w:val="clear"/>
            <w:vAlign w:val="center"/>
          </w:tcPr>
          <w:p>
            <w:pPr>
              <w:pStyle w:val="TableContents"/>
              <w:spacing w:before="0" w:after="283"/>
              <w:rPr/>
            </w:pPr>
            <w:r>
              <w:rPr/>
              <w:t> </w:t>
            </w:r>
          </w:p>
        </w:tc>
        <w:tc>
          <w:tcPr>
            <w:tcW w:w="1687" w:type="dxa"/>
            <w:gridSpan w:val="5"/>
            <w:tcBorders/>
            <w:shd w:fill="auto" w:val="clear"/>
            <w:vAlign w:val="center"/>
          </w:tcPr>
          <w:p>
            <w:pPr>
              <w:pStyle w:val="TableContents"/>
              <w:spacing w:before="0" w:after="283"/>
              <w:rPr/>
            </w:pPr>
            <w:r>
              <w:rPr/>
              <w:t> </w:t>
            </w:r>
          </w:p>
        </w:tc>
      </w:tr>
      <w:tr>
        <w:trPr/>
        <w:tc>
          <w:tcPr>
            <w:tcW w:w="5292" w:type="dxa"/>
            <w:tcBorders/>
            <w:shd w:fill="auto" w:val="clear"/>
            <w:vAlign w:val="center"/>
          </w:tcPr>
          <w:p>
            <w:pPr>
              <w:pStyle w:val="TableContents"/>
              <w:spacing w:before="0" w:after="0"/>
              <w:rPr>
                <w:rFonts w:ascii="ARIAL" w:hAnsi="ARIAL"/>
                <w:sz w:val="19"/>
              </w:rPr>
            </w:pPr>
            <w:r>
              <w:rPr>
                <w:rFonts w:ascii="ARIAL" w:hAnsi="ARIAL"/>
                <w:sz w:val="19"/>
              </w:rPr>
              <w:t xml:space="preserve">+ </w:t>
            </w:r>
          </w:p>
          <w:p>
            <w:pPr>
              <w:pStyle w:val="TableContents"/>
              <w:spacing w:before="0" w:after="0"/>
              <w:rPr>
                <w:rFonts w:ascii="ARIAL" w:hAnsi="ARIAL"/>
                <w:spacing w:val="0"/>
                <w:sz w:val="19"/>
              </w:rPr>
            </w:pPr>
            <w:r>
              <w:rPr>
                <w:rFonts w:ascii="ARIAL" w:hAnsi="ARIAL"/>
                <w:spacing w:val="0"/>
                <w:sz w:val="19"/>
              </w:rPr>
              <w:t>year-end</w:t>
            </w:r>
          </w:p>
          <w:p>
            <w:pPr>
              <w:pStyle w:val="TableContents"/>
              <w:spacing w:before="0" w:after="0"/>
              <w:rPr>
                <w:rFonts w:ascii="ARIAL" w:hAnsi="ARIAL"/>
                <w:sz w:val="19"/>
              </w:rPr>
            </w:pPr>
            <w:r>
              <w:rPr>
                <w:rFonts w:ascii="ARIAL" w:hAnsi="ARIAL"/>
                <w:sz w:val="19"/>
              </w:rPr>
              <w:t>fair value of outstanding equity awards granted in Covered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33" w:type="dxa"/>
            <w:tcBorders/>
            <w:shd w:fill="auto" w:val="clear"/>
            <w:vAlign w:val="center"/>
          </w:tcPr>
          <w:p>
            <w:pPr>
              <w:pStyle w:val="TableContents"/>
              <w:spacing w:before="0" w:after="283"/>
              <w:jc w:val="right"/>
              <w:rPr/>
            </w:pPr>
            <w:r>
              <w:rPr/>
              <w:t>4,049,033 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33" w:type="dxa"/>
            <w:tcBorders/>
            <w:shd w:fill="auto" w:val="clear"/>
            <w:vAlign w:val="center"/>
          </w:tcPr>
          <w:p>
            <w:pPr>
              <w:pStyle w:val="TableContents"/>
              <w:spacing w:before="0" w:after="283"/>
              <w:jc w:val="right"/>
              <w:rPr/>
            </w:pPr>
            <w:r>
              <w:rPr/>
              <w:t>5,246,722 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90" w:type="dxa"/>
            <w:tcBorders/>
            <w:shd w:fill="auto" w:val="clear"/>
            <w:vAlign w:val="center"/>
          </w:tcPr>
          <w:p>
            <w:pPr>
              <w:pStyle w:val="TableContents"/>
              <w:spacing w:before="0" w:after="283"/>
              <w:jc w:val="right"/>
              <w:rPr/>
            </w:pPr>
            <w:r>
              <w:rPr/>
              <w:t>5,063,775  </w:t>
            </w:r>
          </w:p>
        </w:tc>
        <w:tc>
          <w:tcPr>
            <w:tcW w:w="77" w:type="dxa"/>
            <w:tcBorders/>
            <w:shd w:fill="auto" w:val="clear"/>
            <w:vAlign w:val="center"/>
          </w:tcPr>
          <w:p>
            <w:pPr>
              <w:pStyle w:val="TableContents"/>
              <w:spacing w:before="0" w:after="283"/>
              <w:rPr/>
            </w:pPr>
            <w:r>
              <w:rPr/>
              <w:t> </w:t>
            </w:r>
          </w:p>
        </w:tc>
      </w:tr>
      <w:tr>
        <w:trPr/>
        <w:tc>
          <w:tcPr>
            <w:tcW w:w="5292" w:type="dxa"/>
            <w:tcBorders/>
            <w:shd w:fill="CCDEF1" w:val="clear"/>
            <w:vAlign w:val="center"/>
          </w:tcPr>
          <w:p>
            <w:pPr>
              <w:pStyle w:val="TableContents"/>
              <w:spacing w:before="0" w:after="283"/>
              <w:rPr/>
            </w:pPr>
            <w:r>
              <w:rPr/>
              <w:t> </w:t>
            </w:r>
          </w:p>
        </w:tc>
        <w:tc>
          <w:tcPr>
            <w:tcW w:w="1613" w:type="dxa"/>
            <w:gridSpan w:val="5"/>
            <w:tcBorders/>
            <w:shd w:fill="CCDEF1" w:val="clear"/>
            <w:vAlign w:val="center"/>
          </w:tcPr>
          <w:p>
            <w:pPr>
              <w:pStyle w:val="TableContents"/>
              <w:spacing w:before="0" w:after="283"/>
              <w:rPr/>
            </w:pPr>
            <w:r>
              <w:rPr/>
              <w:t> </w:t>
            </w:r>
          </w:p>
        </w:tc>
        <w:tc>
          <w:tcPr>
            <w:tcW w:w="1613" w:type="dxa"/>
            <w:gridSpan w:val="5"/>
            <w:tcBorders/>
            <w:shd w:fill="CCDEF1" w:val="clear"/>
            <w:vAlign w:val="center"/>
          </w:tcPr>
          <w:p>
            <w:pPr>
              <w:pStyle w:val="TableContents"/>
              <w:spacing w:before="0" w:after="283"/>
              <w:rPr/>
            </w:pPr>
            <w:r>
              <w:rPr/>
              <w:t> </w:t>
            </w:r>
          </w:p>
        </w:tc>
        <w:tc>
          <w:tcPr>
            <w:tcW w:w="1687" w:type="dxa"/>
            <w:gridSpan w:val="5"/>
            <w:tcBorders/>
            <w:shd w:fill="CCDEF1" w:val="clear"/>
            <w:vAlign w:val="center"/>
          </w:tcPr>
          <w:p>
            <w:pPr>
              <w:pStyle w:val="TableContents"/>
              <w:spacing w:before="0" w:after="283"/>
              <w:rPr/>
            </w:pPr>
            <w:r>
              <w:rPr/>
              <w:t> </w:t>
            </w:r>
          </w:p>
        </w:tc>
      </w:tr>
      <w:tr>
        <w:trPr/>
        <w:tc>
          <w:tcPr>
            <w:tcW w:w="5292" w:type="dxa"/>
            <w:tcBorders/>
            <w:shd w:fill="CCDEF1" w:val="clear"/>
            <w:vAlign w:val="center"/>
          </w:tcPr>
          <w:p>
            <w:pPr>
              <w:pStyle w:val="TableContents"/>
              <w:spacing w:before="0" w:after="0"/>
              <w:rPr>
                <w:rFonts w:ascii="ARIAL" w:hAnsi="ARIAL"/>
                <w:sz w:val="19"/>
              </w:rPr>
            </w:pPr>
            <w:r>
              <w:rPr>
                <w:rFonts w:ascii="ARIAL" w:hAnsi="ARIAL"/>
                <w:sz w:val="19"/>
              </w:rPr>
              <w:t>+/- change in fair value of outstanding equity awards granted in prior years</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1233" w:type="dxa"/>
            <w:tcBorders/>
            <w:shd w:fill="CCDEF1" w:val="clear"/>
            <w:vAlign w:val="center"/>
          </w:tcPr>
          <w:p>
            <w:pPr>
              <w:pStyle w:val="TableContents"/>
              <w:spacing w:before="0" w:after="283"/>
              <w:jc w:val="right"/>
              <w:rPr/>
            </w:pPr>
            <w:r>
              <w:rPr/>
              <w:t>(813,738)</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1233" w:type="dxa"/>
            <w:tcBorders/>
            <w:shd w:fill="CCDEF1" w:val="clear"/>
            <w:vAlign w:val="center"/>
          </w:tcPr>
          <w:p>
            <w:pPr>
              <w:pStyle w:val="TableContents"/>
              <w:spacing w:before="0" w:after="283"/>
              <w:jc w:val="right"/>
              <w:rPr/>
            </w:pPr>
            <w:r>
              <w:rPr/>
              <w:t>1,354,071 </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1290" w:type="dxa"/>
            <w:tcBorders/>
            <w:shd w:fill="CCDEF1" w:val="clear"/>
            <w:vAlign w:val="center"/>
          </w:tcPr>
          <w:p>
            <w:pPr>
              <w:pStyle w:val="TableContents"/>
              <w:spacing w:before="0" w:after="283"/>
              <w:jc w:val="right"/>
              <w:rPr/>
            </w:pPr>
            <w:r>
              <w:rPr/>
              <w:t>2,129,441  </w:t>
            </w:r>
          </w:p>
        </w:tc>
        <w:tc>
          <w:tcPr>
            <w:tcW w:w="77" w:type="dxa"/>
            <w:tcBorders/>
            <w:shd w:fill="CCDEF1" w:val="clear"/>
            <w:vAlign w:val="center"/>
          </w:tcPr>
          <w:p>
            <w:pPr>
              <w:pStyle w:val="TableContents"/>
              <w:spacing w:before="0" w:after="283"/>
              <w:rPr/>
            </w:pPr>
            <w:r>
              <w:rPr/>
              <w:t> </w:t>
            </w:r>
          </w:p>
        </w:tc>
      </w:tr>
      <w:tr>
        <w:trPr/>
        <w:tc>
          <w:tcPr>
            <w:tcW w:w="5292" w:type="dxa"/>
            <w:tcBorders/>
            <w:shd w:fill="auto" w:val="clear"/>
            <w:vAlign w:val="center"/>
          </w:tcPr>
          <w:p>
            <w:pPr>
              <w:pStyle w:val="TableContents"/>
              <w:spacing w:before="0" w:after="283"/>
              <w:rPr/>
            </w:pPr>
            <w:r>
              <w:rPr/>
              <w:t> </w:t>
            </w:r>
          </w:p>
        </w:tc>
        <w:tc>
          <w:tcPr>
            <w:tcW w:w="1613" w:type="dxa"/>
            <w:gridSpan w:val="5"/>
            <w:tcBorders/>
            <w:shd w:fill="auto" w:val="clear"/>
            <w:vAlign w:val="center"/>
          </w:tcPr>
          <w:p>
            <w:pPr>
              <w:pStyle w:val="TableContents"/>
              <w:spacing w:before="0" w:after="283"/>
              <w:rPr/>
            </w:pPr>
            <w:r>
              <w:rPr/>
              <w:t> </w:t>
            </w:r>
          </w:p>
        </w:tc>
        <w:tc>
          <w:tcPr>
            <w:tcW w:w="1613" w:type="dxa"/>
            <w:gridSpan w:val="5"/>
            <w:tcBorders/>
            <w:shd w:fill="auto" w:val="clear"/>
            <w:vAlign w:val="center"/>
          </w:tcPr>
          <w:p>
            <w:pPr>
              <w:pStyle w:val="TableContents"/>
              <w:spacing w:before="0" w:after="283"/>
              <w:rPr/>
            </w:pPr>
            <w:r>
              <w:rPr/>
              <w:t> </w:t>
            </w:r>
          </w:p>
        </w:tc>
        <w:tc>
          <w:tcPr>
            <w:tcW w:w="1687" w:type="dxa"/>
            <w:gridSpan w:val="5"/>
            <w:tcBorders/>
            <w:shd w:fill="auto" w:val="clear"/>
            <w:vAlign w:val="center"/>
          </w:tcPr>
          <w:p>
            <w:pPr>
              <w:pStyle w:val="TableContents"/>
              <w:spacing w:before="0" w:after="283"/>
              <w:rPr/>
            </w:pPr>
            <w:r>
              <w:rPr/>
              <w:t> </w:t>
            </w:r>
          </w:p>
        </w:tc>
      </w:tr>
      <w:tr>
        <w:trPr/>
        <w:tc>
          <w:tcPr>
            <w:tcW w:w="5292" w:type="dxa"/>
            <w:tcBorders/>
            <w:shd w:fill="auto" w:val="clear"/>
            <w:vAlign w:val="center"/>
          </w:tcPr>
          <w:p>
            <w:pPr>
              <w:pStyle w:val="TableContents"/>
              <w:spacing w:before="0" w:after="0"/>
              <w:rPr>
                <w:rFonts w:ascii="ARIAL" w:hAnsi="ARIAL"/>
                <w:sz w:val="19"/>
              </w:rPr>
            </w:pPr>
            <w:r>
              <w:rPr>
                <w:rFonts w:ascii="ARIAL" w:hAnsi="ARIAL"/>
                <w:sz w:val="19"/>
              </w:rPr>
              <w:t>+/- change in fair value of prior-year equity awards vested in Covered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33" w:type="dxa"/>
            <w:tcBorders/>
            <w:shd w:fill="auto" w:val="clear"/>
            <w:vAlign w:val="center"/>
          </w:tcPr>
          <w:p>
            <w:pPr>
              <w:pStyle w:val="TableContents"/>
              <w:spacing w:before="0" w:after="283"/>
              <w:jc w:val="right"/>
              <w:rPr/>
            </w:pPr>
            <w:r>
              <w:rPr/>
              <w:t>(1,536,046)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33" w:type="dxa"/>
            <w:tcBorders/>
            <w:shd w:fill="auto" w:val="clear"/>
            <w:vAlign w:val="center"/>
          </w:tcPr>
          <w:p>
            <w:pPr>
              <w:pStyle w:val="TableContents"/>
              <w:spacing w:before="0" w:after="283"/>
              <w:jc w:val="right"/>
              <w:rPr/>
            </w:pPr>
            <w:r>
              <w:rPr/>
              <w:t>(123,342)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90" w:type="dxa"/>
            <w:tcBorders/>
            <w:shd w:fill="auto" w:val="clear"/>
            <w:vAlign w:val="center"/>
          </w:tcPr>
          <w:p>
            <w:pPr>
              <w:pStyle w:val="TableContents"/>
              <w:spacing w:before="0" w:after="283"/>
              <w:jc w:val="right"/>
              <w:rPr/>
            </w:pPr>
            <w:r>
              <w:rPr/>
              <w:t>1,003,714  </w:t>
            </w:r>
          </w:p>
        </w:tc>
        <w:tc>
          <w:tcPr>
            <w:tcW w:w="77"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0"/>
              <w:rPr>
                <w:b/>
                <w:color w:val="005CB9"/>
                <w:spacing w:val="0"/>
              </w:rPr>
            </w:pPr>
            <w:r>
              <w:rPr>
                <w:b/>
                <w:color w:val="005CB9"/>
                <w:spacing w:val="0"/>
              </w:rPr>
              <w:t>50</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0"/>
              <w:rPr>
                <w:color w:val="005CB9"/>
                <w:spacing w:val="0"/>
              </w:rPr>
            </w:pPr>
            <w:r>
              <w:rPr>
                <w:color w:val="005CB9"/>
                <w:spacing w:val="0"/>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spacing w:val="0"/>
              </w:rPr>
            </w:pPr>
            <w:r>
              <w:rPr>
                <w:color w:val="005CB9"/>
                <w:spacing w:val="0"/>
              </w:rPr>
              <w:t xml:space="preserve">  </w:t>
            </w:r>
            <w:r>
              <w:rPr>
                <w:color w:val="005CB9"/>
                <w:spacing w:val="0"/>
              </w:rPr>
              <w:drawing>
                <wp:inline distT="0" distB="0" distL="0" distR="0">
                  <wp:extent cx="47625" cy="19050"/>
                  <wp:effectExtent l="0" t="0" r="0" b="0"/>
                  <wp:docPr id="14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02" descr=""/>
                          <pic:cNvPicPr>
                            <a:picLocks noChangeAspect="1" noChangeArrowheads="1"/>
                          </pic:cNvPicPr>
                        </pic:nvPicPr>
                        <pic:blipFill>
                          <a:blip r:embed="rId103"/>
                          <a:stretch>
                            <a:fillRect/>
                          </a:stretch>
                        </pic:blipFill>
                        <pic:spPr bwMode="auto">
                          <a:xfrm>
                            <a:off x="0" y="0"/>
                            <a:ext cx="47625" cy="19050"/>
                          </a:xfrm>
                          <a:prstGeom prst="rect">
                            <a:avLst/>
                          </a:prstGeom>
                        </pic:spPr>
                      </pic:pic>
                    </a:graphicData>
                  </a:graphic>
                </wp:inline>
              </w:drawing>
            </w:r>
            <w:r>
              <w:rPr>
                <w:color w:val="005CB9"/>
                <w:spacing w:val="0"/>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0"/>
              <w:rPr>
                <w:color w:val="005CB9"/>
                <w:spacing w:val="0"/>
              </w:rPr>
            </w:pPr>
            <w:r>
              <w:rPr>
                <w:color w:val="005CB9"/>
                <w:spacing w:val="0"/>
              </w:rPr>
              <w:t>    </w:t>
            </w:r>
            <w:r>
              <w:rPr>
                <w:b/>
                <w:color w:val="005CB9"/>
                <w:spacing w:val="0"/>
              </w:rPr>
              <w:t>Roper Technologies, Inc. 2023 Proxy Statement</w:t>
            </w:r>
          </w:p>
        </w:tc>
      </w:tr>
    </w:tbl>
    <w:p>
      <w:pPr>
        <w:pStyle w:val="HorizontalLine"/>
        <w:jc w:val="center"/>
        <w:rPr/>
      </w:pPr>
      <w:r>
        <w:rPr/>
      </w:r>
    </w:p>
    <w:p>
      <w:pPr>
        <w:pStyle w:val="TextBody"/>
        <w:spacing w:before="0" w:after="0"/>
        <w:jc w:val="left"/>
        <w:rPr/>
      </w:pPr>
      <w:hyperlink w:anchor="toc">
        <w:r>
          <w:rPr>
            <w:rStyle w:val="InternetLink"/>
            <w:b/>
          </w:rPr>
          <w:t>Table of Contents</w:t>
        </w:r>
      </w:hyperlink>
    </w:p>
    <w:p>
      <w:pPr>
        <w:pStyle w:val="TextBody"/>
        <w:spacing w:before="0" w:after="0"/>
        <w:jc w:val="left"/>
        <w:rPr>
          <w:rFonts w:ascii="ARIAL" w:hAnsi="ARIAL"/>
          <w:color w:val="005CB9"/>
          <w:spacing w:val="0"/>
          <w:sz w:val="20"/>
        </w:rPr>
      </w:pPr>
      <w:r>
        <w:rPr>
          <w:rFonts w:ascii="ARIAL" w:hAnsi="ARIAL"/>
          <w:color w:val="005CB9"/>
          <w:spacing w:val="0"/>
          <w:sz w:val="20"/>
        </w:rPr>
        <w:t xml:space="preserve">EXECUTIVE COMPENSATION </w:t>
      </w:r>
    </w:p>
    <w:p>
      <w:pPr>
        <w:pStyle w:val="TextBody"/>
        <w:spacing w:before="0" w:after="0"/>
        <w:jc w:val="left"/>
        <w:rPr>
          <w:rFonts w:ascii="ARIAL" w:hAnsi="ARIAL"/>
          <w:i/>
          <w:caps w:val="false"/>
          <w:smallCaps w:val="false"/>
          <w:color w:val="005CB9"/>
          <w:spacing w:val="0"/>
          <w:sz w:val="20"/>
        </w:rPr>
      </w:pPr>
      <w:r>
        <w:rPr>
          <w:rFonts w:ascii="ARIAL" w:hAnsi="ARIAL"/>
          <w:i/>
          <w:caps w:val="false"/>
          <w:smallCaps w:val="false"/>
          <w:color w:val="005CB9"/>
          <w:spacing w:val="0"/>
          <w:sz w:val="20"/>
        </w:rPr>
        <w:t>(CONTINUED)</w:t>
      </w:r>
    </w:p>
    <w:p>
      <w:pPr>
        <w:pStyle w:val="TextBody"/>
        <w:spacing w:before="0" w:after="0"/>
        <w:jc w:val="left"/>
        <w:rPr/>
      </w:pPr>
      <w:r>
        <w:rPr/>
        <w:t> </w:t>
      </w:r>
    </w:p>
    <w:p>
      <w:pPr>
        <w:pStyle w:val="TextBody"/>
        <w:spacing w:before="0" w:after="0"/>
        <w:jc w:val="left"/>
        <w:rPr>
          <w:rFonts w:ascii="ARIAL" w:hAnsi="ARIAL"/>
          <w:sz w:val="19"/>
        </w:rPr>
      </w:pPr>
      <w:r>
        <w:rPr>
          <w:rFonts w:ascii="ARIAL" w:hAnsi="ARIAL"/>
          <w:sz w:val="19"/>
        </w:rPr>
        <w:t xml:space="preserve">The charts below describe the relationship between the PEO and other NEOs’ CAP to Net Income, to cumulative Company Total Shareholder Return, and to the Company’s two Company-selected measures, Adjusted Free Cash Flow and Adjusted EBITDA, plus the relationship between cumulative Company Total Shareholder Return and cumulative Peer Group Total Shareholder Return.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210300" cy="2743200"/>
            <wp:effectExtent l="0" t="0" r="0" b="0"/>
            <wp:docPr id="14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03" descr=""/>
                    <pic:cNvPicPr>
                      <a:picLocks noChangeAspect="1" noChangeArrowheads="1"/>
                    </pic:cNvPicPr>
                  </pic:nvPicPr>
                  <pic:blipFill>
                    <a:blip r:embed="rId104"/>
                    <a:stretch>
                      <a:fillRect/>
                    </a:stretch>
                  </pic:blipFill>
                  <pic:spPr bwMode="auto">
                    <a:xfrm>
                      <a:off x="0" y="0"/>
                      <a:ext cx="6210300" cy="2743200"/>
                    </a:xfrm>
                    <a:prstGeom prst="rect">
                      <a:avLst/>
                    </a:prstGeom>
                  </pic:spPr>
                </pic:pic>
              </a:graphicData>
            </a:graphic>
          </wp:inline>
        </w:drawing>
      </w:r>
    </w:p>
    <w:p>
      <w:pPr>
        <w:pStyle w:val="TextBody"/>
        <w:spacing w:before="0" w:after="0"/>
        <w:jc w:val="left"/>
        <w:rPr/>
      </w:pPr>
      <w:r>
        <w:rPr/>
        <w:t> </w:t>
      </w:r>
    </w:p>
    <w:tbl>
      <w:tblPr>
        <w:tblW w:w="9715" w:type="dxa"/>
        <w:jc w:val="left"/>
        <w:tblInd w:w="0" w:type="dxa"/>
        <w:tblCellMar>
          <w:top w:w="0" w:type="dxa"/>
          <w:left w:w="0" w:type="dxa"/>
          <w:bottom w:w="0" w:type="dxa"/>
          <w:right w:w="0" w:type="dxa"/>
        </w:tblCellMar>
      </w:tblPr>
      <w:tblGrid>
        <w:gridCol w:w="140"/>
        <w:gridCol w:w="9575"/>
      </w:tblGrid>
      <w:tr>
        <w:trPr/>
        <w:tc>
          <w:tcPr>
            <w:tcW w:w="140" w:type="dxa"/>
            <w:tcBorders/>
            <w:shd w:fill="auto" w:val="clear"/>
            <w:vAlign w:val="center"/>
          </w:tcPr>
          <w:p>
            <w:pPr>
              <w:pStyle w:val="TableContents"/>
              <w:spacing w:before="0" w:after="0"/>
              <w:jc w:val="left"/>
              <w:rPr>
                <w:sz w:val="9"/>
              </w:rPr>
            </w:pPr>
            <w:r>
              <w:rPr>
                <w:sz w:val="9"/>
              </w:rPr>
              <w:t>(1)</w:t>
            </w:r>
          </w:p>
          <w:p>
            <w:pPr>
              <w:pStyle w:val="TableContents"/>
              <w:spacing w:before="0" w:after="0"/>
              <w:jc w:val="left"/>
              <w:rPr/>
            </w:pPr>
            <w:r>
              <w:rPr/>
              <w:t> </w:t>
            </w:r>
          </w:p>
        </w:tc>
        <w:tc>
          <w:tcPr>
            <w:tcW w:w="9575" w:type="dxa"/>
            <w:tcBorders/>
            <w:shd w:fill="auto" w:val="clear"/>
            <w:vAlign w:val="center"/>
          </w:tcPr>
          <w:p>
            <w:pPr>
              <w:pStyle w:val="TableContents"/>
              <w:spacing w:before="0" w:after="0"/>
              <w:jc w:val="left"/>
              <w:rPr>
                <w:rFonts w:ascii="ARIAL" w:hAnsi="ARIAL"/>
                <w:sz w:val="16"/>
              </w:rPr>
            </w:pPr>
            <w:r>
              <w:rPr>
                <w:rFonts w:ascii="ARIAL" w:hAnsi="ARIAL"/>
                <w:sz w:val="16"/>
              </w:rPr>
              <w:t xml:space="preserve">In 2022, the Company’s Net Income included a gain of $3,356 million related to the disposition of discontinued operations, net of tax.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20395" cy="316865"/>
            <wp:effectExtent l="0" t="0" r="0" b="0"/>
            <wp:docPr id="14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4" descr=""/>
                    <pic:cNvPicPr>
                      <a:picLocks noChangeAspect="1" noChangeArrowheads="1"/>
                    </pic:cNvPicPr>
                  </pic:nvPicPr>
                  <pic:blipFill>
                    <a:blip r:embed="rId105"/>
                    <a:stretch>
                      <a:fillRect/>
                    </a:stretch>
                  </pic:blipFill>
                  <pic:spPr bwMode="auto">
                    <a:xfrm>
                      <a:off x="0" y="0"/>
                      <a:ext cx="620395" cy="31686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19"/>
        <w:gridCol w:w="10086"/>
      </w:tblGrid>
      <w:tr>
        <w:trPr/>
        <w:tc>
          <w:tcPr>
            <w:tcW w:w="119" w:type="dxa"/>
            <w:tcBorders/>
            <w:shd w:fill="auto" w:val="clear"/>
            <w:vAlign w:val="center"/>
          </w:tcPr>
          <w:p>
            <w:pPr>
              <w:pStyle w:val="TableContents"/>
              <w:spacing w:before="0" w:after="0"/>
              <w:jc w:val="left"/>
              <w:rPr>
                <w:sz w:val="9"/>
              </w:rPr>
            </w:pPr>
            <w:r>
              <w:rPr>
                <w:sz w:val="9"/>
              </w:rPr>
              <w:t>(1)</w:t>
            </w:r>
          </w:p>
          <w:p>
            <w:pPr>
              <w:pStyle w:val="TableContents"/>
              <w:spacing w:before="0" w:after="0"/>
              <w:jc w:val="left"/>
              <w:rPr/>
            </w:pPr>
            <w:r>
              <w:rPr/>
              <w:t> </w:t>
            </w:r>
          </w:p>
        </w:tc>
        <w:tc>
          <w:tcPr>
            <w:tcW w:w="10086" w:type="dxa"/>
            <w:tcBorders/>
            <w:shd w:fill="auto" w:val="clear"/>
            <w:vAlign w:val="center"/>
          </w:tcPr>
          <w:p>
            <w:pPr>
              <w:pStyle w:val="TableContents"/>
              <w:spacing w:before="0" w:after="0"/>
              <w:jc w:val="left"/>
              <w:rPr>
                <w:rFonts w:ascii="ARIAL" w:hAnsi="ARIAL"/>
                <w:sz w:val="16"/>
              </w:rPr>
            </w:pPr>
            <w:r>
              <w:rPr>
                <w:rFonts w:ascii="ARIAL" w:hAnsi="ARIAL"/>
                <w:sz w:val="16"/>
              </w:rPr>
              <w:t xml:space="preserve">Roper has historically compared the cumulative total return on its common stock with that of the Standard &amp; Poor’s 500 Stock Index (the “S&amp;P 500”) and the Standard and Poor’s 500 Industrials Index (the “S&amp;P 500 Industrials”). As a result of divestiture activity in 2022 and 2021, the Company intends to use the S&amp;P 500 Information Technology Index (the “S&amp;P 500 IT”) in place of the S&amp;P 500 Industrials on a </w:t>
            </w:r>
          </w:p>
          <w:p>
            <w:pPr>
              <w:pStyle w:val="TableContents"/>
              <w:spacing w:before="0" w:after="0"/>
              <w:jc w:val="left"/>
              <w:rPr>
                <w:rFonts w:ascii="ARIAL" w:hAnsi="ARIAL"/>
                <w:spacing w:val="0"/>
                <w:sz w:val="16"/>
              </w:rPr>
            </w:pPr>
            <w:r>
              <w:rPr>
                <w:rFonts w:ascii="ARIAL" w:hAnsi="ARIAL"/>
                <w:spacing w:val="0"/>
                <w:sz w:val="16"/>
              </w:rPr>
              <w:t>go-forward</w:t>
            </w:r>
          </w:p>
          <w:p>
            <w:pPr>
              <w:pStyle w:val="TableContents"/>
              <w:spacing w:before="0" w:after="0"/>
              <w:jc w:val="left"/>
              <w:rPr>
                <w:rFonts w:ascii="ARIAL" w:hAnsi="ARIAL"/>
                <w:sz w:val="16"/>
              </w:rPr>
            </w:pPr>
            <w:r>
              <w:rPr>
                <w:rFonts w:ascii="ARIAL" w:hAnsi="ARIAL"/>
                <w:sz w:val="16"/>
              </w:rPr>
              <w:t xml:space="preserve">basis to better reflect more relevant comparisons of our software and technology focused portfolio. </w:t>
            </w:r>
          </w:p>
        </w:tc>
      </w:tr>
    </w:tbl>
    <w:p>
      <w:pPr>
        <w:pStyle w:val="TextBody"/>
        <w:spacing w:before="0" w:after="0"/>
        <w:jc w:val="left"/>
        <w:rPr/>
      </w:pPr>
      <w:r>
        <w:rPr/>
        <w:t> </w:t>
      </w:r>
    </w:p>
    <w:tbl>
      <w:tblPr>
        <w:tblW w:w="6235" w:type="dxa"/>
        <w:jc w:val="left"/>
        <w:tblInd w:w="0" w:type="dxa"/>
        <w:tblCellMar>
          <w:top w:w="0" w:type="dxa"/>
          <w:left w:w="0" w:type="dxa"/>
          <w:bottom w:w="0" w:type="dxa"/>
          <w:right w:w="0" w:type="dxa"/>
        </w:tblCellMar>
      </w:tblPr>
      <w:tblGrid>
        <w:gridCol w:w="75"/>
        <w:gridCol w:w="60"/>
        <w:gridCol w:w="255"/>
        <w:gridCol w:w="60"/>
        <w:gridCol w:w="5090"/>
        <w:gridCol w:w="60"/>
        <w:gridCol w:w="240"/>
        <w:gridCol w:w="60"/>
        <w:gridCol w:w="33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spacing w:val="0"/>
              </w:rPr>
            </w:pPr>
            <w:r>
              <w:rPr>
                <w:color w:val="005CB9"/>
                <w:spacing w:val="0"/>
              </w:rPr>
              <w:t xml:space="preserve">  </w:t>
            </w:r>
            <w:r>
              <w:rPr>
                <w:color w:val="005CB9"/>
                <w:spacing w:val="0"/>
              </w:rPr>
              <w:drawing>
                <wp:inline distT="0" distB="0" distL="0" distR="0">
                  <wp:extent cx="47625" cy="19050"/>
                  <wp:effectExtent l="0" t="0" r="0" b="0"/>
                  <wp:docPr id="15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5" descr=""/>
                          <pic:cNvPicPr>
                            <a:picLocks noChangeAspect="1" noChangeArrowheads="1"/>
                          </pic:cNvPicPr>
                        </pic:nvPicPr>
                        <pic:blipFill>
                          <a:blip r:embed="rId106"/>
                          <a:stretch>
                            <a:fillRect/>
                          </a:stretch>
                        </pic:blipFill>
                        <pic:spPr bwMode="auto">
                          <a:xfrm>
                            <a:off x="0" y="0"/>
                            <a:ext cx="47625" cy="19050"/>
                          </a:xfrm>
                          <a:prstGeom prst="rect">
                            <a:avLst/>
                          </a:prstGeom>
                        </pic:spPr>
                      </pic:pic>
                    </a:graphicData>
                  </a:graphic>
                </wp:inline>
              </w:drawing>
            </w:r>
            <w:r>
              <w:rPr>
                <w:color w:val="005CB9"/>
                <w:spacing w:val="0"/>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0"/>
              <w:jc w:val="right"/>
              <w:rPr>
                <w:color w:val="005CB9"/>
                <w:spacing w:val="0"/>
              </w:rPr>
            </w:pPr>
            <w:r>
              <w:rPr>
                <w:color w:val="005CB9"/>
                <w:spacing w:val="0"/>
              </w:rPr>
              <w:t>    </w:t>
            </w:r>
            <w:r>
              <w:rPr>
                <w:b/>
                <w:color w:val="005CB9"/>
                <w:spacing w:val="0"/>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0"/>
              <w:rPr>
                <w:color w:val="005CB9"/>
                <w:spacing w:val="0"/>
              </w:rPr>
            </w:pPr>
            <w:r>
              <w:rPr>
                <w:color w:val="005CB9"/>
                <w:spacing w:val="0"/>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jc w:val="right"/>
              <w:rPr>
                <w:color w:val="005CB9"/>
                <w:spacing w:val="0"/>
              </w:rPr>
            </w:pPr>
            <w:r>
              <w:rPr>
                <w:color w:val="005CB9"/>
                <w:spacing w:val="0"/>
              </w:rPr>
              <w:t> </w:t>
            </w:r>
            <w:r>
              <w:rPr>
                <w:b/>
                <w:color w:val="005CB9"/>
                <w:spacing w:val="0"/>
              </w:rPr>
              <w:t>51</w:t>
            </w:r>
          </w:p>
        </w:tc>
      </w:tr>
    </w:tbl>
    <w:p>
      <w:pPr>
        <w:pStyle w:val="TextBody"/>
        <w:spacing w:before="0" w:after="0"/>
        <w:jc w:val="left"/>
        <w:rPr/>
      </w:pPr>
      <w:r>
        <w:rPr/>
        <w:t> </w:t>
      </w:r>
    </w:p>
    <w:p>
      <w:pPr>
        <w:pStyle w:val="HorizontalLine"/>
        <w:jc w:val="center"/>
        <w:rPr/>
      </w:pPr>
      <w:r>
        <w:rPr/>
      </w:r>
    </w:p>
    <w:p>
      <w:pPr>
        <w:pStyle w:val="TextBody"/>
        <w:spacing w:before="0" w:after="0"/>
        <w:jc w:val="left"/>
        <w:rPr/>
      </w:pPr>
      <w:hyperlink w:anchor="toc">
        <w:r>
          <w:rPr>
            <w:rStyle w:val="InternetLink"/>
            <w:b/>
          </w:rPr>
          <w:t>Table of Contents</w:t>
        </w:r>
      </w:hyperlink>
    </w:p>
    <w:p>
      <w:pPr>
        <w:pStyle w:val="TextBody"/>
        <w:spacing w:before="0" w:after="0"/>
        <w:jc w:val="left"/>
        <w:rPr>
          <w:rFonts w:ascii="ARIAL" w:hAnsi="ARIAL"/>
          <w:color w:val="005CB9"/>
          <w:spacing w:val="0"/>
          <w:sz w:val="20"/>
        </w:rPr>
      </w:pPr>
      <w:r>
        <w:rPr>
          <w:rFonts w:ascii="ARIAL" w:hAnsi="ARIAL"/>
          <w:color w:val="005CB9"/>
          <w:spacing w:val="0"/>
          <w:sz w:val="20"/>
        </w:rPr>
        <w:t xml:space="preserve">EXECUTIVE COMPENSATION </w:t>
      </w:r>
    </w:p>
    <w:p>
      <w:pPr>
        <w:pStyle w:val="TextBody"/>
        <w:spacing w:before="0" w:after="0"/>
        <w:jc w:val="left"/>
        <w:rPr>
          <w:rFonts w:ascii="ARIAL" w:hAnsi="ARIAL"/>
          <w:i/>
          <w:caps w:val="false"/>
          <w:smallCaps w:val="false"/>
          <w:color w:val="005CB9"/>
          <w:spacing w:val="0"/>
          <w:sz w:val="20"/>
        </w:rPr>
      </w:pPr>
      <w:r>
        <w:rPr>
          <w:rFonts w:ascii="ARIAL" w:hAnsi="ARIAL"/>
          <w:i/>
          <w:caps w:val="false"/>
          <w:smallCaps w:val="false"/>
          <w:color w:val="005CB9"/>
          <w:spacing w:val="0"/>
          <w:sz w:val="20"/>
        </w:rPr>
        <w:t>(CONTINUED)</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10235" cy="276225"/>
            <wp:effectExtent l="0" t="0" r="0" b="0"/>
            <wp:docPr id="15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06" descr=""/>
                    <pic:cNvPicPr>
                      <a:picLocks noChangeAspect="1" noChangeArrowheads="1"/>
                    </pic:cNvPicPr>
                  </pic:nvPicPr>
                  <pic:blipFill>
                    <a:blip r:embed="rId107"/>
                    <a:stretch>
                      <a:fillRect/>
                    </a:stretch>
                  </pic:blipFill>
                  <pic:spPr bwMode="auto">
                    <a:xfrm>
                      <a:off x="0" y="0"/>
                      <a:ext cx="610235" cy="276225"/>
                    </a:xfrm>
                    <a:prstGeom prst="rect">
                      <a:avLst/>
                    </a:prstGeom>
                  </pic:spPr>
                </pic:pic>
              </a:graphicData>
            </a:graphic>
          </wp:inline>
        </w:drawing>
      </w:r>
      <w:r>
        <w:rPr/>
        <w:t xml:space="preserve"> </w:t>
      </w:r>
    </w:p>
    <w:p>
      <w:pPr>
        <w:pStyle w:val="TextBody"/>
        <w:spacing w:before="240" w:after="0"/>
        <w:jc w:val="left"/>
        <w:rPr>
          <w:rFonts w:ascii="ARIAL" w:hAnsi="ARIAL"/>
          <w:spacing w:val="0"/>
          <w:sz w:val="19"/>
        </w:rPr>
      </w:pPr>
      <w:r>
        <w:rPr>
          <w:rFonts w:ascii="ARIAL" w:hAnsi="ARIAL"/>
          <w:spacing w:val="0"/>
          <w:sz w:val="19"/>
        </w:rPr>
        <w:t>The</w:t>
      </w:r>
    </w:p>
    <w:p>
      <w:pPr>
        <w:pStyle w:val="TextBody"/>
        <w:spacing w:before="240" w:after="0"/>
        <w:jc w:val="left"/>
        <w:rPr>
          <w:rFonts w:ascii="ARIAL" w:hAnsi="ARIAL"/>
          <w:sz w:val="19"/>
        </w:rPr>
      </w:pPr>
      <w:r>
        <w:rPr>
          <w:rFonts w:ascii="ARIAL" w:hAnsi="ARIAL"/>
          <w:sz w:val="19"/>
        </w:rPr>
        <w:t xml:space="preserve">following </w:t>
      </w:r>
    </w:p>
    <w:p>
      <w:pPr>
        <w:pStyle w:val="TextBody"/>
        <w:spacing w:before="240" w:after="0"/>
        <w:jc w:val="left"/>
        <w:rPr>
          <w:rFonts w:ascii="ARIAL" w:hAnsi="ARIAL"/>
          <w:spacing w:val="0"/>
          <w:sz w:val="19"/>
        </w:rPr>
      </w:pPr>
      <w:r>
        <w:rPr>
          <w:rFonts w:ascii="ARIAL" w:hAnsi="ARIAL"/>
          <w:spacing w:val="0"/>
          <w:sz w:val="19"/>
        </w:rPr>
        <w:t>table</w:t>
      </w:r>
    </w:p>
    <w:p>
      <w:pPr>
        <w:pStyle w:val="TextBody"/>
        <w:spacing w:before="240" w:after="0"/>
        <w:jc w:val="left"/>
        <w:rPr>
          <w:rFonts w:ascii="ARIAL" w:hAnsi="ARIAL"/>
          <w:sz w:val="19"/>
        </w:rPr>
      </w:pPr>
      <w:r>
        <w:rPr>
          <w:rFonts w:ascii="ARIAL" w:hAnsi="ARIAL"/>
          <w:sz w:val="19"/>
        </w:rPr>
        <w:t xml:space="preserve">lists </w:t>
      </w:r>
    </w:p>
    <w:p>
      <w:pPr>
        <w:pStyle w:val="TextBody"/>
        <w:spacing w:before="240" w:after="0"/>
        <w:jc w:val="left"/>
        <w:rPr>
          <w:rFonts w:ascii="ARIAL" w:hAnsi="ARIAL"/>
          <w:spacing w:val="0"/>
          <w:sz w:val="19"/>
        </w:rPr>
      </w:pPr>
      <w:r>
        <w:rPr>
          <w:rFonts w:ascii="ARIAL" w:hAnsi="ARIAL"/>
          <w:spacing w:val="0"/>
          <w:sz w:val="19"/>
        </w:rPr>
        <w:t>the</w:t>
      </w:r>
    </w:p>
    <w:p>
      <w:pPr>
        <w:pStyle w:val="TextBody"/>
        <w:spacing w:before="240" w:after="0"/>
        <w:jc w:val="left"/>
        <w:rPr>
          <w:rFonts w:ascii="ARIAL" w:hAnsi="ARIAL"/>
          <w:spacing w:val="0"/>
          <w:sz w:val="19"/>
        </w:rPr>
      </w:pPr>
      <w:r>
        <w:rPr>
          <w:rFonts w:ascii="ARIAL" w:hAnsi="ARIAL"/>
          <w:spacing w:val="0"/>
          <w:sz w:val="19"/>
        </w:rPr>
        <w:t>three</w:t>
      </w:r>
    </w:p>
    <w:p>
      <w:pPr>
        <w:pStyle w:val="TextBody"/>
        <w:spacing w:before="240" w:after="0"/>
        <w:jc w:val="left"/>
        <w:rPr>
          <w:rFonts w:ascii="ARIAL" w:hAnsi="ARIAL"/>
          <w:spacing w:val="0"/>
          <w:sz w:val="19"/>
        </w:rPr>
      </w:pPr>
      <w:r>
        <w:rPr>
          <w:rFonts w:ascii="ARIAL" w:hAnsi="ARIAL"/>
          <w:spacing w:val="0"/>
          <w:sz w:val="19"/>
        </w:rPr>
        <w:t xml:space="preserve">financial </w:t>
      </w:r>
    </w:p>
    <w:p>
      <w:pPr>
        <w:pStyle w:val="TextBody"/>
        <w:spacing w:before="240" w:after="0"/>
        <w:jc w:val="left"/>
        <w:rPr>
          <w:rFonts w:ascii="ARIAL" w:hAnsi="ARIAL"/>
          <w:sz w:val="19"/>
        </w:rPr>
      </w:pPr>
      <w:r>
        <w:rPr>
          <w:rFonts w:ascii="ARIAL" w:hAnsi="ARIAL"/>
          <w:sz w:val="19"/>
        </w:rPr>
        <w:t xml:space="preserve">performance measures that we believe represent the most important financial performance measures we used to link compensation actually paid to our named executive officers to our performance: </w:t>
      </w:r>
    </w:p>
    <w:p>
      <w:pPr>
        <w:pStyle w:val="TextBody"/>
        <w:spacing w:before="0" w:after="0"/>
        <w:jc w:val="left"/>
        <w:rPr/>
      </w:pPr>
      <w:r>
        <w:rPr/>
        <w:t> </w:t>
      </w:r>
    </w:p>
    <w:tbl>
      <w:tblPr>
        <w:tblW w:w="1895" w:type="dxa"/>
        <w:jc w:val="left"/>
        <w:tblInd w:w="0" w:type="dxa"/>
        <w:tblCellMar>
          <w:top w:w="0" w:type="dxa"/>
          <w:left w:w="0" w:type="dxa"/>
          <w:bottom w:w="0" w:type="dxa"/>
          <w:right w:w="0" w:type="dxa"/>
        </w:tblCellMar>
      </w:tblPr>
      <w:tblGrid>
        <w:gridCol w:w="1895"/>
      </w:tblGrid>
      <w:tr>
        <w:trPr/>
        <w:tc>
          <w:tcPr>
            <w:tcW w:w="1895" w:type="dxa"/>
            <w:tcBorders/>
            <w:shd w:fill="auto" w:val="clear"/>
            <w:vAlign w:val="center"/>
          </w:tcPr>
          <w:p>
            <w:pPr>
              <w:pStyle w:val="TableContents"/>
              <w:spacing w:before="0" w:after="283"/>
              <w:rPr>
                <w:sz w:val="4"/>
                <w:szCs w:val="4"/>
              </w:rPr>
            </w:pPr>
            <w:r>
              <w:rPr>
                <w:sz w:val="4"/>
                <w:szCs w:val="4"/>
              </w:rPr>
            </w:r>
          </w:p>
        </w:tc>
      </w:tr>
      <w:tr>
        <w:trPr/>
        <w:tc>
          <w:tcPr>
            <w:tcW w:w="1895" w:type="dxa"/>
            <w:tcBorders/>
            <w:shd w:fill="CCDEF1" w:val="clear"/>
            <w:vAlign w:val="center"/>
          </w:tcPr>
          <w:p>
            <w:pPr>
              <w:pStyle w:val="TableContents"/>
              <w:spacing w:before="0" w:after="0"/>
              <w:jc w:val="center"/>
              <w:rPr>
                <w:rFonts w:ascii="ARIAL" w:hAnsi="ARIAL"/>
                <w:sz w:val="16"/>
              </w:rPr>
            </w:pPr>
            <w:r>
              <w:rPr>
                <w:rFonts w:ascii="ARIAL" w:hAnsi="ARIAL"/>
                <w:sz w:val="16"/>
              </w:rPr>
              <w:t>Adjusted Free Cash Flow</w:t>
            </w:r>
          </w:p>
        </w:tc>
      </w:tr>
      <w:tr>
        <w:trPr/>
        <w:tc>
          <w:tcPr>
            <w:tcW w:w="1895" w:type="dxa"/>
            <w:tcBorders/>
            <w:shd w:fill="auto" w:val="clear"/>
            <w:vAlign w:val="center"/>
          </w:tcPr>
          <w:p>
            <w:pPr>
              <w:pStyle w:val="TableContents"/>
              <w:spacing w:before="0" w:after="0"/>
              <w:jc w:val="center"/>
              <w:rPr>
                <w:rFonts w:ascii="ARIAL" w:hAnsi="ARIAL"/>
                <w:sz w:val="16"/>
              </w:rPr>
            </w:pPr>
            <w:r>
              <w:rPr>
                <w:rFonts w:ascii="ARIAL" w:hAnsi="ARIAL"/>
                <w:sz w:val="16"/>
              </w:rPr>
              <w:t>Adjusted EBITDA</w:t>
            </w:r>
          </w:p>
        </w:tc>
      </w:tr>
      <w:tr>
        <w:trPr/>
        <w:tc>
          <w:tcPr>
            <w:tcW w:w="1895" w:type="dxa"/>
            <w:tcBorders/>
            <w:shd w:fill="CCDEF1" w:val="clear"/>
            <w:vAlign w:val="center"/>
          </w:tcPr>
          <w:p>
            <w:pPr>
              <w:pStyle w:val="TableContents"/>
              <w:spacing w:before="0" w:after="0"/>
              <w:jc w:val="center"/>
              <w:rPr>
                <w:rFonts w:ascii="ARIAL" w:hAnsi="ARIAL"/>
                <w:sz w:val="16"/>
              </w:rPr>
            </w:pPr>
            <w:r>
              <w:rPr>
                <w:rFonts w:ascii="ARIAL" w:hAnsi="ARIAL"/>
                <w:sz w:val="16"/>
              </w:rPr>
              <w:t>Adjusted Net Earnings</w:t>
            </w:r>
          </w:p>
        </w:tc>
      </w:tr>
    </w:tbl>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0"/>
              <w:rPr>
                <w:b/>
                <w:color w:val="005CB9"/>
                <w:spacing w:val="0"/>
              </w:rPr>
            </w:pPr>
            <w:r>
              <w:rPr>
                <w:b/>
                <w:color w:val="005CB9"/>
                <w:spacing w:val="0"/>
              </w:rPr>
              <w:t>52</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0"/>
              <w:rPr>
                <w:color w:val="005CB9"/>
                <w:spacing w:val="0"/>
              </w:rPr>
            </w:pPr>
            <w:r>
              <w:rPr>
                <w:color w:val="005CB9"/>
                <w:spacing w:val="0"/>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spacing w:val="0"/>
              </w:rPr>
            </w:pPr>
            <w:r>
              <w:rPr>
                <w:color w:val="005CB9"/>
                <w:spacing w:val="0"/>
              </w:rPr>
              <w:t xml:space="preserve">  </w:t>
            </w:r>
            <w:r>
              <w:rPr>
                <w:color w:val="005CB9"/>
                <w:spacing w:val="0"/>
              </w:rPr>
              <w:drawing>
                <wp:inline distT="0" distB="0" distL="0" distR="0">
                  <wp:extent cx="47625" cy="19050"/>
                  <wp:effectExtent l="0" t="0" r="0" b="0"/>
                  <wp:docPr id="152"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7" descr=""/>
                          <pic:cNvPicPr>
                            <a:picLocks noChangeAspect="1" noChangeArrowheads="1"/>
                          </pic:cNvPicPr>
                        </pic:nvPicPr>
                        <pic:blipFill>
                          <a:blip r:embed="rId108"/>
                          <a:stretch>
                            <a:fillRect/>
                          </a:stretch>
                        </pic:blipFill>
                        <pic:spPr bwMode="auto">
                          <a:xfrm>
                            <a:off x="0" y="0"/>
                            <a:ext cx="47625" cy="19050"/>
                          </a:xfrm>
                          <a:prstGeom prst="rect">
                            <a:avLst/>
                          </a:prstGeom>
                        </pic:spPr>
                      </pic:pic>
                    </a:graphicData>
                  </a:graphic>
                </wp:inline>
              </w:drawing>
            </w:r>
            <w:r>
              <w:rPr>
                <w:color w:val="005CB9"/>
                <w:spacing w:val="0"/>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0"/>
              <w:rPr>
                <w:color w:val="005CB9"/>
                <w:spacing w:val="0"/>
              </w:rPr>
            </w:pPr>
            <w:r>
              <w:rPr>
                <w:color w:val="005CB9"/>
                <w:spacing w:val="0"/>
              </w:rPr>
              <w:t>    </w:t>
            </w:r>
            <w:r>
              <w:rPr>
                <w:b/>
                <w:color w:val="005CB9"/>
                <w:spacing w:val="0"/>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32"/>
        </w:rPr>
      </w:pPr>
      <w:bookmarkStart w:id="32" w:name="toc356364_29"/>
      <w:bookmarkEnd w:id="32"/>
      <w:r>
        <w:rPr>
          <w:rFonts w:ascii="ARIAL" w:hAnsi="ARIAL"/>
          <w:color w:val="005CB9"/>
          <w:sz w:val="32"/>
        </w:rPr>
        <w:t xml:space="preserve">PROPOSAL 2: ADVISORY VOTE TO APPROVE THE COMPENSATION OF THE COMPANY’S NAMED EXECUTIVE OFFICERS </w:t>
      </w:r>
    </w:p>
    <w:p>
      <w:pPr>
        <w:pStyle w:val="TextBody"/>
        <w:spacing w:before="360" w:after="0"/>
        <w:jc w:val="left"/>
        <w:rPr>
          <w:rFonts w:ascii="ARIAL" w:hAnsi="ARIAL"/>
          <w:sz w:val="19"/>
        </w:rPr>
      </w:pPr>
      <w:r>
        <w:rPr>
          <w:rFonts w:ascii="ARIAL" w:hAnsi="ARIAL"/>
          <w:sz w:val="19"/>
        </w:rPr>
        <w:t xml:space="preserve">Pursuant to Section 14A of the Exchange Act, we are seeking your advisory vote approving the compensation of our named executive officers as disclosed in this Proxy Statement. We believe that our executive compensation program is structured in the best manner possible to support our business objectives, evidenced by the superior long-term returns we continue to deliver to our shareholders. Over the past 5 and 10 years, our compound annual return to shareholders was 11.4% and 15.2%, respectively, compared to the S&amp;P 500’s return over the same periods of 9.4% and 12.6%, respectively. </w:t>
      </w:r>
    </w:p>
    <w:p>
      <w:pPr>
        <w:pStyle w:val="TextBody"/>
        <w:spacing w:before="120" w:after="0"/>
        <w:jc w:val="left"/>
        <w:rPr>
          <w:rFonts w:ascii="ARIAL" w:hAnsi="ARIAL"/>
          <w:sz w:val="19"/>
        </w:rPr>
      </w:pPr>
      <w:r>
        <w:rPr>
          <w:rFonts w:ascii="ARIAL" w:hAnsi="ARIAL"/>
          <w:sz w:val="19"/>
        </w:rPr>
        <w:t xml:space="preserve">Our executive compensation program is designed to provide competitive total compensation that is tied to the achievement of Company performance objectives and to attract, motivate and retain individuals who will build long-term value for our shareholders. See the “Proxy Statement Summary” and “Compensation Discussion and Analysis” above for key characteristics of our executive compensation program. </w:t>
      </w:r>
    </w:p>
    <w:p>
      <w:pPr>
        <w:pStyle w:val="TextBody"/>
        <w:spacing w:before="120" w:after="0"/>
        <w:jc w:val="left"/>
        <w:rPr>
          <w:rFonts w:ascii="ARIAL" w:hAnsi="ARIAL"/>
          <w:sz w:val="19"/>
        </w:rPr>
      </w:pPr>
      <w:r>
        <w:rPr>
          <w:rFonts w:ascii="ARIAL" w:hAnsi="ARIAL"/>
          <w:sz w:val="19"/>
        </w:rPr>
        <w:t xml:space="preserve">We are seeking shareholder approval of the following resolution: </w:t>
      </w:r>
    </w:p>
    <w:p>
      <w:pPr>
        <w:pStyle w:val="TextBody"/>
        <w:spacing w:before="120" w:after="0"/>
        <w:jc w:val="left"/>
        <w:rPr>
          <w:rFonts w:ascii="ARIAL" w:hAnsi="ARIAL"/>
          <w:sz w:val="19"/>
        </w:rPr>
      </w:pPr>
      <w:r>
        <w:rPr>
          <w:rFonts w:ascii="ARIAL" w:hAnsi="ARIAL"/>
          <w:sz w:val="19"/>
        </w:rPr>
        <w:t xml:space="preserve">RESOLVED, that the compensation paid to the Company’s named executive officers as disclosed pursuant to the compensation disclosure rules of the SEC, including the Compensation Discussion and Analysis, the compensation tables and the related material disclosed in this Proxy Statement is hereby APPROVED. </w:t>
      </w:r>
    </w:p>
    <w:p>
      <w:pPr>
        <w:pStyle w:val="TextBody"/>
        <w:spacing w:before="120" w:after="0"/>
        <w:jc w:val="left"/>
        <w:rPr>
          <w:rFonts w:ascii="ARIAL" w:hAnsi="ARIAL"/>
          <w:sz w:val="19"/>
        </w:rPr>
      </w:pPr>
      <w:r>
        <w:rPr>
          <w:rFonts w:ascii="ARIAL" w:hAnsi="ARIAL"/>
          <w:sz w:val="19"/>
        </w:rPr>
        <w:t xml:space="preserve">The vote on this proposal is advisory and non-binding; however, the Compensation Committee and our Board will review the results of the vote and consider them when making future determinations regarding our executive compensation program. We expect to hold our next Say-on-Pay vote at the 2024 Annual Meeting. </w:t>
      </w:r>
    </w:p>
    <w:p>
      <w:pPr>
        <w:pStyle w:val="TextBody"/>
        <w:spacing w:before="0" w:after="0"/>
        <w:jc w:val="left"/>
        <w:rPr/>
      </w:pPr>
      <w:r>
        <w:rPr/>
        <w:t> </w:t>
      </w:r>
    </w:p>
    <w:p>
      <w:pPr>
        <w:pStyle w:val="TextBody"/>
        <w:pBdr/>
        <w:spacing w:before="0" w:after="0"/>
        <w:jc w:val="left"/>
        <w:rPr>
          <w:rFonts w:ascii="ARIAL" w:hAnsi="ARIAL"/>
          <w:b/>
          <w:sz w:val="20"/>
          <w:highlight w:val="blue"/>
        </w:rPr>
      </w:pPr>
      <w:r>
        <w:rPr>
          <w:rFonts w:ascii="ARIAL" w:hAnsi="ARIAL"/>
          <w:b/>
          <w:sz w:val="20"/>
          <w:highlight w:val="blue"/>
        </w:rPr>
        <w:t xml:space="preserve">The Board recommends a vote “FOR” the resolution providing an advisory approval of the compensation of the Company’s named executive officers. </w: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5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08" descr=""/>
                          <pic:cNvPicPr>
                            <a:picLocks noChangeAspect="1" noChangeArrowheads="1"/>
                          </pic:cNvPicPr>
                        </pic:nvPicPr>
                        <pic:blipFill>
                          <a:blip r:embed="rId109"/>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53</w:t>
            </w:r>
          </w:p>
        </w:tc>
      </w:tr>
    </w:tbl>
    <w:p>
      <w:pPr>
        <w:pStyle w:val="HorizontalLine"/>
        <w:rPr/>
      </w:pPr>
      <w:r>
        <w:br w:type="page"/>
      </w:r>
      <w:r>
        <w:rPr/>
      </w:r>
    </w:p>
    <w:p>
      <w:pPr>
        <w:pStyle w:val="TextBody"/>
        <w:spacing w:before="0" w:after="0"/>
        <w:jc w:val="left"/>
        <w:rPr>
          <w:rFonts w:ascii="ARIAL" w:hAnsi="ARIAL"/>
          <w:color w:val="005CB9"/>
          <w:sz w:val="32"/>
        </w:rPr>
      </w:pPr>
      <w:bookmarkStart w:id="33" w:name="toc356364_30"/>
      <w:bookmarkEnd w:id="33"/>
      <w:r>
        <w:rPr>
          <w:rFonts w:ascii="ARIAL" w:hAnsi="ARIAL"/>
          <w:color w:val="005CB9"/>
          <w:sz w:val="32"/>
        </w:rPr>
        <w:t xml:space="preserve">PROPOSAL 3: ADVISORY VOTE ON THE FREQUENCY OF THE SHAREHOLDER VOTE ON THE COMPENSATION OF THE COMPANY’S NAMED EXECUTIVE OFFICERS </w:t>
      </w:r>
    </w:p>
    <w:p>
      <w:pPr>
        <w:pStyle w:val="TextBody"/>
        <w:spacing w:before="360" w:after="0"/>
        <w:jc w:val="left"/>
        <w:rPr>
          <w:rFonts w:ascii="ARIAL" w:hAnsi="ARIAL"/>
          <w:sz w:val="19"/>
        </w:rPr>
      </w:pPr>
      <w:r>
        <w:rPr>
          <w:rFonts w:ascii="ARIAL" w:hAnsi="ARIAL"/>
          <w:sz w:val="19"/>
        </w:rPr>
        <w:t xml:space="preserve">Section 14A of the Exchange Act also requires the Company to submit to shareholders a resolution subject to an advisory vote as to whether the shareholder vote to approve named executive officer compensation should occur yearly, every two years or every three years. </w:t>
      </w:r>
    </w:p>
    <w:p>
      <w:pPr>
        <w:pStyle w:val="TextBody"/>
        <w:spacing w:before="120" w:after="0"/>
        <w:jc w:val="left"/>
        <w:rPr>
          <w:rFonts w:ascii="ARIAL" w:hAnsi="ARIAL"/>
          <w:sz w:val="19"/>
        </w:rPr>
      </w:pPr>
      <w:r>
        <w:rPr>
          <w:rFonts w:ascii="ARIAL" w:hAnsi="ARIAL"/>
          <w:sz w:val="19"/>
        </w:rPr>
        <w:t xml:space="preserve">The Board of Directors values the shareholders’ opinions and believes it would benefit from direct, timely feedback on the Company’s executive compensation program. Accordingly, the Board of Directors recommends that shareholders vote for a “yearly” advisory vote on executive compensation. </w:t>
      </w:r>
    </w:p>
    <w:p>
      <w:pPr>
        <w:pStyle w:val="TextBody"/>
        <w:spacing w:before="120" w:after="0"/>
        <w:jc w:val="left"/>
        <w:rPr>
          <w:rFonts w:ascii="ARIAL" w:hAnsi="ARIAL"/>
          <w:sz w:val="19"/>
        </w:rPr>
      </w:pPr>
      <w:r>
        <w:rPr>
          <w:rFonts w:ascii="ARIAL" w:hAnsi="ARIAL"/>
          <w:sz w:val="19"/>
        </w:rPr>
        <w:t xml:space="preserve">The following resolution is submitted for an advisory shareholder vote at the Annual Meeting: </w:t>
      </w:r>
    </w:p>
    <w:p>
      <w:pPr>
        <w:pStyle w:val="TextBody"/>
        <w:spacing w:before="120" w:after="0"/>
        <w:jc w:val="left"/>
        <w:rPr>
          <w:rFonts w:ascii="ARIAL" w:hAnsi="ARIAL"/>
          <w:sz w:val="19"/>
        </w:rPr>
      </w:pPr>
      <w:r>
        <w:rPr>
          <w:rFonts w:ascii="ARIAL" w:hAnsi="ARIAL"/>
          <w:sz w:val="19"/>
        </w:rPr>
        <w:t xml:space="preserve">RESOLVED, that the shareholders advise the Company to hold a shareholder advisory vote on the approval of the compensation of the Company’s named executive officers: </w:t>
      </w:r>
    </w:p>
    <w:p>
      <w:pPr>
        <w:pStyle w:val="TextBody"/>
        <w:spacing w:before="0" w:after="0"/>
        <w:jc w:val="left"/>
        <w:rPr/>
      </w:pPr>
      <w:r>
        <w:rPr/>
        <w:t> </w:t>
      </w:r>
    </w:p>
    <w:tbl>
      <w:tblPr>
        <w:tblW w:w="925" w:type="dxa"/>
        <w:jc w:val="left"/>
        <w:tblInd w:w="0" w:type="dxa"/>
        <w:tblCellMar>
          <w:top w:w="0" w:type="dxa"/>
          <w:left w:w="0" w:type="dxa"/>
          <w:bottom w:w="0" w:type="dxa"/>
          <w:right w:w="0" w:type="dxa"/>
        </w:tblCellMar>
      </w:tblPr>
      <w:tblGrid>
        <w:gridCol w:w="75"/>
        <w:gridCol w:w="110"/>
        <w:gridCol w:w="60"/>
        <w:gridCol w:w="6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0"/>
              <w:jc w:val="left"/>
              <w:rPr>
                <w:rFonts w:ascii="ARIAL" w:hAnsi="ARIAL"/>
                <w:sz w:val="20"/>
              </w:rPr>
            </w:pPr>
            <w:r>
              <w:rPr>
                <w:rFonts w:ascii="ARIAL" w:hAnsi="ARIAL"/>
                <w:sz w:val="20"/>
              </w:rPr>
              <w:t xml:space="preserve">yearly; </w:t>
            </w:r>
          </w:p>
        </w:tc>
      </w:tr>
    </w:tbl>
    <w:p>
      <w:pPr>
        <w:pStyle w:val="TextBody"/>
        <w:spacing w:before="0" w:after="0"/>
        <w:jc w:val="left"/>
        <w:rPr/>
      </w:pPr>
      <w:r>
        <w:rPr/>
        <w:t> </w:t>
      </w:r>
    </w:p>
    <w:tbl>
      <w:tblPr>
        <w:tblW w:w="2005" w:type="dxa"/>
        <w:jc w:val="left"/>
        <w:tblInd w:w="0" w:type="dxa"/>
        <w:tblCellMar>
          <w:top w:w="0" w:type="dxa"/>
          <w:left w:w="0" w:type="dxa"/>
          <w:bottom w:w="0" w:type="dxa"/>
          <w:right w:w="0" w:type="dxa"/>
        </w:tblCellMar>
      </w:tblPr>
      <w:tblGrid>
        <w:gridCol w:w="75"/>
        <w:gridCol w:w="110"/>
        <w:gridCol w:w="60"/>
        <w:gridCol w:w="17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760" w:type="dxa"/>
            <w:tcBorders/>
            <w:shd w:fill="auto" w:val="clear"/>
            <w:vAlign w:val="center"/>
          </w:tcPr>
          <w:p>
            <w:pPr>
              <w:pStyle w:val="TableContents"/>
              <w:spacing w:before="0" w:after="0"/>
              <w:jc w:val="left"/>
              <w:rPr>
                <w:rFonts w:ascii="ARIAL" w:hAnsi="ARIAL"/>
                <w:sz w:val="20"/>
              </w:rPr>
            </w:pPr>
            <w:r>
              <w:rPr>
                <w:rFonts w:ascii="ARIAL" w:hAnsi="ARIAL"/>
                <w:sz w:val="20"/>
              </w:rPr>
              <w:t xml:space="preserve">every two years; or </w:t>
            </w:r>
          </w:p>
        </w:tc>
      </w:tr>
    </w:tbl>
    <w:p>
      <w:pPr>
        <w:pStyle w:val="TextBody"/>
        <w:spacing w:before="0" w:after="0"/>
        <w:jc w:val="left"/>
        <w:rPr/>
      </w:pPr>
      <w:r>
        <w:rPr/>
        <w:t> </w:t>
      </w:r>
    </w:p>
    <w:tbl>
      <w:tblPr>
        <w:tblW w:w="1915" w:type="dxa"/>
        <w:jc w:val="left"/>
        <w:tblInd w:w="0" w:type="dxa"/>
        <w:tblCellMar>
          <w:top w:w="0" w:type="dxa"/>
          <w:left w:w="0" w:type="dxa"/>
          <w:bottom w:w="0" w:type="dxa"/>
          <w:right w:w="0" w:type="dxa"/>
        </w:tblCellMar>
      </w:tblPr>
      <w:tblGrid>
        <w:gridCol w:w="75"/>
        <w:gridCol w:w="110"/>
        <w:gridCol w:w="60"/>
        <w:gridCol w:w="16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70" w:type="dxa"/>
            <w:tcBorders/>
            <w:shd w:fill="auto" w:val="clear"/>
            <w:vAlign w:val="center"/>
          </w:tcPr>
          <w:p>
            <w:pPr>
              <w:pStyle w:val="TableContents"/>
              <w:spacing w:before="0" w:after="0"/>
              <w:jc w:val="left"/>
              <w:rPr>
                <w:rFonts w:ascii="ARIAL" w:hAnsi="ARIAL"/>
                <w:sz w:val="20"/>
              </w:rPr>
            </w:pPr>
            <w:r>
              <w:rPr>
                <w:rFonts w:ascii="ARIAL" w:hAnsi="ARIAL"/>
                <w:sz w:val="20"/>
              </w:rPr>
              <w:t xml:space="preserve">every three years. </w:t>
            </w:r>
          </w:p>
        </w:tc>
      </w:tr>
    </w:tbl>
    <w:p>
      <w:pPr>
        <w:pStyle w:val="TextBody"/>
        <w:spacing w:before="120" w:after="0"/>
        <w:jc w:val="left"/>
        <w:rPr>
          <w:rFonts w:ascii="ARIAL" w:hAnsi="ARIAL"/>
          <w:sz w:val="19"/>
        </w:rPr>
      </w:pPr>
      <w:r>
        <w:rPr>
          <w:rFonts w:ascii="ARIAL" w:hAnsi="ARIAL"/>
          <w:sz w:val="19"/>
        </w:rPr>
        <w:t xml:space="preserve">The option that receives the greatest number of votes cast by the shareholders will be considered the option approved by the shareholders. Voters may also abstain with respect to this proposal. </w:t>
      </w:r>
    </w:p>
    <w:p>
      <w:pPr>
        <w:pStyle w:val="TextBody"/>
        <w:spacing w:before="120" w:after="0"/>
        <w:jc w:val="left"/>
        <w:rPr>
          <w:rFonts w:ascii="ARIAL" w:hAnsi="ARIAL"/>
          <w:sz w:val="19"/>
        </w:rPr>
      </w:pPr>
      <w:r>
        <w:rPr>
          <w:rFonts w:ascii="ARIAL" w:hAnsi="ARIAL"/>
          <w:sz w:val="19"/>
        </w:rPr>
        <w:t xml:space="preserve">The vote on this proposal is advisory and non-binding; however, the Compensation Committee and our Board will review the results of the vote and consider them when determining the frequency of the shareholder advisory vote to approve the compensation of the named executive officers. We expect to hold our next Say-on-Pay frequency vote at the 2029 Annual Meeting. </w:t>
      </w:r>
    </w:p>
    <w:p>
      <w:pPr>
        <w:pStyle w:val="TextBody"/>
        <w:spacing w:before="0" w:after="0"/>
        <w:jc w:val="left"/>
        <w:rPr/>
      </w:pPr>
      <w:r>
        <w:rPr/>
        <w:t> </w:t>
      </w:r>
    </w:p>
    <w:p>
      <w:pPr>
        <w:pStyle w:val="TextBody"/>
        <w:pBdr/>
        <w:spacing w:before="0" w:after="0"/>
        <w:jc w:val="left"/>
        <w:rPr>
          <w:rFonts w:ascii="ARIAL" w:hAnsi="ARIAL"/>
          <w:b/>
          <w:sz w:val="20"/>
          <w:highlight w:val="blue"/>
        </w:rPr>
      </w:pPr>
      <w:r>
        <w:rPr>
          <w:rFonts w:ascii="ARIAL" w:hAnsi="ARIAL"/>
          <w:b/>
          <w:sz w:val="20"/>
          <w:highlight w:val="blue"/>
        </w:rPr>
        <w:t xml:space="preserve">The Board of Directors recommends a vote for “YEARLY” as the frequency of the shareholder advisory vote to approve the Company’s compensation of executive officers. </w: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54</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5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9" descr=""/>
                          <pic:cNvPicPr>
                            <a:picLocks noChangeAspect="1" noChangeArrowheads="1"/>
                          </pic:cNvPicPr>
                        </pic:nvPicPr>
                        <pic:blipFill>
                          <a:blip r:embed="rId110"/>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32"/>
        </w:rPr>
      </w:pPr>
      <w:bookmarkStart w:id="34" w:name="toc356364_31"/>
      <w:bookmarkEnd w:id="34"/>
      <w:r>
        <w:rPr>
          <w:rFonts w:ascii="ARIAL" w:hAnsi="ARIAL"/>
          <w:color w:val="005CB9"/>
          <w:sz w:val="32"/>
        </w:rPr>
        <w:t xml:space="preserve">AUDIT COMMITTEE REPORT </w:t>
      </w:r>
    </w:p>
    <w:p>
      <w:pPr>
        <w:pStyle w:val="TextBody"/>
        <w:spacing w:before="360" w:after="0"/>
        <w:jc w:val="left"/>
        <w:rPr>
          <w:rFonts w:ascii="ARIAL" w:hAnsi="ARIAL"/>
          <w:sz w:val="19"/>
        </w:rPr>
      </w:pPr>
      <w:r>
        <w:rPr>
          <w:rFonts w:ascii="ARIAL" w:hAnsi="ARIAL"/>
          <w:sz w:val="19"/>
        </w:rPr>
        <w:t xml:space="preserve">The Audit Committee of the Board of Directors is comprised of four non-employee directors, each of whom has been determined by the Board of Directors to be independent under the NYSE and SEC rules. The Audit Committee’s responsibilities are set forth in its charter. </w:t>
      </w:r>
    </w:p>
    <w:p>
      <w:pPr>
        <w:pStyle w:val="TextBody"/>
        <w:spacing w:before="120" w:after="0"/>
        <w:jc w:val="left"/>
        <w:rPr>
          <w:rFonts w:ascii="ARIAL" w:hAnsi="ARIAL"/>
          <w:sz w:val="19"/>
        </w:rPr>
      </w:pPr>
      <w:r>
        <w:rPr>
          <w:rFonts w:ascii="ARIAL" w:hAnsi="ARIAL"/>
          <w:sz w:val="19"/>
        </w:rPr>
        <w:t xml:space="preserve">The Audit Committee oversees and reviews with the full Board of Directors any issues with respect to the Company’s financial statements, the structure of the Company’s legal and regulatory compliance, the performance and independence of the Company’s independent registered public accounting firm and the performance of the Company’s internal audit function. The Committee retains the Company’s independent registered public accounting firm to undertake appropriate reviews and audits of the Company’s financial statements, determines the compensation of the independent registered public accounting firm, and pre-approves all of their services. The Committee also periodically reviews the work performed by other public accounting firms retained by the Company to provide various financial and information technology services. The Company’s management is primarily responsible for the Company’s financial reporting process and for the preparation of the Company’s financial statements in accordance with GAAP. The Audit Committee maintains oversight of the independent registered public accounting firm by discussing the overall scope and specific plans for their audits, the results of their examinations, their evaluations of the Company’s internal accounting controls and the overall quality of the Company’s financial reporting. The Audit Committee may delegate its duties and responsibilities to a sub-committee of the Committee. </w:t>
      </w:r>
    </w:p>
    <w:p>
      <w:pPr>
        <w:pStyle w:val="TextBody"/>
        <w:spacing w:before="120" w:after="0"/>
        <w:jc w:val="left"/>
        <w:rPr>
          <w:rFonts w:ascii="ARIAL" w:hAnsi="ARIAL"/>
          <w:sz w:val="19"/>
        </w:rPr>
      </w:pPr>
      <w:r>
        <w:rPr>
          <w:rFonts w:ascii="ARIAL" w:hAnsi="ARIAL"/>
          <w:sz w:val="19"/>
        </w:rPr>
        <w:t xml:space="preserve">The Audit Committee maintains oversight of the Company’s internal audit function by evaluating the appointment and performance of the Company’s Vice President of internal audit and periodically meeting with this individual to receive and review reports of the work of the Company’s internal audit department. The Audit Committee meets with management on a regular basis to discuss any significant matters, internal audit recommendations, policy or procedural changes and risks or exposures, if any, that may have a material effect on the Company’s financial statements. </w:t>
      </w:r>
    </w:p>
    <w:p>
      <w:pPr>
        <w:pStyle w:val="TextBody"/>
        <w:spacing w:before="120" w:after="0"/>
        <w:jc w:val="left"/>
        <w:rPr>
          <w:rFonts w:ascii="ARIAL" w:hAnsi="ARIAL"/>
          <w:sz w:val="19"/>
        </w:rPr>
      </w:pPr>
      <w:r>
        <w:rPr>
          <w:rFonts w:ascii="ARIAL" w:hAnsi="ARIAL"/>
          <w:sz w:val="19"/>
        </w:rPr>
        <w:t>The Audit Committee: (i) appointed and retained PricewaterhouseCoopers LLP (“PwC”) as the Company’s independent registered public accounting firm for the fiscal year ended December 31, 2022; (ii) reviewed and discussed with the Company’s management the Company’s audited financial statements for the fiscal year ended December 31, 2022; (iii) discussed with PwC the matters required to be discussed by the Auditing Standard No. 1301, “</w:t>
      </w:r>
      <w:r>
        <w:rPr>
          <w:rFonts w:ascii="ARIAL" w:hAnsi="ARIAL"/>
          <w:i/>
          <w:sz w:val="19"/>
        </w:rPr>
        <w:t>Communication with Audit Committees</w:t>
      </w:r>
      <w:r>
        <w:rPr>
          <w:rFonts w:ascii="ARIAL" w:hAnsi="ARIAL"/>
          <w:sz w:val="19"/>
        </w:rPr>
        <w:t>,” issued by the Public Company Accounting Oversight Board (the “PCAOB”); (iv) received the written disclosures and the letter from PwC required by PCAOB Ethics and Independence Rule 3526, “</w:t>
      </w:r>
      <w:r>
        <w:rPr>
          <w:rFonts w:ascii="ARIAL" w:hAnsi="ARIAL"/>
          <w:i/>
          <w:sz w:val="19"/>
        </w:rPr>
        <w:t>Communication with Audit Committees Concerning Independence</w:t>
      </w:r>
      <w:r>
        <w:rPr>
          <w:rFonts w:ascii="ARIAL" w:hAnsi="ARIAL"/>
          <w:sz w:val="19"/>
        </w:rPr>
        <w:t xml:space="preserve">,” and has discussed with PwC its independence from the Company and its management; (v) discussed matters with PwC outside the presence of management; (vi) reviewed internal audit recommendations; (vii) discussed with PwC the quality of the Company’s financial reporting; and (viii) reviewed and discussed with PwC the results of the audit of the effectiveness of internal control over financial reporting in accordance with Section 404 of the Sarbanes-Oxley Act of 2002 (the “Sarbanes-Oxley Act”). </w:t>
      </w:r>
    </w:p>
    <w:p>
      <w:pPr>
        <w:pStyle w:val="TextBody"/>
        <w:spacing w:before="120" w:after="0"/>
        <w:jc w:val="left"/>
        <w:rPr>
          <w:rFonts w:ascii="ARIAL" w:hAnsi="ARIAL"/>
          <w:sz w:val="19"/>
        </w:rPr>
      </w:pPr>
      <w:r>
        <w:rPr>
          <w:rFonts w:ascii="ARIAL" w:hAnsi="ARIAL"/>
          <w:sz w:val="19"/>
        </w:rPr>
        <w:t xml:space="preserve">In reliance on the reviews, reports and discussions referred to above, the Audit Committee recommended to the Board of Directors, and the Board of Directors has approved, that the audited financial statements be included in the Company’s Annual Report on Form 10-K for the fiscal year ended December 31, 2022, for filing with the SEC. </w:t>
      </w:r>
    </w:p>
    <w:p>
      <w:pPr>
        <w:pStyle w:val="TextBody"/>
        <w:spacing w:before="120" w:after="0"/>
        <w:jc w:val="left"/>
        <w:rPr>
          <w:rFonts w:ascii="ARIAL" w:hAnsi="ARIAL"/>
          <w:sz w:val="20"/>
        </w:rPr>
      </w:pPr>
      <w:r>
        <w:rPr>
          <w:rFonts w:ascii="ARIAL" w:hAnsi="ARIAL"/>
          <w:sz w:val="20"/>
        </w:rPr>
        <w:t xml:space="preserve">AUDIT COMMITTEE </w:t>
      </w:r>
    </w:p>
    <w:p>
      <w:pPr>
        <w:pStyle w:val="TextBody"/>
        <w:spacing w:before="120" w:after="0"/>
        <w:jc w:val="left"/>
        <w:rPr>
          <w:rFonts w:ascii="ARIAL" w:hAnsi="ARIAL"/>
          <w:sz w:val="19"/>
        </w:rPr>
      </w:pPr>
      <w:r>
        <w:rPr>
          <w:rFonts w:ascii="ARIAL" w:hAnsi="ARIAL"/>
          <w:sz w:val="19"/>
        </w:rPr>
        <w:t xml:space="preserve">Richard F. Wallman, Chair </w:t>
      </w:r>
    </w:p>
    <w:p>
      <w:pPr>
        <w:pStyle w:val="TextBody"/>
        <w:spacing w:before="0" w:after="0"/>
        <w:jc w:val="left"/>
        <w:rPr>
          <w:rFonts w:ascii="ARIAL" w:hAnsi="ARIAL"/>
          <w:sz w:val="19"/>
        </w:rPr>
      </w:pPr>
      <w:r>
        <w:rPr>
          <w:rFonts w:ascii="ARIAL" w:hAnsi="ARIAL"/>
          <w:sz w:val="19"/>
        </w:rPr>
        <w:t xml:space="preserve">Irene M. Esteves </w:t>
      </w:r>
    </w:p>
    <w:p>
      <w:pPr>
        <w:pStyle w:val="TextBody"/>
        <w:spacing w:before="0" w:after="0"/>
        <w:jc w:val="left"/>
        <w:rPr>
          <w:rFonts w:ascii="ARIAL" w:hAnsi="ARIAL"/>
          <w:sz w:val="19"/>
        </w:rPr>
      </w:pPr>
      <w:r>
        <w:rPr>
          <w:rFonts w:ascii="ARIAL" w:hAnsi="ARIAL"/>
          <w:sz w:val="19"/>
        </w:rPr>
        <w:t xml:space="preserve">Thomas P. Joyce, Jr. </w:t>
      </w:r>
    </w:p>
    <w:p>
      <w:pPr>
        <w:pStyle w:val="TextBody"/>
        <w:spacing w:before="0" w:after="0"/>
        <w:jc w:val="left"/>
        <w:rPr>
          <w:rFonts w:ascii="ARIAL" w:hAnsi="ARIAL"/>
          <w:sz w:val="19"/>
        </w:rPr>
      </w:pPr>
      <w:r>
        <w:rPr>
          <w:rFonts w:ascii="ARIAL" w:hAnsi="ARIAL"/>
          <w:sz w:val="19"/>
        </w:rPr>
        <w:t xml:space="preserve">Christopher Wright </w:t>
      </w:r>
    </w:p>
    <w:p>
      <w:pPr>
        <w:pStyle w:val="TextBody"/>
        <w:spacing w:before="480" w:after="0"/>
        <w:jc w:val="left"/>
        <w:rPr>
          <w:rFonts w:ascii="ARIAL" w:hAnsi="ARIAL"/>
          <w:i/>
          <w:color w:val="005CB9"/>
          <w:sz w:val="19"/>
        </w:rPr>
      </w:pPr>
      <w:r>
        <w:rPr>
          <w:rFonts w:ascii="ARIAL" w:hAnsi="ARIAL"/>
          <w:i/>
          <w:color w:val="005CB9"/>
          <w:sz w:val="19"/>
        </w:rPr>
        <w:t xml:space="preserve">The foregoing report and other information provided above regarding the Audit Committee should not be deemed incorporated by reference by any general statement incorporating by reference this Proxy Statement into any filing under the Securities Act or the Exchange Act, except to the extent that Roper specifically incorporates this information by reference, and shall not otherwise be deemed filed under either the Securities Act or the Exchange Act. </w: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55"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10" descr=""/>
                          <pic:cNvPicPr>
                            <a:picLocks noChangeAspect="1" noChangeArrowheads="1"/>
                          </pic:cNvPicPr>
                        </pic:nvPicPr>
                        <pic:blipFill>
                          <a:blip r:embed="rId111"/>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55</w:t>
            </w:r>
          </w:p>
        </w:tc>
      </w:tr>
    </w:tbl>
    <w:p>
      <w:pPr>
        <w:pStyle w:val="HorizontalLine"/>
        <w:rPr/>
      </w:pPr>
      <w:r>
        <w:br w:type="page"/>
      </w:r>
      <w:r>
        <w:rPr/>
      </w:r>
    </w:p>
    <w:p>
      <w:pPr>
        <w:pStyle w:val="TextBody"/>
        <w:spacing w:before="0" w:after="0"/>
        <w:jc w:val="left"/>
        <w:rPr>
          <w:rFonts w:ascii="ARIAL" w:hAnsi="ARIAL"/>
          <w:color w:val="005CB9"/>
          <w:sz w:val="32"/>
        </w:rPr>
      </w:pPr>
      <w:bookmarkStart w:id="35" w:name="toc356364_32"/>
      <w:bookmarkEnd w:id="35"/>
      <w:r>
        <w:rPr>
          <w:rFonts w:ascii="ARIAL" w:hAnsi="ARIAL"/>
          <w:color w:val="005CB9"/>
          <w:sz w:val="32"/>
        </w:rPr>
        <w:t xml:space="preserve">INDEPENDENT PUBLIC ACCOUNTANT’S FEES </w:t>
      </w:r>
    </w:p>
    <w:p>
      <w:pPr>
        <w:pStyle w:val="TextBody"/>
        <w:spacing w:before="360" w:after="0"/>
        <w:jc w:val="left"/>
        <w:rPr>
          <w:rFonts w:ascii="ARIAL" w:hAnsi="ARIAL"/>
          <w:sz w:val="19"/>
        </w:rPr>
      </w:pPr>
      <w:r>
        <w:rPr>
          <w:rFonts w:ascii="ARIAL" w:hAnsi="ARIAL"/>
          <w:sz w:val="19"/>
        </w:rPr>
        <w:t xml:space="preserve">Set forth below are the professional fees billed by PwC for the fiscal years ended December 31, 2022 and 2021. It is the Audit Committee’s policy that all services performed by and all fees paid to the independent registered public accounting firm require the Audit Committee’s prior approval. As such, all audit, audit-related tax and other fees were pre-approved by the Audit Committee. </w:t>
      </w:r>
    </w:p>
    <w:p>
      <w:pPr>
        <w:pStyle w:val="TextBody"/>
        <w:spacing w:before="0" w:after="0"/>
        <w:jc w:val="left"/>
        <w:rPr/>
      </w:pPr>
      <w:r>
        <w:rPr/>
        <w:t> </w:t>
      </w:r>
    </w:p>
    <w:tbl>
      <w:tblPr>
        <w:tblW w:w="4257" w:type="dxa"/>
        <w:jc w:val="left"/>
        <w:tblInd w:w="0" w:type="dxa"/>
        <w:tblCellMar>
          <w:top w:w="0" w:type="dxa"/>
          <w:left w:w="0" w:type="dxa"/>
          <w:bottom w:w="0" w:type="dxa"/>
          <w:right w:w="0" w:type="dxa"/>
        </w:tblCellMar>
      </w:tblPr>
      <w:tblGrid>
        <w:gridCol w:w="1985"/>
        <w:gridCol w:w="120"/>
        <w:gridCol w:w="168"/>
        <w:gridCol w:w="818"/>
        <w:gridCol w:w="72"/>
        <w:gridCol w:w="144"/>
        <w:gridCol w:w="174"/>
        <w:gridCol w:w="701"/>
        <w:gridCol w:w="75"/>
      </w:tblGrid>
      <w:tr>
        <w:trPr/>
        <w:tc>
          <w:tcPr>
            <w:tcW w:w="19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7" w:type="dxa"/>
            <w:gridSpan w:val="6"/>
            <w:tcBorders>
              <w:bottom w:val="single" w:sz="8" w:space="0" w:color="000000"/>
            </w:tcBorders>
            <w:shd w:fill="auto" w:val="clear"/>
            <w:tcMar>
              <w:bottom w:w="28" w:type="dxa"/>
            </w:tcMar>
            <w:vAlign w:val="center"/>
          </w:tcPr>
          <w:p>
            <w:pPr>
              <w:pStyle w:val="TableContents"/>
              <w:spacing w:before="0" w:after="283"/>
              <w:jc w:val="center"/>
              <w:rPr/>
            </w:pPr>
            <w:r>
              <w:rPr/>
              <w:t>Dollars in Thousands</w:t>
            </w:r>
          </w:p>
        </w:tc>
        <w:tc>
          <w:tcPr>
            <w:tcW w:w="75" w:type="dxa"/>
            <w:tcBorders/>
            <w:shd w:fill="auto" w:val="clear"/>
            <w:vAlign w:val="center"/>
          </w:tcPr>
          <w:p>
            <w:pPr>
              <w:pStyle w:val="TableContents"/>
              <w:spacing w:before="0" w:after="283"/>
              <w:rPr/>
            </w:pPr>
            <w:r>
              <w:rPr/>
              <w:t> </w:t>
            </w:r>
          </w:p>
        </w:tc>
      </w:tr>
      <w:tr>
        <w:trPr/>
        <w:tc>
          <w:tcPr>
            <w:tcW w:w="1985" w:type="dxa"/>
            <w:tcBorders>
              <w:bottom w:val="single" w:sz="8" w:space="0" w:color="000000"/>
            </w:tcBorders>
            <w:shd w:fill="auto" w:val="clear"/>
            <w:tcMar>
              <w:bottom w:w="28" w:type="dxa"/>
            </w:tcMar>
            <w:vAlign w:val="center"/>
          </w:tcPr>
          <w:p>
            <w:pPr>
              <w:pStyle w:val="TableContents"/>
              <w:spacing w:before="0" w:after="283"/>
              <w:rPr/>
            </w:pPr>
            <w:r>
              <w:rPr/>
              <w:t>Fees</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86" w:type="dxa"/>
            <w:gridSpan w:val="2"/>
            <w:tcBorders>
              <w:bottom w:val="single" w:sz="8" w:space="0" w:color="000000"/>
            </w:tcBorders>
            <w:shd w:fill="auto" w:val="clear"/>
            <w:tcMar>
              <w:bottom w:w="28" w:type="dxa"/>
            </w:tcMar>
            <w:vAlign w:val="center"/>
          </w:tcPr>
          <w:p>
            <w:pPr>
              <w:pStyle w:val="TableContents"/>
              <w:spacing w:before="0" w:after="283"/>
              <w:jc w:val="center"/>
              <w:rPr/>
            </w:pPr>
            <w:r>
              <w:rPr/>
              <w:t>FY 2022</w:t>
            </w:r>
          </w:p>
        </w:tc>
        <w:tc>
          <w:tcPr>
            <w:tcW w:w="72" w:type="dxa"/>
            <w:tcBorders>
              <w:bottom w:val="single" w:sz="8" w:space="0" w:color="000000"/>
            </w:tcBorders>
            <w:shd w:fill="auto" w:val="clear"/>
            <w:tcMar>
              <w:bottom w:w="28" w:type="dxa"/>
            </w:tcMar>
            <w:vAlign w:val="center"/>
          </w:tcPr>
          <w:p>
            <w:pPr>
              <w:pStyle w:val="TableContents"/>
              <w:spacing w:before="0" w:after="283"/>
              <w:rPr/>
            </w:pPr>
            <w:r>
              <w:rPr/>
              <w:t> </w:t>
            </w:r>
          </w:p>
        </w:tc>
        <w:tc>
          <w:tcPr>
            <w:tcW w:w="144" w:type="dxa"/>
            <w:tcBorders>
              <w:bottom w:val="single" w:sz="8" w:space="0" w:color="000000"/>
            </w:tcBorders>
            <w:shd w:fill="auto" w:val="clear"/>
            <w:tcMar>
              <w:bottom w:w="28" w:type="dxa"/>
            </w:tcMar>
            <w:vAlign w:val="center"/>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center"/>
          </w:tcPr>
          <w:p>
            <w:pPr>
              <w:pStyle w:val="TableContents"/>
              <w:spacing w:before="0" w:after="283"/>
              <w:jc w:val="center"/>
              <w:rPr/>
            </w:pPr>
            <w:r>
              <w:rPr/>
              <w:t>FY 2021</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985" w:type="dxa"/>
            <w:tcBorders/>
            <w:shd w:fill="auto" w:val="clear"/>
            <w:vAlign w:val="center"/>
          </w:tcPr>
          <w:p>
            <w:pPr>
              <w:pStyle w:val="TableContents"/>
              <w:spacing w:before="0" w:after="283"/>
              <w:rPr>
                <w:sz w:val="4"/>
                <w:szCs w:val="4"/>
              </w:rPr>
            </w:pPr>
            <w:r>
              <w:rPr>
                <w:sz w:val="4"/>
                <w:szCs w:val="4"/>
              </w:rPr>
            </w:r>
          </w:p>
        </w:tc>
        <w:tc>
          <w:tcPr>
            <w:tcW w:w="1178" w:type="dxa"/>
            <w:gridSpan w:val="4"/>
            <w:tcBorders/>
            <w:shd w:fill="auto" w:val="clear"/>
            <w:vAlign w:val="center"/>
          </w:tcPr>
          <w:p>
            <w:pPr>
              <w:pStyle w:val="TableContents"/>
              <w:spacing w:before="0" w:after="283"/>
              <w:rPr>
                <w:sz w:val="4"/>
                <w:szCs w:val="4"/>
              </w:rPr>
            </w:pPr>
            <w:r>
              <w:rPr>
                <w:sz w:val="4"/>
                <w:szCs w:val="4"/>
              </w:rPr>
            </w:r>
          </w:p>
        </w:tc>
        <w:tc>
          <w:tcPr>
            <w:tcW w:w="1094" w:type="dxa"/>
            <w:gridSpan w:val="4"/>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0"/>
              <w:rPr>
                <w:rFonts w:ascii="ARIAL" w:hAnsi="ARIAL"/>
                <w:sz w:val="19"/>
              </w:rPr>
            </w:pPr>
            <w:r>
              <w:rPr>
                <w:rFonts w:ascii="ARIAL" w:hAnsi="ARIAL"/>
                <w:sz w:val="19"/>
              </w:rPr>
              <w:t xml:space="preserve">Audit Fees(1)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w:t>
            </w:r>
          </w:p>
        </w:tc>
        <w:tc>
          <w:tcPr>
            <w:tcW w:w="818" w:type="dxa"/>
            <w:tcBorders/>
            <w:shd w:fill="auto" w:val="clear"/>
            <w:vAlign w:val="center"/>
          </w:tcPr>
          <w:p>
            <w:pPr>
              <w:pStyle w:val="TableContents"/>
              <w:spacing w:before="0" w:after="283"/>
              <w:jc w:val="right"/>
              <w:rPr/>
            </w:pPr>
            <w:r>
              <w:rPr/>
              <w:t>6,856</w:t>
            </w:r>
          </w:p>
        </w:tc>
        <w:tc>
          <w:tcPr>
            <w:tcW w:w="72"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701" w:type="dxa"/>
            <w:tcBorders/>
            <w:shd w:fill="auto" w:val="clear"/>
            <w:vAlign w:val="center"/>
          </w:tcPr>
          <w:p>
            <w:pPr>
              <w:pStyle w:val="TableContents"/>
              <w:spacing w:before="0" w:after="283"/>
              <w:jc w:val="right"/>
              <w:rPr/>
            </w:pPr>
            <w:r>
              <w:rPr/>
              <w:t>5,358</w:t>
            </w:r>
          </w:p>
        </w:tc>
        <w:tc>
          <w:tcPr>
            <w:tcW w:w="75" w:type="dxa"/>
            <w:tcBorders/>
            <w:shd w:fill="auto" w:val="clear"/>
            <w:vAlign w:val="center"/>
          </w:tcPr>
          <w:p>
            <w:pPr>
              <w:pStyle w:val="TableContents"/>
              <w:spacing w:before="0" w:after="283"/>
              <w:rPr/>
            </w:pPr>
            <w:r>
              <w:rPr/>
              <w:t> </w:t>
            </w:r>
          </w:p>
        </w:tc>
      </w:tr>
      <w:tr>
        <w:trPr/>
        <w:tc>
          <w:tcPr>
            <w:tcW w:w="1985" w:type="dxa"/>
            <w:tcBorders/>
            <w:shd w:fill="auto" w:val="clear"/>
            <w:vAlign w:val="center"/>
          </w:tcPr>
          <w:p>
            <w:pPr>
              <w:pStyle w:val="TableContents"/>
              <w:spacing w:before="0" w:after="283"/>
              <w:rPr>
                <w:sz w:val="4"/>
                <w:szCs w:val="4"/>
              </w:rPr>
            </w:pPr>
            <w:r>
              <w:rPr>
                <w:sz w:val="4"/>
                <w:szCs w:val="4"/>
              </w:rPr>
            </w:r>
          </w:p>
        </w:tc>
        <w:tc>
          <w:tcPr>
            <w:tcW w:w="1178" w:type="dxa"/>
            <w:gridSpan w:val="4"/>
            <w:tcBorders/>
            <w:shd w:fill="auto" w:val="clear"/>
            <w:vAlign w:val="center"/>
          </w:tcPr>
          <w:p>
            <w:pPr>
              <w:pStyle w:val="TableContents"/>
              <w:spacing w:before="0" w:after="283"/>
              <w:rPr>
                <w:sz w:val="4"/>
                <w:szCs w:val="4"/>
              </w:rPr>
            </w:pPr>
            <w:r>
              <w:rPr>
                <w:sz w:val="4"/>
                <w:szCs w:val="4"/>
              </w:rPr>
            </w:r>
          </w:p>
        </w:tc>
        <w:tc>
          <w:tcPr>
            <w:tcW w:w="1094" w:type="dxa"/>
            <w:gridSpan w:val="4"/>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0"/>
              <w:rPr>
                <w:rFonts w:ascii="ARIAL" w:hAnsi="ARIAL"/>
                <w:sz w:val="19"/>
              </w:rPr>
            </w:pPr>
            <w:r>
              <w:rPr>
                <w:rFonts w:ascii="ARIAL" w:hAnsi="ARIAL"/>
                <w:sz w:val="19"/>
              </w:rPr>
              <w:t xml:space="preserve">Audit-Related Fees(2)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818" w:type="dxa"/>
            <w:tcBorders/>
            <w:shd w:fill="auto" w:val="clear"/>
            <w:vAlign w:val="center"/>
          </w:tcPr>
          <w:p>
            <w:pPr>
              <w:pStyle w:val="TableContents"/>
              <w:spacing w:before="0" w:after="283"/>
              <w:jc w:val="right"/>
              <w:rPr/>
            </w:pPr>
            <w:r>
              <w:rPr/>
              <w:t>4,248</w:t>
            </w:r>
          </w:p>
        </w:tc>
        <w:tc>
          <w:tcPr>
            <w:tcW w:w="72"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701" w:type="dxa"/>
            <w:tcBorders/>
            <w:shd w:fill="auto" w:val="clear"/>
            <w:vAlign w:val="center"/>
          </w:tcPr>
          <w:p>
            <w:pPr>
              <w:pStyle w:val="TableContents"/>
              <w:spacing w:before="0" w:after="283"/>
              <w:jc w:val="right"/>
              <w:rPr/>
            </w:pPr>
            <w:r>
              <w:rPr/>
              <w:t>595</w:t>
            </w:r>
          </w:p>
        </w:tc>
        <w:tc>
          <w:tcPr>
            <w:tcW w:w="75" w:type="dxa"/>
            <w:tcBorders/>
            <w:shd w:fill="auto" w:val="clear"/>
            <w:vAlign w:val="center"/>
          </w:tcPr>
          <w:p>
            <w:pPr>
              <w:pStyle w:val="TableContents"/>
              <w:spacing w:before="0" w:after="283"/>
              <w:rPr/>
            </w:pPr>
            <w:r>
              <w:rPr/>
              <w:t> </w:t>
            </w:r>
          </w:p>
        </w:tc>
      </w:tr>
      <w:tr>
        <w:trPr/>
        <w:tc>
          <w:tcPr>
            <w:tcW w:w="1985" w:type="dxa"/>
            <w:tcBorders/>
            <w:shd w:fill="auto" w:val="clear"/>
            <w:vAlign w:val="center"/>
          </w:tcPr>
          <w:p>
            <w:pPr>
              <w:pStyle w:val="TableContents"/>
              <w:spacing w:before="0" w:after="283"/>
              <w:rPr>
                <w:sz w:val="4"/>
                <w:szCs w:val="4"/>
              </w:rPr>
            </w:pPr>
            <w:r>
              <w:rPr>
                <w:sz w:val="4"/>
                <w:szCs w:val="4"/>
              </w:rPr>
            </w:r>
          </w:p>
        </w:tc>
        <w:tc>
          <w:tcPr>
            <w:tcW w:w="1178" w:type="dxa"/>
            <w:gridSpan w:val="4"/>
            <w:tcBorders/>
            <w:shd w:fill="auto" w:val="clear"/>
            <w:vAlign w:val="center"/>
          </w:tcPr>
          <w:p>
            <w:pPr>
              <w:pStyle w:val="TableContents"/>
              <w:spacing w:before="0" w:after="283"/>
              <w:rPr>
                <w:sz w:val="4"/>
                <w:szCs w:val="4"/>
              </w:rPr>
            </w:pPr>
            <w:r>
              <w:rPr>
                <w:sz w:val="4"/>
                <w:szCs w:val="4"/>
              </w:rPr>
            </w:r>
          </w:p>
        </w:tc>
        <w:tc>
          <w:tcPr>
            <w:tcW w:w="1094" w:type="dxa"/>
            <w:gridSpan w:val="4"/>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0"/>
              <w:rPr>
                <w:rFonts w:ascii="ARIAL" w:hAnsi="ARIAL"/>
                <w:sz w:val="19"/>
              </w:rPr>
            </w:pPr>
            <w:r>
              <w:rPr>
                <w:rFonts w:ascii="ARIAL" w:hAnsi="ARIAL"/>
                <w:sz w:val="19"/>
              </w:rPr>
              <w:t xml:space="preserve">Tax Fees(3)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818" w:type="dxa"/>
            <w:tcBorders/>
            <w:shd w:fill="auto" w:val="clear"/>
            <w:vAlign w:val="center"/>
          </w:tcPr>
          <w:p>
            <w:pPr>
              <w:pStyle w:val="TableContents"/>
              <w:spacing w:before="0" w:after="283"/>
              <w:jc w:val="right"/>
              <w:rPr/>
            </w:pPr>
            <w:r>
              <w:rPr/>
              <w:t>450</w:t>
            </w:r>
          </w:p>
        </w:tc>
        <w:tc>
          <w:tcPr>
            <w:tcW w:w="72"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701" w:type="dxa"/>
            <w:tcBorders/>
            <w:shd w:fill="auto" w:val="clear"/>
            <w:vAlign w:val="center"/>
          </w:tcPr>
          <w:p>
            <w:pPr>
              <w:pStyle w:val="TableContents"/>
              <w:spacing w:before="0" w:after="283"/>
              <w:jc w:val="right"/>
              <w:rPr/>
            </w:pPr>
            <w:r>
              <w:rPr/>
              <w:t>618</w:t>
            </w:r>
          </w:p>
        </w:tc>
        <w:tc>
          <w:tcPr>
            <w:tcW w:w="75" w:type="dxa"/>
            <w:tcBorders/>
            <w:shd w:fill="auto" w:val="clear"/>
            <w:vAlign w:val="center"/>
          </w:tcPr>
          <w:p>
            <w:pPr>
              <w:pStyle w:val="TableContents"/>
              <w:spacing w:before="0" w:after="283"/>
              <w:rPr/>
            </w:pPr>
            <w:r>
              <w:rPr/>
              <w:t> </w:t>
            </w:r>
          </w:p>
        </w:tc>
      </w:tr>
      <w:tr>
        <w:trPr/>
        <w:tc>
          <w:tcPr>
            <w:tcW w:w="1985" w:type="dxa"/>
            <w:tcBorders/>
            <w:shd w:fill="auto" w:val="clear"/>
            <w:vAlign w:val="center"/>
          </w:tcPr>
          <w:p>
            <w:pPr>
              <w:pStyle w:val="TableContents"/>
              <w:spacing w:before="0" w:after="283"/>
              <w:rPr>
                <w:sz w:val="4"/>
                <w:szCs w:val="4"/>
              </w:rPr>
            </w:pPr>
            <w:r>
              <w:rPr>
                <w:sz w:val="4"/>
                <w:szCs w:val="4"/>
              </w:rPr>
            </w:r>
          </w:p>
        </w:tc>
        <w:tc>
          <w:tcPr>
            <w:tcW w:w="1178" w:type="dxa"/>
            <w:gridSpan w:val="4"/>
            <w:tcBorders/>
            <w:shd w:fill="auto" w:val="clear"/>
            <w:vAlign w:val="center"/>
          </w:tcPr>
          <w:p>
            <w:pPr>
              <w:pStyle w:val="TableContents"/>
              <w:spacing w:before="0" w:after="283"/>
              <w:rPr>
                <w:sz w:val="4"/>
                <w:szCs w:val="4"/>
              </w:rPr>
            </w:pPr>
            <w:r>
              <w:rPr>
                <w:sz w:val="4"/>
                <w:szCs w:val="4"/>
              </w:rPr>
            </w:r>
          </w:p>
        </w:tc>
        <w:tc>
          <w:tcPr>
            <w:tcW w:w="1094" w:type="dxa"/>
            <w:gridSpan w:val="4"/>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0"/>
              <w:rPr>
                <w:rFonts w:ascii="ARIAL" w:hAnsi="ARIAL"/>
                <w:sz w:val="19"/>
              </w:rPr>
            </w:pPr>
            <w:r>
              <w:rPr>
                <w:rFonts w:ascii="ARIAL" w:hAnsi="ARIAL"/>
                <w:sz w:val="19"/>
              </w:rPr>
              <w:t>All Other Fees(4)</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68" w:type="dxa"/>
            <w:tcBorders>
              <w:bottom w:val="single" w:sz="6" w:space="0" w:color="000000"/>
            </w:tcBorders>
            <w:shd w:fill="auto" w:val="clear"/>
            <w:tcMar>
              <w:bottom w:w="80" w:type="dxa"/>
            </w:tcMar>
            <w:vAlign w:val="center"/>
          </w:tcPr>
          <w:p>
            <w:pPr>
              <w:pStyle w:val="TableContents"/>
              <w:spacing w:before="0" w:after="283"/>
              <w:rPr/>
            </w:pPr>
            <w:r>
              <w:rPr/>
              <w:t> </w:t>
            </w:r>
          </w:p>
        </w:tc>
        <w:tc>
          <w:tcPr>
            <w:tcW w:w="818" w:type="dxa"/>
            <w:tcBorders>
              <w:bottom w:val="single" w:sz="6" w:space="0" w:color="000000"/>
            </w:tcBorders>
            <w:shd w:fill="auto" w:val="clear"/>
            <w:tcMar>
              <w:bottom w:w="80" w:type="dxa"/>
            </w:tcMar>
            <w:vAlign w:val="center"/>
          </w:tcPr>
          <w:p>
            <w:pPr>
              <w:pStyle w:val="TableContents"/>
              <w:spacing w:before="0" w:after="283"/>
              <w:jc w:val="right"/>
              <w:rPr/>
            </w:pPr>
            <w:r>
              <w:rPr/>
              <w:t>5</w:t>
            </w:r>
          </w:p>
        </w:tc>
        <w:tc>
          <w:tcPr>
            <w:tcW w:w="72" w:type="dxa"/>
            <w:tcBorders>
              <w:bottom w:val="single" w:sz="6" w:space="0" w:color="000000"/>
            </w:tcBorders>
            <w:shd w:fill="auto" w:val="clear"/>
            <w:tcMar>
              <w:bottom w:w="80" w:type="dxa"/>
            </w:tcMar>
            <w:vAlign w:val="center"/>
          </w:tcPr>
          <w:p>
            <w:pPr>
              <w:pStyle w:val="TableContents"/>
              <w:spacing w:before="0" w:after="283"/>
              <w:rPr/>
            </w:pPr>
            <w:r>
              <w:rPr/>
              <w:t> </w:t>
            </w:r>
          </w:p>
        </w:tc>
        <w:tc>
          <w:tcPr>
            <w:tcW w:w="144" w:type="dxa"/>
            <w:tcBorders>
              <w:bottom w:val="single" w:sz="6" w:space="0" w:color="000000"/>
            </w:tcBorders>
            <w:shd w:fill="auto" w:val="clear"/>
            <w:tcMar>
              <w:bottom w:w="28" w:type="dxa"/>
            </w:tcMar>
            <w:vAlign w:val="center"/>
          </w:tcPr>
          <w:p>
            <w:pPr>
              <w:pStyle w:val="TableContents"/>
              <w:spacing w:before="0" w:after="283"/>
              <w:rPr/>
            </w:pPr>
            <w:r>
              <w:rPr/>
              <w:t>  </w:t>
            </w:r>
          </w:p>
        </w:tc>
        <w:tc>
          <w:tcPr>
            <w:tcW w:w="174" w:type="dxa"/>
            <w:tcBorders>
              <w:bottom w:val="single" w:sz="6" w:space="0" w:color="000000"/>
            </w:tcBorders>
            <w:shd w:fill="auto" w:val="clear"/>
            <w:tcMar>
              <w:bottom w:w="80" w:type="dxa"/>
            </w:tcMar>
            <w:vAlign w:val="center"/>
          </w:tcPr>
          <w:p>
            <w:pPr>
              <w:pStyle w:val="TableContents"/>
              <w:spacing w:before="0" w:after="283"/>
              <w:rPr/>
            </w:pPr>
            <w:r>
              <w:rPr/>
              <w:t> </w:t>
            </w:r>
          </w:p>
        </w:tc>
        <w:tc>
          <w:tcPr>
            <w:tcW w:w="701" w:type="dxa"/>
            <w:tcBorders>
              <w:bottom w:val="single" w:sz="6" w:space="0" w:color="000000"/>
            </w:tcBorders>
            <w:shd w:fill="auto" w:val="clear"/>
            <w:tcMar>
              <w:bottom w:w="80" w:type="dxa"/>
            </w:tcMar>
            <w:vAlign w:val="center"/>
          </w:tcPr>
          <w:p>
            <w:pPr>
              <w:pStyle w:val="TableContents"/>
              <w:spacing w:before="0" w:after="283"/>
              <w:jc w:val="right"/>
              <w:rPr/>
            </w:pPr>
            <w:r>
              <w:rPr/>
              <w:t>850</w:t>
            </w:r>
          </w:p>
        </w:tc>
        <w:tc>
          <w:tcPr>
            <w:tcW w:w="75" w:type="dxa"/>
            <w:tcBorders>
              <w:bottom w:val="single" w:sz="6" w:space="0" w:color="000000"/>
            </w:tcBorders>
            <w:shd w:fill="auto" w:val="clear"/>
            <w:tcMar>
              <w:bottom w:w="80" w:type="dxa"/>
            </w:tcMar>
            <w:vAlign w:val="center"/>
          </w:tcPr>
          <w:p>
            <w:pPr>
              <w:pStyle w:val="TableContents"/>
              <w:spacing w:before="0" w:after="283"/>
              <w:rPr/>
            </w:pPr>
            <w:r>
              <w:rPr/>
              <w:t> </w:t>
            </w:r>
          </w:p>
        </w:tc>
      </w:tr>
      <w:tr>
        <w:trPr/>
        <w:tc>
          <w:tcPr>
            <w:tcW w:w="1985" w:type="dxa"/>
            <w:tcBorders/>
            <w:shd w:fill="auto" w:val="clear"/>
            <w:vAlign w:val="center"/>
          </w:tcPr>
          <w:p>
            <w:pPr>
              <w:pStyle w:val="TableContents"/>
              <w:spacing w:before="0" w:after="283"/>
              <w:rPr>
                <w:sz w:val="4"/>
                <w:szCs w:val="4"/>
              </w:rPr>
            </w:pPr>
            <w:r>
              <w:rPr>
                <w:sz w:val="4"/>
                <w:szCs w:val="4"/>
              </w:rPr>
            </w:r>
          </w:p>
        </w:tc>
        <w:tc>
          <w:tcPr>
            <w:tcW w:w="1178" w:type="dxa"/>
            <w:gridSpan w:val="4"/>
            <w:tcBorders/>
            <w:shd w:fill="auto" w:val="clear"/>
            <w:vAlign w:val="center"/>
          </w:tcPr>
          <w:p>
            <w:pPr>
              <w:pStyle w:val="TableContents"/>
              <w:spacing w:before="0" w:after="283"/>
              <w:rPr>
                <w:sz w:val="4"/>
                <w:szCs w:val="4"/>
              </w:rPr>
            </w:pPr>
            <w:r>
              <w:rPr>
                <w:sz w:val="4"/>
                <w:szCs w:val="4"/>
              </w:rPr>
            </w:r>
          </w:p>
        </w:tc>
        <w:tc>
          <w:tcPr>
            <w:tcW w:w="1094" w:type="dxa"/>
            <w:gridSpan w:val="4"/>
            <w:tcBorders/>
            <w:shd w:fill="auto" w:val="clear"/>
            <w:vAlign w:val="center"/>
          </w:tcPr>
          <w:p>
            <w:pPr>
              <w:pStyle w:val="TableContents"/>
              <w:spacing w:before="0" w:after="283"/>
              <w:rPr>
                <w:sz w:val="4"/>
                <w:szCs w:val="4"/>
              </w:rPr>
            </w:pPr>
            <w:r>
              <w:rPr>
                <w:sz w:val="4"/>
                <w:szCs w:val="4"/>
              </w:rPr>
            </w:r>
          </w:p>
        </w:tc>
      </w:tr>
      <w:tr>
        <w:trPr/>
        <w:tc>
          <w:tcPr>
            <w:tcW w:w="1985" w:type="dxa"/>
            <w:tcBorders>
              <w:bottom w:val="single" w:sz="8" w:space="0" w:color="000000"/>
            </w:tcBorders>
            <w:shd w:fill="auto" w:val="clear"/>
            <w:tcMar>
              <w:bottom w:w="80" w:type="dxa"/>
            </w:tcMar>
            <w:vAlign w:val="center"/>
          </w:tcPr>
          <w:p>
            <w:pPr>
              <w:pStyle w:val="TableContents"/>
              <w:spacing w:before="0" w:after="0"/>
              <w:rPr>
                <w:rFonts w:ascii="ARIAL" w:hAnsi="ARIAL"/>
                <w:sz w:val="19"/>
              </w:rPr>
            </w:pPr>
            <w:r>
              <w:rPr>
                <w:rFonts w:ascii="ARIAL" w:hAnsi="ARIAL"/>
                <w:sz w:val="19"/>
              </w:rPr>
              <w:t>Total Fees</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68" w:type="dxa"/>
            <w:tcBorders>
              <w:bottom w:val="single" w:sz="8" w:space="0" w:color="000000"/>
            </w:tcBorders>
            <w:shd w:fill="auto" w:val="clear"/>
            <w:tcMar>
              <w:bottom w:w="80" w:type="dxa"/>
            </w:tcMar>
            <w:vAlign w:val="center"/>
          </w:tcPr>
          <w:p>
            <w:pPr>
              <w:pStyle w:val="TableContents"/>
              <w:spacing w:before="0" w:after="283"/>
              <w:rPr/>
            </w:pPr>
            <w:r>
              <w:rPr/>
              <w:t>$</w:t>
            </w:r>
          </w:p>
        </w:tc>
        <w:tc>
          <w:tcPr>
            <w:tcW w:w="818" w:type="dxa"/>
            <w:tcBorders>
              <w:bottom w:val="single" w:sz="8" w:space="0" w:color="000000"/>
            </w:tcBorders>
            <w:shd w:fill="auto" w:val="clear"/>
            <w:tcMar>
              <w:bottom w:w="80" w:type="dxa"/>
            </w:tcMar>
            <w:vAlign w:val="center"/>
          </w:tcPr>
          <w:p>
            <w:pPr>
              <w:pStyle w:val="TableContents"/>
              <w:spacing w:before="0" w:after="283"/>
              <w:jc w:val="right"/>
              <w:rPr/>
            </w:pPr>
            <w:r>
              <w:rPr/>
              <w:t>11,559</w:t>
            </w:r>
          </w:p>
        </w:tc>
        <w:tc>
          <w:tcPr>
            <w:tcW w:w="72" w:type="dxa"/>
            <w:tcBorders>
              <w:bottom w:val="single" w:sz="8" w:space="0" w:color="000000"/>
            </w:tcBorders>
            <w:shd w:fill="auto" w:val="clear"/>
            <w:tcMar>
              <w:bottom w:w="80" w:type="dxa"/>
            </w:tcMar>
            <w:vAlign w:val="center"/>
          </w:tcPr>
          <w:p>
            <w:pPr>
              <w:pStyle w:val="TableContents"/>
              <w:spacing w:before="0" w:after="283"/>
              <w:rPr/>
            </w:pPr>
            <w:r>
              <w:rPr/>
              <w:t> </w:t>
            </w:r>
          </w:p>
        </w:tc>
        <w:tc>
          <w:tcPr>
            <w:tcW w:w="144" w:type="dxa"/>
            <w:tcBorders>
              <w:bottom w:val="single" w:sz="8" w:space="0" w:color="000000"/>
            </w:tcBorders>
            <w:shd w:fill="auto" w:val="clear"/>
            <w:tcMar>
              <w:bottom w:w="28" w:type="dxa"/>
            </w:tcMar>
            <w:vAlign w:val="center"/>
          </w:tcPr>
          <w:p>
            <w:pPr>
              <w:pStyle w:val="TableContents"/>
              <w:spacing w:before="0" w:after="283"/>
              <w:rPr/>
            </w:pPr>
            <w:r>
              <w:rPr/>
              <w:t>  </w:t>
            </w:r>
          </w:p>
        </w:tc>
        <w:tc>
          <w:tcPr>
            <w:tcW w:w="174" w:type="dxa"/>
            <w:tcBorders>
              <w:bottom w:val="single" w:sz="8" w:space="0" w:color="000000"/>
            </w:tcBorders>
            <w:shd w:fill="auto" w:val="clear"/>
            <w:tcMar>
              <w:bottom w:w="80" w:type="dxa"/>
            </w:tcMar>
            <w:vAlign w:val="center"/>
          </w:tcPr>
          <w:p>
            <w:pPr>
              <w:pStyle w:val="TableContents"/>
              <w:spacing w:before="0" w:after="283"/>
              <w:rPr/>
            </w:pPr>
            <w:r>
              <w:rPr/>
              <w:t>$</w:t>
            </w:r>
          </w:p>
        </w:tc>
        <w:tc>
          <w:tcPr>
            <w:tcW w:w="701" w:type="dxa"/>
            <w:tcBorders>
              <w:bottom w:val="single" w:sz="8" w:space="0" w:color="000000"/>
            </w:tcBorders>
            <w:shd w:fill="auto" w:val="clear"/>
            <w:tcMar>
              <w:bottom w:w="80" w:type="dxa"/>
            </w:tcMar>
            <w:vAlign w:val="center"/>
          </w:tcPr>
          <w:p>
            <w:pPr>
              <w:pStyle w:val="TableContents"/>
              <w:spacing w:before="0" w:after="283"/>
              <w:jc w:val="right"/>
              <w:rPr/>
            </w:pPr>
            <w:r>
              <w:rPr/>
              <w:t>7,422</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jc w:val="left"/>
              <w:rPr/>
            </w:pPr>
            <w:r>
              <w:rPr/>
              <w:t>(1) </w:t>
            </w:r>
          </w:p>
        </w:tc>
        <w:tc>
          <w:tcPr>
            <w:tcW w:w="9923" w:type="dxa"/>
            <w:tcBorders/>
            <w:shd w:fill="auto" w:val="clear"/>
            <w:vAlign w:val="center"/>
          </w:tcPr>
          <w:p>
            <w:pPr>
              <w:pStyle w:val="TableContents"/>
              <w:spacing w:before="0" w:after="0"/>
              <w:jc w:val="left"/>
              <w:rPr>
                <w:rFonts w:ascii="ARIAL" w:hAnsi="ARIAL"/>
                <w:sz w:val="16"/>
              </w:rPr>
            </w:pPr>
            <w:r>
              <w:rPr>
                <w:rFonts w:ascii="ARIAL" w:hAnsi="ARIAL"/>
                <w:sz w:val="16"/>
              </w:rPr>
              <w:t xml:space="preserve">Aggregate fees from PwC for audit or review services in accordance with the standards of the PCAOB and fees for services, such as statutory audits and review of documents filed with the SEC. Audit fees also include fees paid in connection with services required for compliance with Section 404 of the Sarbanes-Oxley Act.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jc w:val="left"/>
              <w:rPr/>
            </w:pPr>
            <w:r>
              <w:rPr/>
              <w:t>(2) </w:t>
            </w:r>
          </w:p>
        </w:tc>
        <w:tc>
          <w:tcPr>
            <w:tcW w:w="9925" w:type="dxa"/>
            <w:tcBorders/>
            <w:shd w:fill="auto" w:val="clear"/>
            <w:vAlign w:val="center"/>
          </w:tcPr>
          <w:p>
            <w:pPr>
              <w:pStyle w:val="TableContents"/>
              <w:spacing w:before="0" w:after="0"/>
              <w:jc w:val="left"/>
              <w:rPr>
                <w:rFonts w:ascii="ARIAL" w:hAnsi="ARIAL"/>
                <w:sz w:val="16"/>
              </w:rPr>
            </w:pPr>
            <w:r>
              <w:rPr>
                <w:rFonts w:ascii="ARIAL" w:hAnsi="ARIAL"/>
                <w:sz w:val="16"/>
              </w:rPr>
              <w:t xml:space="preserve">Aggregate fees from PwC for assurance and related services which primarily include, with respect to 2022, due diligence on acquisition targets and services related to the sale of a majority interest in our industrial businesses, and, with respect to 2021, due diligence on acquisition targets and services related to the sale of our TransCore business. </w:t>
            </w:r>
          </w:p>
        </w:tc>
      </w:tr>
    </w:tbl>
    <w:p>
      <w:pPr>
        <w:pStyle w:val="TextBody"/>
        <w:spacing w:before="0" w:after="0"/>
        <w:jc w:val="left"/>
        <w:rPr/>
      </w:pPr>
      <w:r>
        <w:rPr/>
        <w:t> </w:t>
      </w:r>
    </w:p>
    <w:tbl>
      <w:tblPr>
        <w:tblW w:w="7225" w:type="dxa"/>
        <w:jc w:val="left"/>
        <w:tblInd w:w="0" w:type="dxa"/>
        <w:tblCellMar>
          <w:top w:w="0" w:type="dxa"/>
          <w:left w:w="0" w:type="dxa"/>
          <w:bottom w:w="0" w:type="dxa"/>
          <w:right w:w="0" w:type="dxa"/>
        </w:tblCellMar>
      </w:tblPr>
      <w:tblGrid>
        <w:gridCol w:w="365"/>
        <w:gridCol w:w="6860"/>
      </w:tblGrid>
      <w:tr>
        <w:trPr/>
        <w:tc>
          <w:tcPr>
            <w:tcW w:w="365" w:type="dxa"/>
            <w:tcBorders/>
            <w:shd w:fill="auto" w:val="clear"/>
            <w:vAlign w:val="center"/>
          </w:tcPr>
          <w:p>
            <w:pPr>
              <w:pStyle w:val="TableContents"/>
              <w:spacing w:before="0" w:after="283"/>
              <w:jc w:val="left"/>
              <w:rPr/>
            </w:pPr>
            <w:r>
              <w:rPr/>
              <w:t>(3) </w:t>
            </w:r>
          </w:p>
        </w:tc>
        <w:tc>
          <w:tcPr>
            <w:tcW w:w="6860" w:type="dxa"/>
            <w:tcBorders/>
            <w:shd w:fill="auto" w:val="clear"/>
            <w:vAlign w:val="center"/>
          </w:tcPr>
          <w:p>
            <w:pPr>
              <w:pStyle w:val="TableContents"/>
              <w:spacing w:before="0" w:after="0"/>
              <w:jc w:val="left"/>
              <w:rPr>
                <w:rFonts w:ascii="ARIAL" w:hAnsi="ARIAL"/>
                <w:sz w:val="16"/>
              </w:rPr>
            </w:pPr>
            <w:r>
              <w:rPr>
                <w:rFonts w:ascii="ARIAL" w:hAnsi="ARIAL"/>
                <w:sz w:val="16"/>
              </w:rPr>
              <w:t xml:space="preserve">Tax fees include tax compliance, assistance with tax audits, tax advice and tax planning data. </w:t>
            </w:r>
          </w:p>
        </w:tc>
      </w:tr>
    </w:tbl>
    <w:p>
      <w:pPr>
        <w:pStyle w:val="TextBody"/>
        <w:spacing w:before="0" w:after="0"/>
        <w:jc w:val="left"/>
        <w:rPr/>
      </w:pPr>
      <w:r>
        <w:rPr/>
        <w:t> </w:t>
      </w:r>
    </w:p>
    <w:tbl>
      <w:tblPr>
        <w:tblW w:w="5470" w:type="dxa"/>
        <w:jc w:val="left"/>
        <w:tblInd w:w="0" w:type="dxa"/>
        <w:tblCellMar>
          <w:top w:w="0" w:type="dxa"/>
          <w:left w:w="0" w:type="dxa"/>
          <w:bottom w:w="0" w:type="dxa"/>
          <w:right w:w="0" w:type="dxa"/>
        </w:tblCellMar>
      </w:tblPr>
      <w:tblGrid>
        <w:gridCol w:w="365"/>
        <w:gridCol w:w="5105"/>
      </w:tblGrid>
      <w:tr>
        <w:trPr/>
        <w:tc>
          <w:tcPr>
            <w:tcW w:w="365" w:type="dxa"/>
            <w:tcBorders/>
            <w:shd w:fill="auto" w:val="clear"/>
            <w:vAlign w:val="center"/>
          </w:tcPr>
          <w:p>
            <w:pPr>
              <w:pStyle w:val="TableContents"/>
              <w:spacing w:before="0" w:after="283"/>
              <w:jc w:val="left"/>
              <w:rPr/>
            </w:pPr>
            <w:r>
              <w:rPr/>
              <w:t>(4) </w:t>
            </w:r>
          </w:p>
        </w:tc>
        <w:tc>
          <w:tcPr>
            <w:tcW w:w="5105" w:type="dxa"/>
            <w:tcBorders/>
            <w:shd w:fill="auto" w:val="clear"/>
            <w:vAlign w:val="center"/>
          </w:tcPr>
          <w:p>
            <w:pPr>
              <w:pStyle w:val="TableContents"/>
              <w:spacing w:before="0" w:after="0"/>
              <w:jc w:val="left"/>
              <w:rPr>
                <w:rFonts w:ascii="ARIAL" w:hAnsi="ARIAL"/>
                <w:sz w:val="16"/>
              </w:rPr>
            </w:pPr>
            <w:r>
              <w:rPr>
                <w:rFonts w:ascii="ARIAL" w:hAnsi="ARIAL"/>
                <w:sz w:val="16"/>
              </w:rPr>
              <w:t xml:space="preserve">All other fees include XBRL tagging services and transaction support. </w:t>
            </w:r>
          </w:p>
        </w:tc>
      </w:tr>
    </w:tbl>
    <w:p>
      <w:pPr>
        <w:pStyle w:val="TextBody"/>
        <w:spacing w:before="200" w:after="0"/>
        <w:jc w:val="left"/>
        <w:rPr>
          <w:rFonts w:ascii="ARIAL" w:hAnsi="ARIAL"/>
          <w:sz w:val="19"/>
        </w:rPr>
      </w:pPr>
      <w:r>
        <w:rPr>
          <w:rFonts w:ascii="ARIAL" w:hAnsi="ARIAL"/>
          <w:sz w:val="19"/>
        </w:rPr>
        <w:t xml:space="preserve">As required by Section 10A(i)(1) of the Exchange Act, all audit and non-audit services to be performed by our independent registered public accounting firm must be approved in advance by the Audit Committee, subject to certain exceptions relating to non-audit services accounting for less than five percent of the total fees paid to our independent registered public accounting firm which are subsequently ratified by the Audit Committee. In addition, pursuant to Section 10A(i)(3) of the Exchange Act, as amended, the Audit Committee has established procedures by which the Chair of the Audit Committee may pre-approve such services, provided the Chair subsequently reports the details of the services to the full Audit Committee. All audit-related fees, tax fees and all other fees, as described in the table above, were approved by the Audit Committee. </w:t>
      </w:r>
    </w:p>
    <w:p>
      <w:pPr>
        <w:pStyle w:val="TextBody"/>
        <w:spacing w:before="480" w:after="0"/>
        <w:jc w:val="left"/>
        <w:rPr>
          <w:rFonts w:ascii="ARIAL" w:hAnsi="ARIAL"/>
          <w:color w:val="005CB9"/>
          <w:sz w:val="32"/>
        </w:rPr>
      </w:pPr>
      <w:bookmarkStart w:id="36" w:name="toc356364_33"/>
      <w:bookmarkEnd w:id="36"/>
      <w:r>
        <w:rPr>
          <w:rFonts w:ascii="ARIAL" w:hAnsi="ARIAL"/>
          <w:color w:val="005CB9"/>
          <w:sz w:val="32"/>
        </w:rPr>
        <w:t xml:space="preserve">PROPOSAL 4: RATIFICATION OF THE APPOINTMENT OF PRICEWATERHOUSECOOPERS LLP AS OUR INDEPENDENT REGISTERED PUBLIC ACCOUNTING FIRM FOR THE YEAR ENDING DECEMBER 31, 2023 </w:t>
      </w:r>
    </w:p>
    <w:p>
      <w:pPr>
        <w:pStyle w:val="TextBody"/>
        <w:spacing w:before="360" w:after="0"/>
        <w:jc w:val="left"/>
        <w:rPr>
          <w:rFonts w:ascii="ARIAL" w:hAnsi="ARIAL"/>
          <w:sz w:val="19"/>
        </w:rPr>
      </w:pPr>
      <w:r>
        <w:rPr>
          <w:rFonts w:ascii="ARIAL" w:hAnsi="ARIAL"/>
          <w:sz w:val="19"/>
        </w:rPr>
        <w:t xml:space="preserve">The Audit Committee has appointed PwC as our independent registered public accounting firm for the year ending December 31, 2023. Our Board of Directors recommends that the shareholders ratify this appointment. PwC has been our Company’s independent registered public accounting firm since May 2002. One or more representatives of PwC are expected to be present at the Annual Meeting and will be given the opportunity to make a statement if they so desire and respond to appropriate questions of shareholders in attendance. If this proposal does not pass, the selection of our independent registered public accounting firm will be reconsidered by the Audit Committee and the Board of Directors. Even if the proposal passes, the Audit Committee may decide to select another firm at any time. </w:t>
      </w:r>
    </w:p>
    <w:p>
      <w:pPr>
        <w:pStyle w:val="TextBody"/>
        <w:spacing w:before="0" w:after="0"/>
        <w:jc w:val="left"/>
        <w:rPr/>
      </w:pPr>
      <w:r>
        <w:rPr/>
        <w:t> </w:t>
      </w:r>
    </w:p>
    <w:p>
      <w:pPr>
        <w:pStyle w:val="TextBody"/>
        <w:pBdr/>
        <w:spacing w:before="0" w:after="0"/>
        <w:jc w:val="left"/>
        <w:rPr>
          <w:rFonts w:ascii="ARIAL" w:hAnsi="ARIAL"/>
          <w:b/>
          <w:sz w:val="20"/>
          <w:highlight w:val="blue"/>
        </w:rPr>
      </w:pPr>
      <w:r>
        <w:rPr>
          <w:rFonts w:ascii="ARIAL" w:hAnsi="ARIAL"/>
          <w:b/>
          <w:sz w:val="20"/>
          <w:highlight w:val="blue"/>
        </w:rPr>
        <w:t xml:space="preserve">The Board of Directors recommends a vote “FOR” the approval of the ratification of the appointment of PricewaterhouseCoopers LLP as our independent registered public accounting firm for the year ending December 31, 2023. </w: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56</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56"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1" descr=""/>
                          <pic:cNvPicPr>
                            <a:picLocks noChangeAspect="1" noChangeArrowheads="1"/>
                          </pic:cNvPicPr>
                        </pic:nvPicPr>
                        <pic:blipFill>
                          <a:blip r:embed="rId112"/>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color w:val="005CB9"/>
          <w:sz w:val="32"/>
        </w:rPr>
      </w:pPr>
      <w:bookmarkStart w:id="37" w:name="toc356364_34"/>
      <w:bookmarkEnd w:id="37"/>
      <w:r>
        <w:rPr>
          <w:rFonts w:ascii="ARIAL" w:hAnsi="ARIAL"/>
          <w:color w:val="005CB9"/>
          <w:sz w:val="32"/>
        </w:rPr>
        <w:t xml:space="preserve">PROPOSAL 5: APPROVAL OF AN AMENDMENT TO AND RESTATEMENT OF THE COMPANY’S RESTATED CERTIFICATE OF INCORPORATION TO PERMIT THE EXCULPATION OF OFFICERS </w:t>
      </w:r>
    </w:p>
    <w:p>
      <w:pPr>
        <w:pStyle w:val="TextBody"/>
        <w:spacing w:before="360" w:after="0"/>
        <w:jc w:val="left"/>
        <w:rPr>
          <w:rFonts w:ascii="ARIAL" w:hAnsi="ARIAL"/>
          <w:sz w:val="19"/>
        </w:rPr>
      </w:pPr>
      <w:r>
        <w:rPr>
          <w:rFonts w:ascii="ARIAL" w:hAnsi="ARIAL"/>
          <w:sz w:val="19"/>
        </w:rPr>
        <w:t xml:space="preserve">Section 102(b)(7) of the General Corporation Law of the State of Delaware (the “DGCL”) was amended effective August 1, 2022 to authorize the exculpation of officers of Delaware corporations. Specifically, the amendments to the DGCL extend the opportunity for Delaware corporations to exculpate certain of their officers, in addition to their directors, for personal liability in limited circumstances. In light of these amendments, we are proposing to amend and restate our Restated Certificate of Incorporation to provide for the exculpation of certain of our officers in specific circumstances, as permitted by the DGCL. </w:t>
      </w:r>
    </w:p>
    <w:p>
      <w:pPr>
        <w:pStyle w:val="TextBody"/>
        <w:spacing w:before="120" w:after="0"/>
        <w:jc w:val="left"/>
        <w:rPr>
          <w:rFonts w:ascii="ARIAL" w:hAnsi="ARIAL"/>
          <w:sz w:val="19"/>
        </w:rPr>
      </w:pPr>
      <w:r>
        <w:rPr>
          <w:rFonts w:ascii="ARIAL" w:hAnsi="ARIAL"/>
          <w:sz w:val="19"/>
        </w:rPr>
        <w:t xml:space="preserve">Both the DGCL and our proposed amendment only permit exculpation of certain officers from liability for direct claims (as opposed to derivative claims made by stockholders on behalf of the Company) and would not apply to breaches of the duty of loyalty, acts or omissions not in good faith or that involve intentional misconduct or a knowing violation of law, any transaction in which the officer derived an improper personal benefit, or action by or in the right of the Company. The proposed amendment would not be retroactive to acts or omissions occurring prior to its effective date. </w:t>
      </w:r>
    </w:p>
    <w:p>
      <w:pPr>
        <w:pStyle w:val="TextBody"/>
        <w:spacing w:before="120" w:after="0"/>
        <w:jc w:val="left"/>
        <w:rPr>
          <w:rFonts w:ascii="ARIAL" w:hAnsi="ARIAL"/>
          <w:sz w:val="19"/>
        </w:rPr>
      </w:pPr>
      <w:r>
        <w:rPr>
          <w:rFonts w:ascii="ARIAL" w:hAnsi="ARIAL"/>
          <w:sz w:val="19"/>
        </w:rPr>
        <w:t xml:space="preserve">The proposed amendment to limit the scope of our officers’ liability is intended to strike a balance between stockholders’ interest in accountability and the stockholders’ interest in attracting and retaining top talent. The Board has considered the benefits and detriments of eliminating our officers’ personal liability under these specific circumstances. The Board believes it is necessary to provide protection to officers to the fullest extent permitted by law in order to attract and retain top talent. This protection has long been afforded to directors. In addition, the nature and the role of officers often requires them to make decisions on crucial matters and in response to time-sensitive opportunities and challenges. These demands can create substantial risk of investigations, claims or actions seeking to impose liability in hindsight regardless of merit, especially in the current litigious environment. Accordingly, the Board believes the proposed amendment empowers our officers to best exercise their business judgment. </w:t>
      </w:r>
    </w:p>
    <w:p>
      <w:pPr>
        <w:pStyle w:val="TextBody"/>
        <w:spacing w:before="120" w:after="0"/>
        <w:jc w:val="left"/>
        <w:rPr>
          <w:rFonts w:ascii="ARIAL" w:hAnsi="ARIAL"/>
          <w:sz w:val="19"/>
        </w:rPr>
      </w:pPr>
      <w:r>
        <w:rPr>
          <w:rFonts w:ascii="ARIAL" w:hAnsi="ARIAL"/>
          <w:sz w:val="19"/>
        </w:rPr>
        <w:t xml:space="preserve">The Board has considered the narrow class and type of claims for which officers’ liability would be exculpated and the anticipated benefits to the Company and its stockholders, and has determined that it would be advisable and in the best interest of the Company and its stockholders to amend and restate the Company’s Restated Certificate of Incorporation as described herein. The amendment also includes an update to the name and address of the Company’s registered agent. </w:t>
      </w:r>
    </w:p>
    <w:p>
      <w:pPr>
        <w:pStyle w:val="TextBody"/>
        <w:spacing w:before="120" w:after="0"/>
        <w:jc w:val="left"/>
        <w:rPr>
          <w:rFonts w:ascii="ARIAL" w:hAnsi="ARIAL"/>
          <w:sz w:val="19"/>
        </w:rPr>
      </w:pPr>
      <w:r>
        <w:rPr>
          <w:rFonts w:ascii="ARIAL" w:hAnsi="ARIAL"/>
          <w:sz w:val="19"/>
        </w:rPr>
        <w:t xml:space="preserve">This description of the proposed amendment is a summary and is qualified by the full text of the proposed amendment, which is attached to this proxy statement as Appendix B and is marked to show the changes described above. </w:t>
      </w:r>
    </w:p>
    <w:p>
      <w:pPr>
        <w:pStyle w:val="TextBody"/>
        <w:spacing w:before="120" w:after="0"/>
        <w:jc w:val="left"/>
        <w:rPr>
          <w:rFonts w:ascii="ARIAL" w:hAnsi="ARIAL"/>
          <w:sz w:val="19"/>
        </w:rPr>
      </w:pPr>
      <w:r>
        <w:rPr>
          <w:rFonts w:ascii="ARIAL" w:hAnsi="ARIAL"/>
          <w:sz w:val="19"/>
        </w:rPr>
        <w:t xml:space="preserve">The affirmative vote of the majority of the shares outstanding is required to approve the proposed amendment to and restatement of the Company’s Restated Certificate of Incorporation. Abstentions and broker non-votes will have the effect of votes against the proposal. </w:t>
      </w:r>
    </w:p>
    <w:p>
      <w:pPr>
        <w:pStyle w:val="TextBody"/>
        <w:spacing w:before="120" w:after="0"/>
        <w:jc w:val="left"/>
        <w:rPr>
          <w:rFonts w:ascii="ARIAL" w:hAnsi="ARIAL"/>
          <w:sz w:val="19"/>
        </w:rPr>
      </w:pPr>
      <w:r>
        <w:rPr>
          <w:rFonts w:ascii="ARIAL" w:hAnsi="ARIAL"/>
          <w:sz w:val="19"/>
        </w:rPr>
        <w:t xml:space="preserve">If our stockholders approve the amendment and restatement, the Board has authorized our officers to file a Certificate of Amendment to the Company’s Restated Certificate of Incorporation with the Delaware Secretary of State, and the Amended and Restated Certificate of Incorporation would become effective upon acceptance by the Delaware Secretary of State. The Board intends to make that filing if, and as soon as practicable after, this proposal is approved at this annual meeting. </w:t>
      </w:r>
    </w:p>
    <w:p>
      <w:pPr>
        <w:pStyle w:val="TextBody"/>
        <w:spacing w:before="0" w:after="0"/>
        <w:jc w:val="left"/>
        <w:rPr/>
      </w:pPr>
      <w:r>
        <w:rPr/>
        <w:t> </w:t>
      </w:r>
    </w:p>
    <w:p>
      <w:pPr>
        <w:pStyle w:val="TextBody"/>
        <w:pBdr/>
        <w:spacing w:before="0" w:after="0"/>
        <w:jc w:val="left"/>
        <w:rPr>
          <w:rFonts w:ascii="ARIAL" w:hAnsi="ARIAL"/>
          <w:b/>
          <w:sz w:val="20"/>
          <w:highlight w:val="blue"/>
        </w:rPr>
      </w:pPr>
      <w:r>
        <w:rPr>
          <w:rFonts w:ascii="ARIAL" w:hAnsi="ARIAL"/>
          <w:b/>
          <w:sz w:val="20"/>
          <w:highlight w:val="blue"/>
        </w:rPr>
        <w:t xml:space="preserve">The Board of Directors recommends a vote “FOR” the approval of the amendment to and restatement of the Company’s Restated Certificate of Incorporation. </w: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57"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2" descr=""/>
                          <pic:cNvPicPr>
                            <a:picLocks noChangeAspect="1" noChangeArrowheads="1"/>
                          </pic:cNvPicPr>
                        </pic:nvPicPr>
                        <pic:blipFill>
                          <a:blip r:embed="rId113"/>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57</w:t>
            </w:r>
          </w:p>
        </w:tc>
      </w:tr>
    </w:tbl>
    <w:p>
      <w:pPr>
        <w:pStyle w:val="HorizontalLine"/>
        <w:rPr/>
      </w:pPr>
      <w:r>
        <w:br w:type="page"/>
      </w:r>
      <w:r>
        <w:rPr/>
      </w:r>
    </w:p>
    <w:p>
      <w:pPr>
        <w:pStyle w:val="TextBody"/>
        <w:spacing w:before="0" w:after="0"/>
        <w:jc w:val="left"/>
        <w:rPr>
          <w:rFonts w:ascii="ARIAL" w:hAnsi="ARIAL"/>
          <w:color w:val="005CB9"/>
          <w:sz w:val="32"/>
        </w:rPr>
      </w:pPr>
      <w:bookmarkStart w:id="38" w:name="toc356364_35"/>
      <w:bookmarkEnd w:id="38"/>
      <w:r>
        <w:rPr>
          <w:rFonts w:ascii="ARIAL" w:hAnsi="ARIAL"/>
          <w:color w:val="005CB9"/>
          <w:sz w:val="32"/>
        </w:rPr>
        <w:t xml:space="preserve">ANNUAL MEETING AND VOTING INFORMATION </w:t>
      </w:r>
    </w:p>
    <w:p>
      <w:pPr>
        <w:pStyle w:val="TextBody"/>
        <w:spacing w:before="360" w:after="0"/>
        <w:jc w:val="left"/>
        <w:rPr>
          <w:rFonts w:ascii="ARIAL" w:hAnsi="ARIAL"/>
          <w:sz w:val="19"/>
        </w:rPr>
      </w:pPr>
      <w:r>
        <w:rPr>
          <w:rFonts w:ascii="ARIAL" w:hAnsi="ARIAL"/>
          <w:sz w:val="19"/>
        </w:rPr>
        <w:t xml:space="preserve">Our Company is soliciting the enclosed proxy for use at the 2023 Annual Meeting of Shareholders. This Proxy Statement and the enclosed proxy card are being mailed or otherwise made available to shareholders on or about April 28, 2023. </w:t>
      </w:r>
    </w:p>
    <w:p>
      <w:pPr>
        <w:pStyle w:val="TextBody"/>
        <w:spacing w:before="240" w:after="0"/>
        <w:jc w:val="left"/>
        <w:rPr>
          <w:rFonts w:ascii="ARIAL" w:hAnsi="ARIAL"/>
          <w:sz w:val="19"/>
        </w:rPr>
      </w:pPr>
      <w:r>
        <w:rPr>
          <w:rFonts w:ascii="ARIAL" w:hAnsi="ARIAL"/>
          <w:sz w:val="19"/>
        </w:rPr>
        <w:t xml:space="preserve">We are concurrently mailing or making available to shareholders a copy of our 2022 Annual Report, which includes our Annual Report on Form 10-K for the fiscal year ended December 31, 2022. Our Annual Report on Form 10-K and its exhibits are available at www.sec.gov. Our 2022 Annual Report and Annual Report on Form 10-K are not part of these proxy soliciting materials. </w:t>
      </w:r>
    </w:p>
    <w:p>
      <w:pPr>
        <w:pStyle w:val="TextBody"/>
        <w:spacing w:before="240" w:after="0"/>
        <w:jc w:val="left"/>
        <w:rPr>
          <w:rFonts w:ascii="ARIAL" w:hAnsi="ARIAL"/>
          <w:sz w:val="19"/>
        </w:rPr>
      </w:pPr>
      <w:r>
        <w:rPr>
          <w:rFonts w:ascii="ARIAL" w:hAnsi="ARIAL"/>
          <w:sz w:val="19"/>
        </w:rPr>
        <w:t xml:space="preserve">This Proxy Statement contains important information for you to consider when deciding how to vote. Please read this information carefully.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3110230" cy="6308725"/>
                <wp:effectExtent l="0" t="0" r="0" b="0"/>
                <wp:wrapSquare wrapText="largest"/>
                <wp:docPr id="158" name="Frame45"/>
                <a:graphic xmlns:a="http://schemas.openxmlformats.org/drawingml/2006/main">
                  <a:graphicData uri="http://schemas.microsoft.com/office/word/2010/wordprocessingShape">
                    <wps:wsp>
                      <wps:cNvSpPr txBox="1"/>
                      <wps:spPr>
                        <a:xfrm>
                          <a:off x="0" y="0"/>
                          <a:ext cx="3110230" cy="6308725"/>
                        </a:xfrm>
                        <a:prstGeom prst="rect"/>
                      </wps:spPr>
                      <wps:txbx>
                        <w:txbxContent>
                          <w:tbl>
                            <w:tblPr>
                              <w:tblW w:w="3775" w:type="dxa"/>
                              <w:jc w:val="left"/>
                              <w:tblInd w:w="0" w:type="dxa"/>
                              <w:tblCellMar>
                                <w:top w:w="0" w:type="dxa"/>
                                <w:left w:w="0" w:type="dxa"/>
                                <w:bottom w:w="0" w:type="dxa"/>
                                <w:right w:w="0" w:type="dxa"/>
                              </w:tblCellMar>
                            </w:tblPr>
                            <w:tblGrid>
                              <w:gridCol w:w="350"/>
                              <w:gridCol w:w="3425"/>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3425"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When is the Annual Meeting? </w:t>
                                  </w:r>
                                </w:p>
                              </w:tc>
                            </w:tr>
                          </w:tbl>
                          <w:p>
                            <w:pPr>
                              <w:pStyle w:val="TextBody"/>
                              <w:spacing w:before="0" w:after="0"/>
                              <w:rPr/>
                            </w:pPr>
                            <w:r>
                              <w:rPr/>
                              <w:t> </w:t>
                            </w:r>
                          </w:p>
                          <w:tbl>
                            <w:tblPr>
                              <w:tblW w:w="1585" w:type="dxa"/>
                              <w:jc w:val="left"/>
                              <w:tblInd w:w="0" w:type="dxa"/>
                              <w:tblCellMar>
                                <w:top w:w="0" w:type="dxa"/>
                                <w:left w:w="0" w:type="dxa"/>
                                <w:bottom w:w="0" w:type="dxa"/>
                                <w:right w:w="0" w:type="dxa"/>
                              </w:tblCellMar>
                            </w:tblPr>
                            <w:tblGrid>
                              <w:gridCol w:w="305"/>
                              <w:gridCol w:w="1280"/>
                            </w:tblGrid>
                            <w:tr>
                              <w:trPr/>
                              <w:tc>
                                <w:tcPr>
                                  <w:tcW w:w="305" w:type="dxa"/>
                                  <w:tcBorders/>
                                  <w:shd w:fill="auto" w:val="clear"/>
                                  <w:vAlign w:val="center"/>
                                </w:tcPr>
                                <w:p>
                                  <w:pPr>
                                    <w:pStyle w:val="TableContents"/>
                                    <w:spacing w:before="0" w:after="283"/>
                                    <w:jc w:val="left"/>
                                    <w:rPr/>
                                  </w:pPr>
                                  <w:r>
                                    <w:rPr>
                                      <w:color w:val="005CB9"/>
                                      <w:sz w:val="28"/>
                                    </w:rPr>
                                    <w:t>A</w:t>
                                  </w:r>
                                  <w:r>
                                    <w:rPr/>
                                    <w:t>:</w:t>
                                  </w:r>
                                </w:p>
                              </w:tc>
                              <w:tc>
                                <w:tcPr>
                                  <w:tcW w:w="1280" w:type="dxa"/>
                                  <w:tcBorders/>
                                  <w:shd w:fill="auto" w:val="clear"/>
                                  <w:vAlign w:val="center"/>
                                </w:tcPr>
                                <w:p>
                                  <w:pPr>
                                    <w:pStyle w:val="TableContents"/>
                                    <w:spacing w:before="0" w:after="0"/>
                                    <w:jc w:val="left"/>
                                    <w:rPr>
                                      <w:rFonts w:ascii="ARIAL" w:hAnsi="ARIAL"/>
                                      <w:sz w:val="19"/>
                                    </w:rPr>
                                  </w:pPr>
                                  <w:r>
                                    <w:rPr>
                                      <w:rFonts w:ascii="ARIAL" w:hAnsi="ARIAL"/>
                                      <w:b/>
                                      <w:i/>
                                      <w:sz w:val="19"/>
                                    </w:rPr>
                                    <w:t>Date</w:t>
                                  </w:r>
                                  <w:r>
                                    <w:rPr>
                                      <w:rFonts w:ascii="ARIAL" w:hAnsi="ARIAL"/>
                                      <w:sz w:val="19"/>
                                    </w:rPr>
                                    <w:t> </w:t>
                                  </w:r>
                                  <w:r>
                                    <w:rPr>
                                      <w:rFonts w:ascii="ARIAL" w:hAnsi="ARIAL"/>
                                      <w:b/>
                                      <w:i/>
                                      <w:sz w:val="19"/>
                                    </w:rPr>
                                    <w:t>&amp; Time:</w:t>
                                  </w:r>
                                  <w:r>
                                    <w:rPr>
                                      <w:rFonts w:ascii="ARIAL" w:hAnsi="ARIAL"/>
                                      <w:sz w:val="19"/>
                                    </w:rPr>
                                    <w:t xml:space="preserve"> </w:t>
                                  </w:r>
                                </w:p>
                              </w:tc>
                            </w:tr>
                          </w:tbl>
                          <w:p>
                            <w:pPr>
                              <w:pStyle w:val="TextBody"/>
                              <w:spacing w:before="0" w:after="0"/>
                              <w:ind w:left="440" w:right="0" w:hanging="0"/>
                              <w:rPr>
                                <w:rFonts w:ascii="ARIAL" w:hAnsi="ARIAL"/>
                                <w:sz w:val="19"/>
                              </w:rPr>
                            </w:pPr>
                            <w:r>
                              <w:rPr>
                                <w:rFonts w:ascii="ARIAL" w:hAnsi="ARIAL"/>
                                <w:sz w:val="19"/>
                              </w:rPr>
                              <w:t xml:space="preserve">Tuesday, June 13, 2023 at 10:00 a.m. (Eastern) (and at any postponement or adjournments thereof) </w:t>
                            </w:r>
                          </w:p>
                          <w:p>
                            <w:pPr>
                              <w:pStyle w:val="TextBody"/>
                              <w:spacing w:before="120" w:after="0"/>
                              <w:ind w:left="440" w:right="0" w:hanging="0"/>
                              <w:rPr>
                                <w:rFonts w:ascii="ARIAL" w:hAnsi="ARIAL"/>
                                <w:sz w:val="19"/>
                              </w:rPr>
                            </w:pPr>
                            <w:r>
                              <w:rPr>
                                <w:rFonts w:ascii="ARIAL" w:hAnsi="ARIAL"/>
                                <w:sz w:val="19"/>
                              </w:rPr>
                              <w:t xml:space="preserve">Place: </w:t>
                            </w:r>
                          </w:p>
                          <w:p>
                            <w:pPr>
                              <w:pStyle w:val="TextBody"/>
                              <w:spacing w:before="0" w:after="0"/>
                              <w:ind w:left="440" w:right="0" w:hanging="0"/>
                              <w:rPr>
                                <w:rFonts w:ascii="ARIAL" w:hAnsi="ARIAL"/>
                                <w:sz w:val="19"/>
                              </w:rPr>
                            </w:pPr>
                            <w:r>
                              <w:rPr>
                                <w:rFonts w:ascii="ARIAL" w:hAnsi="ARIAL"/>
                                <w:sz w:val="19"/>
                              </w:rPr>
                              <w:t xml:space="preserve">The Westin Sarasota </w:t>
                            </w:r>
                          </w:p>
                          <w:p>
                            <w:pPr>
                              <w:pStyle w:val="TextBody"/>
                              <w:spacing w:before="0" w:after="0"/>
                              <w:ind w:left="440" w:right="0" w:hanging="0"/>
                              <w:rPr>
                                <w:rFonts w:ascii="ARIAL" w:hAnsi="ARIAL"/>
                                <w:sz w:val="19"/>
                              </w:rPr>
                            </w:pPr>
                            <w:r>
                              <w:rPr>
                                <w:rFonts w:ascii="ARIAL" w:hAnsi="ARIAL"/>
                                <w:sz w:val="19"/>
                              </w:rPr>
                              <w:t xml:space="preserve">100 Marina View Drive </w:t>
                            </w:r>
                          </w:p>
                          <w:p>
                            <w:pPr>
                              <w:pStyle w:val="TextBody"/>
                              <w:spacing w:before="0" w:after="0"/>
                              <w:ind w:left="440" w:right="0" w:hanging="0"/>
                              <w:rPr>
                                <w:rFonts w:ascii="ARIAL" w:hAnsi="ARIAL"/>
                                <w:sz w:val="19"/>
                              </w:rPr>
                            </w:pPr>
                            <w:r>
                              <w:rPr>
                                <w:rFonts w:ascii="ARIAL" w:hAnsi="ARIAL"/>
                                <w:sz w:val="19"/>
                              </w:rPr>
                              <w:t xml:space="preserve">Sarasota, Florida 34236 </w:t>
                            </w:r>
                          </w:p>
                          <w:p>
                            <w:pPr>
                              <w:pStyle w:val="TextBody"/>
                              <w:spacing w:before="0" w:after="0"/>
                              <w:rPr/>
                            </w:pPr>
                            <w:r>
                              <w:rPr/>
                              <w:t> </w:t>
                            </w:r>
                          </w:p>
                          <w:tbl>
                            <w:tblPr>
                              <w:tblW w:w="4615" w:type="dxa"/>
                              <w:jc w:val="left"/>
                              <w:tblInd w:w="0" w:type="dxa"/>
                              <w:tblCellMar>
                                <w:top w:w="0" w:type="dxa"/>
                                <w:left w:w="0" w:type="dxa"/>
                                <w:bottom w:w="0" w:type="dxa"/>
                                <w:right w:w="0" w:type="dxa"/>
                              </w:tblCellMar>
                            </w:tblPr>
                            <w:tblGrid>
                              <w:gridCol w:w="350"/>
                              <w:gridCol w:w="4265"/>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4265"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is the purpose of this meeting? </w:t>
                                  </w:r>
                                </w:p>
                              </w:tc>
                            </w:tr>
                          </w:tbl>
                          <w:p>
                            <w:pPr>
                              <w:pStyle w:val="TextBody"/>
                              <w:spacing w:before="0" w:after="0"/>
                              <w:rPr/>
                            </w:pPr>
                            <w:r>
                              <w:rPr/>
                              <w:t> </w:t>
                            </w:r>
                          </w:p>
                          <w:tbl>
                            <w:tblPr>
                              <w:tblW w:w="9625" w:type="dxa"/>
                              <w:jc w:val="left"/>
                              <w:tblInd w:w="0" w:type="dxa"/>
                              <w:tblCellMar>
                                <w:top w:w="0" w:type="dxa"/>
                                <w:left w:w="0" w:type="dxa"/>
                                <w:bottom w:w="0" w:type="dxa"/>
                                <w:right w:w="0" w:type="dxa"/>
                              </w:tblCellMar>
                            </w:tblPr>
                            <w:tblGrid>
                              <w:gridCol w:w="305"/>
                              <w:gridCol w:w="9320"/>
                            </w:tblGrid>
                            <w:tr>
                              <w:trPr/>
                              <w:tc>
                                <w:tcPr>
                                  <w:tcW w:w="305" w:type="dxa"/>
                                  <w:tcBorders/>
                                  <w:shd w:fill="auto" w:val="clear"/>
                                  <w:vAlign w:val="center"/>
                                </w:tcPr>
                                <w:p>
                                  <w:pPr>
                                    <w:pStyle w:val="TableContents"/>
                                    <w:spacing w:before="0" w:after="283"/>
                                    <w:jc w:val="left"/>
                                    <w:rPr/>
                                  </w:pPr>
                                  <w:r>
                                    <w:rPr>
                                      <w:color w:val="005CB9"/>
                                      <w:sz w:val="28"/>
                                    </w:rPr>
                                    <w:t>A</w:t>
                                  </w:r>
                                  <w:r>
                                    <w:rPr/>
                                    <w:t>:</w:t>
                                  </w:r>
                                </w:p>
                              </w:tc>
                              <w:tc>
                                <w:tcPr>
                                  <w:tcW w:w="932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This is the Annual Meeting of our shareholders. At this meeting, we will be voting on the following matters: </w:t>
                                  </w:r>
                                </w:p>
                              </w:tc>
                            </w:tr>
                          </w:tbl>
                          <w:p>
                            <w:pPr>
                              <w:pStyle w:val="TextBody"/>
                              <w:spacing w:before="0" w:after="0"/>
                              <w:rPr/>
                            </w:pPr>
                            <w:r>
                              <w:rPr/>
                              <w:t> </w:t>
                            </w:r>
                          </w:p>
                          <w:tbl>
                            <w:tblPr>
                              <w:tblW w:w="2950" w:type="dxa"/>
                              <w:jc w:val="left"/>
                              <w:tblInd w:w="0" w:type="dxa"/>
                              <w:tblCellMar>
                                <w:top w:w="0" w:type="dxa"/>
                                <w:left w:w="0" w:type="dxa"/>
                                <w:bottom w:w="0" w:type="dxa"/>
                                <w:right w:w="0" w:type="dxa"/>
                              </w:tblCellMar>
                            </w:tblPr>
                            <w:tblGrid>
                              <w:gridCol w:w="75"/>
                              <w:gridCol w:w="200"/>
                              <w:gridCol w:w="26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1.</w:t>
                                  </w:r>
                                </w:p>
                              </w:tc>
                              <w:tc>
                                <w:tcPr>
                                  <w:tcW w:w="2675"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 election of nine directors; </w:t>
                                  </w:r>
                                </w:p>
                              </w:tc>
                            </w:tr>
                          </w:tbl>
                          <w:p>
                            <w:pPr>
                              <w:pStyle w:val="TextBody"/>
                              <w:spacing w:before="0" w:after="0"/>
                              <w:rPr/>
                            </w:pPr>
                            <w:r>
                              <w:rPr/>
                              <w:t> </w:t>
                            </w:r>
                          </w:p>
                          <w:tbl>
                            <w:tblPr>
                              <w:tblW w:w="8755" w:type="dxa"/>
                              <w:jc w:val="left"/>
                              <w:tblInd w:w="0" w:type="dxa"/>
                              <w:tblCellMar>
                                <w:top w:w="0" w:type="dxa"/>
                                <w:left w:w="0" w:type="dxa"/>
                                <w:bottom w:w="0" w:type="dxa"/>
                                <w:right w:w="0" w:type="dxa"/>
                              </w:tblCellMar>
                            </w:tblPr>
                            <w:tblGrid>
                              <w:gridCol w:w="75"/>
                              <w:gridCol w:w="200"/>
                              <w:gridCol w:w="848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2.</w:t>
                                  </w:r>
                                </w:p>
                              </w:tc>
                              <w:tc>
                                <w:tcPr>
                                  <w:tcW w:w="8480" w:type="dxa"/>
                                  <w:tcBorders/>
                                  <w:shd w:fill="auto" w:val="clear"/>
                                  <w:vAlign w:val="center"/>
                                </w:tcPr>
                                <w:p>
                                  <w:pPr>
                                    <w:pStyle w:val="TableContents"/>
                                    <w:spacing w:before="0" w:after="0"/>
                                    <w:jc w:val="left"/>
                                    <w:rPr>
                                      <w:rFonts w:ascii="ARIAL" w:hAnsi="ARIAL"/>
                                      <w:sz w:val="19"/>
                                    </w:rPr>
                                  </w:pPr>
                                  <w:r>
                                    <w:rPr>
                                      <w:rFonts w:ascii="ARIAL" w:hAnsi="ARIAL"/>
                                      <w:sz w:val="19"/>
                                    </w:rPr>
                                    <w:t xml:space="preserve">Approval of, on a non-binding advisory basis, the compensation of our named executive officers;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188"/>
                              <w:gridCol w:w="9942"/>
                            </w:tblGrid>
                            <w:tr>
                              <w:trPr/>
                              <w:tc>
                                <w:tcPr>
                                  <w:tcW w:w="75"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jc w:val="left"/>
                                    <w:rPr/>
                                  </w:pPr>
                                  <w:r>
                                    <w:rPr/>
                                    <w:t>3.</w:t>
                                  </w:r>
                                </w:p>
                              </w:tc>
                              <w:tc>
                                <w:tcPr>
                                  <w:tcW w:w="9942" w:type="dxa"/>
                                  <w:tcBorders/>
                                  <w:shd w:fill="auto" w:val="clear"/>
                                  <w:vAlign w:val="center"/>
                                </w:tcPr>
                                <w:p>
                                  <w:pPr>
                                    <w:pStyle w:val="TableContents"/>
                                    <w:spacing w:before="0" w:after="0"/>
                                    <w:jc w:val="left"/>
                                    <w:rPr>
                                      <w:rFonts w:ascii="ARIAL" w:hAnsi="ARIAL"/>
                                      <w:sz w:val="19"/>
                                    </w:rPr>
                                  </w:pPr>
                                  <w:r>
                                    <w:rPr>
                                      <w:rFonts w:ascii="ARIAL" w:hAnsi="ARIAL"/>
                                      <w:sz w:val="19"/>
                                    </w:rPr>
                                    <w:t xml:space="preserve">Approval of, on a non-binding advisory basis, the frequency of the shareholder vote on the compensation of our named executive officers;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190"/>
                              <w:gridCol w:w="9940"/>
                            </w:tblGrid>
                            <w:tr>
                              <w:trPr/>
                              <w:tc>
                                <w:tcPr>
                                  <w:tcW w:w="75"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jc w:val="left"/>
                                    <w:rPr/>
                                  </w:pPr>
                                  <w:r>
                                    <w:rPr/>
                                    <w:t>4.</w:t>
                                  </w:r>
                                </w:p>
                              </w:tc>
                              <w:tc>
                                <w:tcPr>
                                  <w:tcW w:w="9940" w:type="dxa"/>
                                  <w:tcBorders/>
                                  <w:shd w:fill="auto" w:val="clear"/>
                                  <w:vAlign w:val="center"/>
                                </w:tcPr>
                                <w:p>
                                  <w:pPr>
                                    <w:pStyle w:val="TableContents"/>
                                    <w:spacing w:before="0" w:after="0"/>
                                    <w:jc w:val="left"/>
                                    <w:rPr>
                                      <w:rFonts w:ascii="ARIAL" w:hAnsi="ARIAL"/>
                                      <w:sz w:val="19"/>
                                    </w:rPr>
                                  </w:pPr>
                                  <w:r>
                                    <w:rPr>
                                      <w:rFonts w:ascii="ARIAL" w:hAnsi="ARIAL"/>
                                      <w:sz w:val="19"/>
                                    </w:rPr>
                                    <w:t xml:space="preserve">Ratification of the appointment of PricewaterhouseCoopers LLP as our independent registered public accounting firm for 2023;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193"/>
                              <w:gridCol w:w="9937"/>
                            </w:tblGrid>
                            <w:tr>
                              <w:trPr/>
                              <w:tc>
                                <w:tcPr>
                                  <w:tcW w:w="75"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jc w:val="left"/>
                                    <w:rPr/>
                                  </w:pPr>
                                  <w:r>
                                    <w:rPr/>
                                    <w:t>5.</w:t>
                                  </w:r>
                                </w:p>
                              </w:tc>
                              <w:tc>
                                <w:tcPr>
                                  <w:tcW w:w="9937" w:type="dxa"/>
                                  <w:tcBorders/>
                                  <w:shd w:fill="auto" w:val="clear"/>
                                  <w:vAlign w:val="center"/>
                                </w:tcPr>
                                <w:p>
                                  <w:pPr>
                                    <w:pStyle w:val="TableContents"/>
                                    <w:spacing w:before="0" w:after="0"/>
                                    <w:jc w:val="left"/>
                                    <w:rPr>
                                      <w:rFonts w:ascii="ARIAL" w:hAnsi="ARIAL"/>
                                      <w:sz w:val="19"/>
                                    </w:rPr>
                                  </w:pPr>
                                  <w:r>
                                    <w:rPr>
                                      <w:rFonts w:ascii="ARIAL" w:hAnsi="ARIAL"/>
                                      <w:sz w:val="19"/>
                                    </w:rPr>
                                    <w:t xml:space="preserve">Approval of an amendment to and restatement of our Restated Certificate of Incorporation to permit the exculpation of officers </w:t>
                                  </w:r>
                                </w:p>
                              </w:tc>
                            </w:tr>
                          </w:tbl>
                          <w:p>
                            <w:pPr>
                              <w:pStyle w:val="TextBody"/>
                              <w:spacing w:before="120" w:after="0"/>
                              <w:ind w:left="440" w:right="0" w:hanging="0"/>
                              <w:rPr>
                                <w:rFonts w:ascii="ARIAL" w:hAnsi="ARIAL"/>
                                <w:sz w:val="19"/>
                              </w:rPr>
                            </w:pPr>
                            <w:r>
                              <w:rPr>
                                <w:rFonts w:ascii="ARIAL" w:hAnsi="ARIAL"/>
                                <w:sz w:val="19"/>
                              </w:rPr>
                              <w:t xml:space="preserve">Our Board of Directors strongly encourages you to exercise your right to vote on these matters. Your vote is important. Voting early by Internet, telephone or mailing proxy or voting instruction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96.7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3775" w:type="dxa"/>
                        <w:jc w:val="left"/>
                        <w:tblInd w:w="0" w:type="dxa"/>
                        <w:tblCellMar>
                          <w:top w:w="0" w:type="dxa"/>
                          <w:left w:w="0" w:type="dxa"/>
                          <w:bottom w:w="0" w:type="dxa"/>
                          <w:right w:w="0" w:type="dxa"/>
                        </w:tblCellMar>
                      </w:tblPr>
                      <w:tblGrid>
                        <w:gridCol w:w="350"/>
                        <w:gridCol w:w="3425"/>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3425"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When is the Annual Meeting? </w:t>
                            </w:r>
                          </w:p>
                        </w:tc>
                      </w:tr>
                    </w:tbl>
                    <w:p>
                      <w:pPr>
                        <w:pStyle w:val="TextBody"/>
                        <w:spacing w:before="0" w:after="0"/>
                        <w:rPr/>
                      </w:pPr>
                      <w:r>
                        <w:rPr/>
                        <w:t> </w:t>
                      </w:r>
                    </w:p>
                    <w:tbl>
                      <w:tblPr>
                        <w:tblW w:w="1585" w:type="dxa"/>
                        <w:jc w:val="left"/>
                        <w:tblInd w:w="0" w:type="dxa"/>
                        <w:tblCellMar>
                          <w:top w:w="0" w:type="dxa"/>
                          <w:left w:w="0" w:type="dxa"/>
                          <w:bottom w:w="0" w:type="dxa"/>
                          <w:right w:w="0" w:type="dxa"/>
                        </w:tblCellMar>
                      </w:tblPr>
                      <w:tblGrid>
                        <w:gridCol w:w="305"/>
                        <w:gridCol w:w="1280"/>
                      </w:tblGrid>
                      <w:tr>
                        <w:trPr/>
                        <w:tc>
                          <w:tcPr>
                            <w:tcW w:w="305" w:type="dxa"/>
                            <w:tcBorders/>
                            <w:shd w:fill="auto" w:val="clear"/>
                            <w:vAlign w:val="center"/>
                          </w:tcPr>
                          <w:p>
                            <w:pPr>
                              <w:pStyle w:val="TableContents"/>
                              <w:spacing w:before="0" w:after="283"/>
                              <w:jc w:val="left"/>
                              <w:rPr/>
                            </w:pPr>
                            <w:r>
                              <w:rPr>
                                <w:color w:val="005CB9"/>
                                <w:sz w:val="28"/>
                              </w:rPr>
                              <w:t>A</w:t>
                            </w:r>
                            <w:r>
                              <w:rPr/>
                              <w:t>:</w:t>
                            </w:r>
                          </w:p>
                        </w:tc>
                        <w:tc>
                          <w:tcPr>
                            <w:tcW w:w="1280" w:type="dxa"/>
                            <w:tcBorders/>
                            <w:shd w:fill="auto" w:val="clear"/>
                            <w:vAlign w:val="center"/>
                          </w:tcPr>
                          <w:p>
                            <w:pPr>
                              <w:pStyle w:val="TableContents"/>
                              <w:spacing w:before="0" w:after="0"/>
                              <w:jc w:val="left"/>
                              <w:rPr>
                                <w:rFonts w:ascii="ARIAL" w:hAnsi="ARIAL"/>
                                <w:sz w:val="19"/>
                              </w:rPr>
                            </w:pPr>
                            <w:r>
                              <w:rPr>
                                <w:rFonts w:ascii="ARIAL" w:hAnsi="ARIAL"/>
                                <w:b/>
                                <w:i/>
                                <w:sz w:val="19"/>
                              </w:rPr>
                              <w:t>Date</w:t>
                            </w:r>
                            <w:r>
                              <w:rPr>
                                <w:rFonts w:ascii="ARIAL" w:hAnsi="ARIAL"/>
                                <w:sz w:val="19"/>
                              </w:rPr>
                              <w:t> </w:t>
                            </w:r>
                            <w:r>
                              <w:rPr>
                                <w:rFonts w:ascii="ARIAL" w:hAnsi="ARIAL"/>
                                <w:b/>
                                <w:i/>
                                <w:sz w:val="19"/>
                              </w:rPr>
                              <w:t>&amp; Time:</w:t>
                            </w:r>
                            <w:r>
                              <w:rPr>
                                <w:rFonts w:ascii="ARIAL" w:hAnsi="ARIAL"/>
                                <w:sz w:val="19"/>
                              </w:rPr>
                              <w:t xml:space="preserve"> </w:t>
                            </w:r>
                          </w:p>
                        </w:tc>
                      </w:tr>
                    </w:tbl>
                    <w:p>
                      <w:pPr>
                        <w:pStyle w:val="TextBody"/>
                        <w:spacing w:before="0" w:after="0"/>
                        <w:ind w:left="440" w:right="0" w:hanging="0"/>
                        <w:rPr>
                          <w:rFonts w:ascii="ARIAL" w:hAnsi="ARIAL"/>
                          <w:sz w:val="19"/>
                        </w:rPr>
                      </w:pPr>
                      <w:r>
                        <w:rPr>
                          <w:rFonts w:ascii="ARIAL" w:hAnsi="ARIAL"/>
                          <w:sz w:val="19"/>
                        </w:rPr>
                        <w:t xml:space="preserve">Tuesday, June 13, 2023 at 10:00 a.m. (Eastern) (and at any postponement or adjournments thereof) </w:t>
                      </w:r>
                    </w:p>
                    <w:p>
                      <w:pPr>
                        <w:pStyle w:val="TextBody"/>
                        <w:spacing w:before="120" w:after="0"/>
                        <w:ind w:left="440" w:right="0" w:hanging="0"/>
                        <w:rPr>
                          <w:rFonts w:ascii="ARIAL" w:hAnsi="ARIAL"/>
                          <w:sz w:val="19"/>
                        </w:rPr>
                      </w:pPr>
                      <w:r>
                        <w:rPr>
                          <w:rFonts w:ascii="ARIAL" w:hAnsi="ARIAL"/>
                          <w:sz w:val="19"/>
                        </w:rPr>
                        <w:t xml:space="preserve">Place: </w:t>
                      </w:r>
                    </w:p>
                    <w:p>
                      <w:pPr>
                        <w:pStyle w:val="TextBody"/>
                        <w:spacing w:before="0" w:after="0"/>
                        <w:ind w:left="440" w:right="0" w:hanging="0"/>
                        <w:rPr>
                          <w:rFonts w:ascii="ARIAL" w:hAnsi="ARIAL"/>
                          <w:sz w:val="19"/>
                        </w:rPr>
                      </w:pPr>
                      <w:r>
                        <w:rPr>
                          <w:rFonts w:ascii="ARIAL" w:hAnsi="ARIAL"/>
                          <w:sz w:val="19"/>
                        </w:rPr>
                        <w:t xml:space="preserve">The Westin Sarasota </w:t>
                      </w:r>
                    </w:p>
                    <w:p>
                      <w:pPr>
                        <w:pStyle w:val="TextBody"/>
                        <w:spacing w:before="0" w:after="0"/>
                        <w:ind w:left="440" w:right="0" w:hanging="0"/>
                        <w:rPr>
                          <w:rFonts w:ascii="ARIAL" w:hAnsi="ARIAL"/>
                          <w:sz w:val="19"/>
                        </w:rPr>
                      </w:pPr>
                      <w:r>
                        <w:rPr>
                          <w:rFonts w:ascii="ARIAL" w:hAnsi="ARIAL"/>
                          <w:sz w:val="19"/>
                        </w:rPr>
                        <w:t xml:space="preserve">100 Marina View Drive </w:t>
                      </w:r>
                    </w:p>
                    <w:p>
                      <w:pPr>
                        <w:pStyle w:val="TextBody"/>
                        <w:spacing w:before="0" w:after="0"/>
                        <w:ind w:left="440" w:right="0" w:hanging="0"/>
                        <w:rPr>
                          <w:rFonts w:ascii="ARIAL" w:hAnsi="ARIAL"/>
                          <w:sz w:val="19"/>
                        </w:rPr>
                      </w:pPr>
                      <w:r>
                        <w:rPr>
                          <w:rFonts w:ascii="ARIAL" w:hAnsi="ARIAL"/>
                          <w:sz w:val="19"/>
                        </w:rPr>
                        <w:t xml:space="preserve">Sarasota, Florida 34236 </w:t>
                      </w:r>
                    </w:p>
                    <w:p>
                      <w:pPr>
                        <w:pStyle w:val="TextBody"/>
                        <w:spacing w:before="0" w:after="0"/>
                        <w:rPr/>
                      </w:pPr>
                      <w:r>
                        <w:rPr/>
                        <w:t> </w:t>
                      </w:r>
                    </w:p>
                    <w:tbl>
                      <w:tblPr>
                        <w:tblW w:w="4615" w:type="dxa"/>
                        <w:jc w:val="left"/>
                        <w:tblInd w:w="0" w:type="dxa"/>
                        <w:tblCellMar>
                          <w:top w:w="0" w:type="dxa"/>
                          <w:left w:w="0" w:type="dxa"/>
                          <w:bottom w:w="0" w:type="dxa"/>
                          <w:right w:w="0" w:type="dxa"/>
                        </w:tblCellMar>
                      </w:tblPr>
                      <w:tblGrid>
                        <w:gridCol w:w="350"/>
                        <w:gridCol w:w="4265"/>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4265"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is the purpose of this meeting? </w:t>
                            </w:r>
                          </w:p>
                        </w:tc>
                      </w:tr>
                    </w:tbl>
                    <w:p>
                      <w:pPr>
                        <w:pStyle w:val="TextBody"/>
                        <w:spacing w:before="0" w:after="0"/>
                        <w:rPr/>
                      </w:pPr>
                      <w:r>
                        <w:rPr/>
                        <w:t> </w:t>
                      </w:r>
                    </w:p>
                    <w:tbl>
                      <w:tblPr>
                        <w:tblW w:w="9625" w:type="dxa"/>
                        <w:jc w:val="left"/>
                        <w:tblInd w:w="0" w:type="dxa"/>
                        <w:tblCellMar>
                          <w:top w:w="0" w:type="dxa"/>
                          <w:left w:w="0" w:type="dxa"/>
                          <w:bottom w:w="0" w:type="dxa"/>
                          <w:right w:w="0" w:type="dxa"/>
                        </w:tblCellMar>
                      </w:tblPr>
                      <w:tblGrid>
                        <w:gridCol w:w="305"/>
                        <w:gridCol w:w="9320"/>
                      </w:tblGrid>
                      <w:tr>
                        <w:trPr/>
                        <w:tc>
                          <w:tcPr>
                            <w:tcW w:w="305" w:type="dxa"/>
                            <w:tcBorders/>
                            <w:shd w:fill="auto" w:val="clear"/>
                            <w:vAlign w:val="center"/>
                          </w:tcPr>
                          <w:p>
                            <w:pPr>
                              <w:pStyle w:val="TableContents"/>
                              <w:spacing w:before="0" w:after="283"/>
                              <w:jc w:val="left"/>
                              <w:rPr/>
                            </w:pPr>
                            <w:r>
                              <w:rPr>
                                <w:color w:val="005CB9"/>
                                <w:sz w:val="28"/>
                              </w:rPr>
                              <w:t>A</w:t>
                            </w:r>
                            <w:r>
                              <w:rPr/>
                              <w:t>:</w:t>
                            </w:r>
                          </w:p>
                        </w:tc>
                        <w:tc>
                          <w:tcPr>
                            <w:tcW w:w="932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This is the Annual Meeting of our shareholders. At this meeting, we will be voting on the following matters: </w:t>
                            </w:r>
                          </w:p>
                        </w:tc>
                      </w:tr>
                    </w:tbl>
                    <w:p>
                      <w:pPr>
                        <w:pStyle w:val="TextBody"/>
                        <w:spacing w:before="0" w:after="0"/>
                        <w:rPr/>
                      </w:pPr>
                      <w:r>
                        <w:rPr/>
                        <w:t> </w:t>
                      </w:r>
                    </w:p>
                    <w:tbl>
                      <w:tblPr>
                        <w:tblW w:w="2950" w:type="dxa"/>
                        <w:jc w:val="left"/>
                        <w:tblInd w:w="0" w:type="dxa"/>
                        <w:tblCellMar>
                          <w:top w:w="0" w:type="dxa"/>
                          <w:left w:w="0" w:type="dxa"/>
                          <w:bottom w:w="0" w:type="dxa"/>
                          <w:right w:w="0" w:type="dxa"/>
                        </w:tblCellMar>
                      </w:tblPr>
                      <w:tblGrid>
                        <w:gridCol w:w="75"/>
                        <w:gridCol w:w="200"/>
                        <w:gridCol w:w="26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1.</w:t>
                            </w:r>
                          </w:p>
                        </w:tc>
                        <w:tc>
                          <w:tcPr>
                            <w:tcW w:w="2675"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 election of nine directors; </w:t>
                            </w:r>
                          </w:p>
                        </w:tc>
                      </w:tr>
                    </w:tbl>
                    <w:p>
                      <w:pPr>
                        <w:pStyle w:val="TextBody"/>
                        <w:spacing w:before="0" w:after="0"/>
                        <w:rPr/>
                      </w:pPr>
                      <w:r>
                        <w:rPr/>
                        <w:t> </w:t>
                      </w:r>
                    </w:p>
                    <w:tbl>
                      <w:tblPr>
                        <w:tblW w:w="8755" w:type="dxa"/>
                        <w:jc w:val="left"/>
                        <w:tblInd w:w="0" w:type="dxa"/>
                        <w:tblCellMar>
                          <w:top w:w="0" w:type="dxa"/>
                          <w:left w:w="0" w:type="dxa"/>
                          <w:bottom w:w="0" w:type="dxa"/>
                          <w:right w:w="0" w:type="dxa"/>
                        </w:tblCellMar>
                      </w:tblPr>
                      <w:tblGrid>
                        <w:gridCol w:w="75"/>
                        <w:gridCol w:w="200"/>
                        <w:gridCol w:w="848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2.</w:t>
                            </w:r>
                          </w:p>
                        </w:tc>
                        <w:tc>
                          <w:tcPr>
                            <w:tcW w:w="8480" w:type="dxa"/>
                            <w:tcBorders/>
                            <w:shd w:fill="auto" w:val="clear"/>
                            <w:vAlign w:val="center"/>
                          </w:tcPr>
                          <w:p>
                            <w:pPr>
                              <w:pStyle w:val="TableContents"/>
                              <w:spacing w:before="0" w:after="0"/>
                              <w:jc w:val="left"/>
                              <w:rPr>
                                <w:rFonts w:ascii="ARIAL" w:hAnsi="ARIAL"/>
                                <w:sz w:val="19"/>
                              </w:rPr>
                            </w:pPr>
                            <w:r>
                              <w:rPr>
                                <w:rFonts w:ascii="ARIAL" w:hAnsi="ARIAL"/>
                                <w:sz w:val="19"/>
                              </w:rPr>
                              <w:t xml:space="preserve">Approval of, on a non-binding advisory basis, the compensation of our named executive officers;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188"/>
                        <w:gridCol w:w="9942"/>
                      </w:tblGrid>
                      <w:tr>
                        <w:trPr/>
                        <w:tc>
                          <w:tcPr>
                            <w:tcW w:w="75"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jc w:val="left"/>
                              <w:rPr/>
                            </w:pPr>
                            <w:r>
                              <w:rPr/>
                              <w:t>3.</w:t>
                            </w:r>
                          </w:p>
                        </w:tc>
                        <w:tc>
                          <w:tcPr>
                            <w:tcW w:w="9942" w:type="dxa"/>
                            <w:tcBorders/>
                            <w:shd w:fill="auto" w:val="clear"/>
                            <w:vAlign w:val="center"/>
                          </w:tcPr>
                          <w:p>
                            <w:pPr>
                              <w:pStyle w:val="TableContents"/>
                              <w:spacing w:before="0" w:after="0"/>
                              <w:jc w:val="left"/>
                              <w:rPr>
                                <w:rFonts w:ascii="ARIAL" w:hAnsi="ARIAL"/>
                                <w:sz w:val="19"/>
                              </w:rPr>
                            </w:pPr>
                            <w:r>
                              <w:rPr>
                                <w:rFonts w:ascii="ARIAL" w:hAnsi="ARIAL"/>
                                <w:sz w:val="19"/>
                              </w:rPr>
                              <w:t xml:space="preserve">Approval of, on a non-binding advisory basis, the frequency of the shareholder vote on the compensation of our named executive officers;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190"/>
                        <w:gridCol w:w="9940"/>
                      </w:tblGrid>
                      <w:tr>
                        <w:trPr/>
                        <w:tc>
                          <w:tcPr>
                            <w:tcW w:w="75"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jc w:val="left"/>
                              <w:rPr/>
                            </w:pPr>
                            <w:r>
                              <w:rPr/>
                              <w:t>4.</w:t>
                            </w:r>
                          </w:p>
                        </w:tc>
                        <w:tc>
                          <w:tcPr>
                            <w:tcW w:w="9940" w:type="dxa"/>
                            <w:tcBorders/>
                            <w:shd w:fill="auto" w:val="clear"/>
                            <w:vAlign w:val="center"/>
                          </w:tcPr>
                          <w:p>
                            <w:pPr>
                              <w:pStyle w:val="TableContents"/>
                              <w:spacing w:before="0" w:after="0"/>
                              <w:jc w:val="left"/>
                              <w:rPr>
                                <w:rFonts w:ascii="ARIAL" w:hAnsi="ARIAL"/>
                                <w:sz w:val="19"/>
                              </w:rPr>
                            </w:pPr>
                            <w:r>
                              <w:rPr>
                                <w:rFonts w:ascii="ARIAL" w:hAnsi="ARIAL"/>
                                <w:sz w:val="19"/>
                              </w:rPr>
                              <w:t xml:space="preserve">Ratification of the appointment of PricewaterhouseCoopers LLP as our independent registered public accounting firm for 2023;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193"/>
                        <w:gridCol w:w="9937"/>
                      </w:tblGrid>
                      <w:tr>
                        <w:trPr/>
                        <w:tc>
                          <w:tcPr>
                            <w:tcW w:w="75"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jc w:val="left"/>
                              <w:rPr/>
                            </w:pPr>
                            <w:r>
                              <w:rPr/>
                              <w:t>5.</w:t>
                            </w:r>
                          </w:p>
                        </w:tc>
                        <w:tc>
                          <w:tcPr>
                            <w:tcW w:w="9937" w:type="dxa"/>
                            <w:tcBorders/>
                            <w:shd w:fill="auto" w:val="clear"/>
                            <w:vAlign w:val="center"/>
                          </w:tcPr>
                          <w:p>
                            <w:pPr>
                              <w:pStyle w:val="TableContents"/>
                              <w:spacing w:before="0" w:after="0"/>
                              <w:jc w:val="left"/>
                              <w:rPr>
                                <w:rFonts w:ascii="ARIAL" w:hAnsi="ARIAL"/>
                                <w:sz w:val="19"/>
                              </w:rPr>
                            </w:pPr>
                            <w:r>
                              <w:rPr>
                                <w:rFonts w:ascii="ARIAL" w:hAnsi="ARIAL"/>
                                <w:sz w:val="19"/>
                              </w:rPr>
                              <w:t xml:space="preserve">Approval of an amendment to and restatement of our Restated Certificate of Incorporation to permit the exculpation of officers </w:t>
                            </w:r>
                          </w:p>
                        </w:tc>
                      </w:tr>
                    </w:tbl>
                    <w:p>
                      <w:pPr>
                        <w:pStyle w:val="TextBody"/>
                        <w:spacing w:before="120" w:after="0"/>
                        <w:ind w:left="440" w:right="0" w:hanging="0"/>
                        <w:rPr>
                          <w:rFonts w:ascii="ARIAL" w:hAnsi="ARIAL"/>
                          <w:sz w:val="19"/>
                        </w:rPr>
                      </w:pPr>
                      <w:r>
                        <w:rPr>
                          <w:rFonts w:ascii="ARIAL" w:hAnsi="ARIAL"/>
                          <w:sz w:val="19"/>
                        </w:rPr>
                        <w:t xml:space="preserve">Our Board of Directors strongly encourages you to exercise your right to vote on these matters. Your vote is important. Voting early by Internet, telephone or mailing proxy or voting instruction </w:t>
                      </w:r>
                    </w:p>
                  </w:txbxContent>
                </v:textbox>
                <w10:wrap type="square" side="right"/>
              </v:rect>
            </w:pict>
          </mc:Fallback>
        </mc:AlternateConten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3175000" cy="4404995"/>
                <wp:effectExtent l="0" t="0" r="0" b="0"/>
                <wp:wrapSquare wrapText="largest"/>
                <wp:docPr id="159" name="Frame46"/>
                <a:graphic xmlns:a="http://schemas.openxmlformats.org/drawingml/2006/main">
                  <a:graphicData uri="http://schemas.microsoft.com/office/word/2010/wordprocessingShape">
                    <wps:wsp>
                      <wps:cNvSpPr txBox="1"/>
                      <wps:spPr>
                        <a:xfrm>
                          <a:off x="0" y="0"/>
                          <a:ext cx="3175000" cy="4404995"/>
                        </a:xfrm>
                        <a:prstGeom prst="rect"/>
                      </wps:spPr>
                      <wps:txbx>
                        <w:txbxContent>
                          <w:p>
                            <w:pPr>
                              <w:pStyle w:val="TextBody"/>
                              <w:spacing w:before="0" w:after="0"/>
                              <w:ind w:left="440" w:right="0" w:hanging="0"/>
                              <w:rPr>
                                <w:rFonts w:ascii="ARIAL" w:hAnsi="ARIAL"/>
                                <w:sz w:val="19"/>
                              </w:rPr>
                            </w:pPr>
                            <w:r>
                              <w:rPr>
                                <w:rFonts w:ascii="ARIAL" w:hAnsi="ARIAL"/>
                                <w:sz w:val="19"/>
                              </w:rPr>
                              <w:t xml:space="preserve">card helps ensure that we receive a quorum of shares necessary to hold the meeting. </w:t>
                            </w:r>
                          </w:p>
                          <w:p>
                            <w:pPr>
                              <w:pStyle w:val="TextBody"/>
                              <w:spacing w:before="0" w:after="0"/>
                              <w:rPr/>
                            </w:pPr>
                            <w:r>
                              <w:rPr/>
                              <w:t> </w:t>
                            </w:r>
                          </w:p>
                          <w:tbl>
                            <w:tblPr>
                              <w:tblW w:w="8710" w:type="dxa"/>
                              <w:jc w:val="left"/>
                              <w:tblInd w:w="0" w:type="dxa"/>
                              <w:tblCellMar>
                                <w:top w:w="0" w:type="dxa"/>
                                <w:left w:w="0" w:type="dxa"/>
                                <w:bottom w:w="0" w:type="dxa"/>
                                <w:right w:w="0" w:type="dxa"/>
                              </w:tblCellMar>
                            </w:tblPr>
                            <w:tblGrid>
                              <w:gridCol w:w="350"/>
                              <w:gridCol w:w="836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836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happens if additional matters are presented at the Annual Meeting?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jc w:val="left"/>
                                    <w:rPr/>
                                  </w:pPr>
                                  <w:r>
                                    <w:rPr>
                                      <w:color w:val="005CB9"/>
                                      <w:sz w:val="28"/>
                                    </w:rPr>
                                    <w:t>A</w:t>
                                  </w:r>
                                  <w:r>
                                    <w:rPr/>
                                    <w:t>.</w:t>
                                  </w:r>
                                </w:p>
                              </w:tc>
                              <w:tc>
                                <w:tcPr>
                                  <w:tcW w:w="9900" w:type="dxa"/>
                                  <w:tcBorders/>
                                  <w:shd w:fill="auto" w:val="clear"/>
                                  <w:vAlign w:val="center"/>
                                </w:tcPr>
                                <w:p>
                                  <w:pPr>
                                    <w:pStyle w:val="TableContents"/>
                                    <w:spacing w:before="0" w:after="0"/>
                                    <w:jc w:val="left"/>
                                    <w:rPr>
                                      <w:rFonts w:ascii="ARIAL" w:hAnsi="ARIAL"/>
                                      <w:sz w:val="19"/>
                                    </w:rPr>
                                  </w:pPr>
                                  <w:r>
                                    <w:rPr>
                                      <w:rFonts w:ascii="ARIAL" w:hAnsi="ARIAL"/>
                                      <w:sz w:val="19"/>
                                    </w:rPr>
                                    <w:t xml:space="preserve">We are not aware of any matters to be acted upon at the Annual Meeting other than the proposals described in this Proxy Statement. The Board of Directors has named Michael R. Peterson and John K. Stipancich as proxy holders for this Annual Meeting. If for any reason a director nominee is not available as a candidate, the proxy holders may vote your shares for another candidate who may be nominated by the Board, or the Board may reduce its size. </w:t>
                                  </w:r>
                                </w:p>
                              </w:tc>
                            </w:tr>
                          </w:tbl>
                          <w:p>
                            <w:pPr>
                              <w:pStyle w:val="TextBody"/>
                              <w:spacing w:before="120" w:after="0"/>
                              <w:ind w:left="440" w:right="0" w:hanging="0"/>
                              <w:rPr>
                                <w:rFonts w:ascii="ARIAL" w:hAnsi="ARIAL"/>
                                <w:sz w:val="19"/>
                              </w:rPr>
                            </w:pPr>
                            <w:r>
                              <w:rPr>
                                <w:rFonts w:ascii="ARIAL" w:hAnsi="ARIAL"/>
                                <w:sz w:val="19"/>
                              </w:rPr>
                              <w:t xml:space="preserve">All shares of our common stock represented by properly executed and unrevoked proxies will be voted by the person named as proxy holder in accordance with the instruction given. If no instructions are indicated on a proxy, properly executed proxies will be voted as follows: </w:t>
                            </w:r>
                          </w:p>
                          <w:p>
                            <w:pPr>
                              <w:pStyle w:val="TextBody"/>
                              <w:spacing w:before="120" w:after="0"/>
                              <w:ind w:left="440" w:right="0" w:hanging="0"/>
                              <w:rPr>
                                <w:rFonts w:ascii="ARIAL" w:hAnsi="ARIAL"/>
                                <w:sz w:val="19"/>
                              </w:rPr>
                            </w:pPr>
                            <w:r>
                              <w:rPr>
                                <w:rFonts w:ascii="ARIAL" w:hAnsi="ARIAL"/>
                                <w:b/>
                                <w:i/>
                                <w:sz w:val="19"/>
                              </w:rPr>
                              <w:t>FOR</w:t>
                            </w:r>
                            <w:r>
                              <w:rPr>
                                <w:rFonts w:ascii="ARIAL" w:hAnsi="ARIAL"/>
                                <w:sz w:val="19"/>
                              </w:rPr>
                              <w:t xml:space="preserve"> each director nominee; </w:t>
                            </w:r>
                          </w:p>
                          <w:p>
                            <w:pPr>
                              <w:pStyle w:val="TextBody"/>
                              <w:spacing w:before="120" w:after="0"/>
                              <w:ind w:left="440" w:right="0" w:hanging="0"/>
                              <w:rPr>
                                <w:rFonts w:ascii="ARIAL" w:hAnsi="ARIAL"/>
                                <w:sz w:val="19"/>
                              </w:rPr>
                            </w:pPr>
                            <w:r>
                              <w:rPr>
                                <w:rFonts w:ascii="ARIAL" w:hAnsi="ARIAL"/>
                                <w:b/>
                                <w:i/>
                                <w:sz w:val="19"/>
                              </w:rPr>
                              <w:t>FOR</w:t>
                            </w:r>
                            <w:r>
                              <w:rPr>
                                <w:rFonts w:ascii="ARIAL" w:hAnsi="ARIAL"/>
                                <w:sz w:val="19"/>
                              </w:rPr>
                              <w:t xml:space="preserve"> the approval of the compensation of our named executive officers; </w:t>
                            </w:r>
                          </w:p>
                          <w:p>
                            <w:pPr>
                              <w:pStyle w:val="TextBody"/>
                              <w:spacing w:before="120" w:after="0"/>
                              <w:ind w:left="440" w:right="0" w:hanging="0"/>
                              <w:rPr>
                                <w:rFonts w:ascii="ARIAL" w:hAnsi="ARIAL"/>
                                <w:sz w:val="19"/>
                              </w:rPr>
                            </w:pPr>
                            <w:r>
                              <w:rPr>
                                <w:rFonts w:ascii="ARIAL" w:hAnsi="ARIAL"/>
                                <w:b/>
                                <w:i/>
                                <w:sz w:val="19"/>
                              </w:rPr>
                              <w:t xml:space="preserve">YEARLY </w:t>
                            </w:r>
                            <w:r>
                              <w:rPr>
                                <w:rFonts w:ascii="ARIAL" w:hAnsi="ARIAL"/>
                                <w:sz w:val="19"/>
                              </w:rPr>
                              <w:t xml:space="preserve">as the frequency for shareholders to vote on the compensation of our named executive officers; </w:t>
                            </w:r>
                          </w:p>
                          <w:p>
                            <w:pPr>
                              <w:pStyle w:val="TextBody"/>
                              <w:spacing w:before="120" w:after="0"/>
                              <w:ind w:left="440" w:right="0" w:hanging="0"/>
                              <w:rPr>
                                <w:rFonts w:ascii="ARIAL" w:hAnsi="ARIAL"/>
                                <w:sz w:val="19"/>
                              </w:rPr>
                            </w:pPr>
                            <w:r>
                              <w:rPr>
                                <w:rFonts w:ascii="ARIAL" w:hAnsi="ARIAL"/>
                                <w:b/>
                                <w:i/>
                                <w:sz w:val="19"/>
                              </w:rPr>
                              <w:t xml:space="preserve">FOR </w:t>
                            </w:r>
                            <w:r>
                              <w:rPr>
                                <w:rFonts w:ascii="ARIAL" w:hAnsi="ARIAL"/>
                                <w:sz w:val="19"/>
                              </w:rPr>
                              <w:t xml:space="preserve">the appointment of PricewaterhouseCoopers LLP as our independent registered public accounting firm for 2023; and </w:t>
                            </w:r>
                          </w:p>
                          <w:p>
                            <w:pPr>
                              <w:pStyle w:val="TextBody"/>
                              <w:spacing w:before="120" w:after="0"/>
                              <w:ind w:left="440" w:right="0" w:hanging="0"/>
                              <w:rPr>
                                <w:rFonts w:ascii="ARIAL" w:hAnsi="ARIAL"/>
                                <w:sz w:val="19"/>
                              </w:rPr>
                            </w:pPr>
                            <w:r>
                              <w:rPr>
                                <w:rFonts w:ascii="ARIAL" w:hAnsi="ARIAL"/>
                                <w:b/>
                                <w:i/>
                                <w:sz w:val="19"/>
                              </w:rPr>
                              <w:t xml:space="preserve">FOR </w:t>
                            </w:r>
                            <w:r>
                              <w:rPr>
                                <w:rFonts w:ascii="ARIAL" w:hAnsi="ARIAL"/>
                                <w:sz w:val="19"/>
                              </w:rPr>
                              <w:t xml:space="preserve">the approval of the amendment to and restatement of our Restated Certificate of Incorporation to permit the exculpation of officers.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46.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ind w:left="440" w:right="0" w:hanging="0"/>
                        <w:rPr>
                          <w:rFonts w:ascii="ARIAL" w:hAnsi="ARIAL"/>
                          <w:sz w:val="19"/>
                        </w:rPr>
                      </w:pPr>
                      <w:r>
                        <w:rPr>
                          <w:rFonts w:ascii="ARIAL" w:hAnsi="ARIAL"/>
                          <w:sz w:val="19"/>
                        </w:rPr>
                        <w:t xml:space="preserve">card helps ensure that we receive a quorum of shares necessary to hold the meeting. </w:t>
                      </w:r>
                    </w:p>
                    <w:p>
                      <w:pPr>
                        <w:pStyle w:val="TextBody"/>
                        <w:spacing w:before="0" w:after="0"/>
                        <w:rPr/>
                      </w:pPr>
                      <w:r>
                        <w:rPr/>
                        <w:t> </w:t>
                      </w:r>
                    </w:p>
                    <w:tbl>
                      <w:tblPr>
                        <w:tblW w:w="8710" w:type="dxa"/>
                        <w:jc w:val="left"/>
                        <w:tblInd w:w="0" w:type="dxa"/>
                        <w:tblCellMar>
                          <w:top w:w="0" w:type="dxa"/>
                          <w:left w:w="0" w:type="dxa"/>
                          <w:bottom w:w="0" w:type="dxa"/>
                          <w:right w:w="0" w:type="dxa"/>
                        </w:tblCellMar>
                      </w:tblPr>
                      <w:tblGrid>
                        <w:gridCol w:w="350"/>
                        <w:gridCol w:w="836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836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happens if additional matters are presented at the Annual Meeting?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jc w:val="left"/>
                              <w:rPr/>
                            </w:pPr>
                            <w:r>
                              <w:rPr>
                                <w:color w:val="005CB9"/>
                                <w:sz w:val="28"/>
                              </w:rPr>
                              <w:t>A</w:t>
                            </w:r>
                            <w:r>
                              <w:rPr/>
                              <w:t>.</w:t>
                            </w:r>
                          </w:p>
                        </w:tc>
                        <w:tc>
                          <w:tcPr>
                            <w:tcW w:w="9900" w:type="dxa"/>
                            <w:tcBorders/>
                            <w:shd w:fill="auto" w:val="clear"/>
                            <w:vAlign w:val="center"/>
                          </w:tcPr>
                          <w:p>
                            <w:pPr>
                              <w:pStyle w:val="TableContents"/>
                              <w:spacing w:before="0" w:after="0"/>
                              <w:jc w:val="left"/>
                              <w:rPr>
                                <w:rFonts w:ascii="ARIAL" w:hAnsi="ARIAL"/>
                                <w:sz w:val="19"/>
                              </w:rPr>
                            </w:pPr>
                            <w:r>
                              <w:rPr>
                                <w:rFonts w:ascii="ARIAL" w:hAnsi="ARIAL"/>
                                <w:sz w:val="19"/>
                              </w:rPr>
                              <w:t xml:space="preserve">We are not aware of any matters to be acted upon at the Annual Meeting other than the proposals described in this Proxy Statement. The Board of Directors has named Michael R. Peterson and John K. Stipancich as proxy holders for this Annual Meeting. If for any reason a director nominee is not available as a candidate, the proxy holders may vote your shares for another candidate who may be nominated by the Board, or the Board may reduce its size. </w:t>
                            </w:r>
                          </w:p>
                        </w:tc>
                      </w:tr>
                    </w:tbl>
                    <w:p>
                      <w:pPr>
                        <w:pStyle w:val="TextBody"/>
                        <w:spacing w:before="120" w:after="0"/>
                        <w:ind w:left="440" w:right="0" w:hanging="0"/>
                        <w:rPr>
                          <w:rFonts w:ascii="ARIAL" w:hAnsi="ARIAL"/>
                          <w:sz w:val="19"/>
                        </w:rPr>
                      </w:pPr>
                      <w:r>
                        <w:rPr>
                          <w:rFonts w:ascii="ARIAL" w:hAnsi="ARIAL"/>
                          <w:sz w:val="19"/>
                        </w:rPr>
                        <w:t xml:space="preserve">All shares of our common stock represented by properly executed and unrevoked proxies will be voted by the person named as proxy holder in accordance with the instruction given. If no instructions are indicated on a proxy, properly executed proxies will be voted as follows: </w:t>
                      </w:r>
                    </w:p>
                    <w:p>
                      <w:pPr>
                        <w:pStyle w:val="TextBody"/>
                        <w:spacing w:before="120" w:after="0"/>
                        <w:ind w:left="440" w:right="0" w:hanging="0"/>
                        <w:rPr>
                          <w:rFonts w:ascii="ARIAL" w:hAnsi="ARIAL"/>
                          <w:sz w:val="19"/>
                        </w:rPr>
                      </w:pPr>
                      <w:r>
                        <w:rPr>
                          <w:rFonts w:ascii="ARIAL" w:hAnsi="ARIAL"/>
                          <w:b/>
                          <w:i/>
                          <w:sz w:val="19"/>
                        </w:rPr>
                        <w:t>FOR</w:t>
                      </w:r>
                      <w:r>
                        <w:rPr>
                          <w:rFonts w:ascii="ARIAL" w:hAnsi="ARIAL"/>
                          <w:sz w:val="19"/>
                        </w:rPr>
                        <w:t xml:space="preserve"> each director nominee; </w:t>
                      </w:r>
                    </w:p>
                    <w:p>
                      <w:pPr>
                        <w:pStyle w:val="TextBody"/>
                        <w:spacing w:before="120" w:after="0"/>
                        <w:ind w:left="440" w:right="0" w:hanging="0"/>
                        <w:rPr>
                          <w:rFonts w:ascii="ARIAL" w:hAnsi="ARIAL"/>
                          <w:sz w:val="19"/>
                        </w:rPr>
                      </w:pPr>
                      <w:r>
                        <w:rPr>
                          <w:rFonts w:ascii="ARIAL" w:hAnsi="ARIAL"/>
                          <w:b/>
                          <w:i/>
                          <w:sz w:val="19"/>
                        </w:rPr>
                        <w:t>FOR</w:t>
                      </w:r>
                      <w:r>
                        <w:rPr>
                          <w:rFonts w:ascii="ARIAL" w:hAnsi="ARIAL"/>
                          <w:sz w:val="19"/>
                        </w:rPr>
                        <w:t xml:space="preserve"> the approval of the compensation of our named executive officers; </w:t>
                      </w:r>
                    </w:p>
                    <w:p>
                      <w:pPr>
                        <w:pStyle w:val="TextBody"/>
                        <w:spacing w:before="120" w:after="0"/>
                        <w:ind w:left="440" w:right="0" w:hanging="0"/>
                        <w:rPr>
                          <w:rFonts w:ascii="ARIAL" w:hAnsi="ARIAL"/>
                          <w:sz w:val="19"/>
                        </w:rPr>
                      </w:pPr>
                      <w:r>
                        <w:rPr>
                          <w:rFonts w:ascii="ARIAL" w:hAnsi="ARIAL"/>
                          <w:b/>
                          <w:i/>
                          <w:sz w:val="19"/>
                        </w:rPr>
                        <w:t xml:space="preserve">YEARLY </w:t>
                      </w:r>
                      <w:r>
                        <w:rPr>
                          <w:rFonts w:ascii="ARIAL" w:hAnsi="ARIAL"/>
                          <w:sz w:val="19"/>
                        </w:rPr>
                        <w:t xml:space="preserve">as the frequency for shareholders to vote on the compensation of our named executive officers; </w:t>
                      </w:r>
                    </w:p>
                    <w:p>
                      <w:pPr>
                        <w:pStyle w:val="TextBody"/>
                        <w:spacing w:before="120" w:after="0"/>
                        <w:ind w:left="440" w:right="0" w:hanging="0"/>
                        <w:rPr>
                          <w:rFonts w:ascii="ARIAL" w:hAnsi="ARIAL"/>
                          <w:sz w:val="19"/>
                        </w:rPr>
                      </w:pPr>
                      <w:r>
                        <w:rPr>
                          <w:rFonts w:ascii="ARIAL" w:hAnsi="ARIAL"/>
                          <w:b/>
                          <w:i/>
                          <w:sz w:val="19"/>
                        </w:rPr>
                        <w:t xml:space="preserve">FOR </w:t>
                      </w:r>
                      <w:r>
                        <w:rPr>
                          <w:rFonts w:ascii="ARIAL" w:hAnsi="ARIAL"/>
                          <w:sz w:val="19"/>
                        </w:rPr>
                        <w:t xml:space="preserve">the appointment of PricewaterhouseCoopers LLP as our independent registered public accounting firm for 2023; and </w:t>
                      </w:r>
                    </w:p>
                    <w:p>
                      <w:pPr>
                        <w:pStyle w:val="TextBody"/>
                        <w:spacing w:before="120" w:after="0"/>
                        <w:ind w:left="440" w:right="0" w:hanging="0"/>
                        <w:rPr>
                          <w:rFonts w:ascii="ARIAL" w:hAnsi="ARIAL"/>
                          <w:sz w:val="19"/>
                        </w:rPr>
                      </w:pPr>
                      <w:r>
                        <w:rPr>
                          <w:rFonts w:ascii="ARIAL" w:hAnsi="ARIAL"/>
                          <w:b/>
                          <w:i/>
                          <w:sz w:val="19"/>
                        </w:rPr>
                        <w:t xml:space="preserve">FOR </w:t>
                      </w:r>
                      <w:r>
                        <w:rPr>
                          <w:rFonts w:ascii="ARIAL" w:hAnsi="ARIAL"/>
                          <w:sz w:val="19"/>
                        </w:rPr>
                        <w:t xml:space="preserve">the approval of the amendment to and restatement of our Restated Certificate of Incorporation to permit the exculpation of officers. </w:t>
                      </w:r>
                    </w:p>
                  </w:txbxContent>
                </v:textbox>
                <w10:wrap type="square" side="right"/>
              </v:rect>
            </w:pict>
          </mc:Fallback>
        </mc:AlternateConten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58</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6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13" descr=""/>
                          <pic:cNvPicPr>
                            <a:picLocks noChangeAspect="1" noChangeArrowheads="1"/>
                          </pic:cNvPicPr>
                        </pic:nvPicPr>
                        <pic:blipFill>
                          <a:blip r:embed="rId114"/>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jc w:val="left"/>
        <w:rPr/>
      </w:pPr>
      <w:r>
        <w:rPr/>
        <w:t> </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3110230" cy="7025005"/>
                <wp:effectExtent l="0" t="0" r="0" b="0"/>
                <wp:wrapSquare wrapText="largest"/>
                <wp:docPr id="161" name="Frame47"/>
                <a:graphic xmlns:a="http://schemas.openxmlformats.org/drawingml/2006/main">
                  <a:graphicData uri="http://schemas.microsoft.com/office/word/2010/wordprocessingShape">
                    <wps:wsp>
                      <wps:cNvSpPr txBox="1"/>
                      <wps:spPr>
                        <a:xfrm>
                          <a:off x="0" y="0"/>
                          <a:ext cx="3110230" cy="7025005"/>
                        </a:xfrm>
                        <a:prstGeom prst="rect"/>
                      </wps:spPr>
                      <wps:txbx>
                        <w:txbxContent>
                          <w:tbl>
                            <w:tblPr>
                              <w:tblW w:w="4750" w:type="dxa"/>
                              <w:jc w:val="left"/>
                              <w:tblInd w:w="0" w:type="dxa"/>
                              <w:tblCellMar>
                                <w:top w:w="0" w:type="dxa"/>
                                <w:left w:w="0" w:type="dxa"/>
                                <w:bottom w:w="0" w:type="dxa"/>
                                <w:right w:w="0" w:type="dxa"/>
                              </w:tblCellMar>
                            </w:tblPr>
                            <w:tblGrid>
                              <w:gridCol w:w="350"/>
                              <w:gridCol w:w="440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440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Who may vote at the Annual Meeting?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color w:val="005CB9"/>
                                      <w:sz w:val="28"/>
                                    </w:rPr>
                                    <w:t>A</w:t>
                                  </w:r>
                                  <w:r>
                                    <w:rPr/>
                                    <w:t>:</w:t>
                                  </w:r>
                                </w:p>
                              </w:tc>
                              <w:tc>
                                <w:tcPr>
                                  <w:tcW w:w="9939" w:type="dxa"/>
                                  <w:tcBorders/>
                                  <w:shd w:fill="auto" w:val="clear"/>
                                  <w:vAlign w:val="center"/>
                                </w:tcPr>
                                <w:p>
                                  <w:pPr>
                                    <w:pStyle w:val="TableContents"/>
                                    <w:spacing w:before="0" w:after="0"/>
                                    <w:jc w:val="left"/>
                                    <w:rPr>
                                      <w:rFonts w:ascii="ARIAL" w:hAnsi="ARIAL"/>
                                      <w:sz w:val="19"/>
                                    </w:rPr>
                                  </w:pPr>
                                  <w:r>
                                    <w:rPr>
                                      <w:rFonts w:ascii="ARIAL" w:hAnsi="ARIAL"/>
                                      <w:sz w:val="19"/>
                                    </w:rPr>
                                    <w:t xml:space="preserve">Only shareholders of record at the close of business on the record date will be entitled to vote at the Annual Meeting or any postponed or adjourned meeting, and these shareholders will be entitled to vote whether or not they have transferred any of their shares of Roper common stock since that date. </w:t>
                                  </w:r>
                                </w:p>
                              </w:tc>
                            </w:tr>
                          </w:tbl>
                          <w:p>
                            <w:pPr>
                              <w:pStyle w:val="TextBody"/>
                              <w:spacing w:before="0" w:after="0"/>
                              <w:rPr/>
                            </w:pPr>
                            <w:r>
                              <w:rPr/>
                              <w:t> </w:t>
                            </w:r>
                          </w:p>
                          <w:tbl>
                            <w:tblPr>
                              <w:tblW w:w="3220" w:type="dxa"/>
                              <w:jc w:val="left"/>
                              <w:tblInd w:w="0" w:type="dxa"/>
                              <w:tblCellMar>
                                <w:top w:w="0" w:type="dxa"/>
                                <w:left w:w="0" w:type="dxa"/>
                                <w:bottom w:w="0" w:type="dxa"/>
                                <w:right w:w="0" w:type="dxa"/>
                              </w:tblCellMar>
                            </w:tblPr>
                            <w:tblGrid>
                              <w:gridCol w:w="350"/>
                              <w:gridCol w:w="287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287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is the record date?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color w:val="005CB9"/>
                                      <w:sz w:val="28"/>
                                    </w:rPr>
                                    <w:t>A</w:t>
                                  </w:r>
                                  <w:r>
                                    <w:rPr/>
                                    <w:t>:</w:t>
                                  </w:r>
                                </w:p>
                              </w:tc>
                              <w:tc>
                                <w:tcPr>
                                  <w:tcW w:w="9948" w:type="dxa"/>
                                  <w:tcBorders/>
                                  <w:shd w:fill="auto" w:val="clear"/>
                                  <w:vAlign w:val="center"/>
                                </w:tcPr>
                                <w:p>
                                  <w:pPr>
                                    <w:pStyle w:val="TableContents"/>
                                    <w:spacing w:before="0" w:after="0"/>
                                    <w:jc w:val="left"/>
                                    <w:rPr>
                                      <w:rFonts w:ascii="ARIAL" w:hAnsi="ARIAL"/>
                                      <w:sz w:val="19"/>
                                    </w:rPr>
                                  </w:pPr>
                                  <w:r>
                                    <w:rPr>
                                      <w:rFonts w:ascii="ARIAL" w:hAnsi="ARIAL"/>
                                      <w:sz w:val="19"/>
                                    </w:rPr>
                                    <w:t xml:space="preserve">Our Board has established the close of business on April 19, 2023 as the record date to determine the shareholders of record entitled to receive a notice of, and to vote at, our Annual Meeting or any postponement or adjournment thereof. On the record date, there were              shares of our common stock, $0.01 par value, outstanding and entitled to vote. Each share of our common stock is entitled to one vote that may be voted on each matter to be acted upon at this Annual Meeting. </w:t>
                                  </w:r>
                                </w:p>
                              </w:tc>
                            </w:tr>
                          </w:tbl>
                          <w:p>
                            <w:pPr>
                              <w:pStyle w:val="TextBody"/>
                              <w:spacing w:before="0" w:after="0"/>
                              <w:rPr/>
                            </w:pPr>
                            <w:r>
                              <w:rPr/>
                              <w:t> </w:t>
                            </w:r>
                          </w:p>
                          <w:tbl>
                            <w:tblPr>
                              <w:tblW w:w="4165" w:type="dxa"/>
                              <w:jc w:val="left"/>
                              <w:tblInd w:w="0" w:type="dxa"/>
                              <w:tblCellMar>
                                <w:top w:w="0" w:type="dxa"/>
                                <w:left w:w="0" w:type="dxa"/>
                                <w:bottom w:w="0" w:type="dxa"/>
                                <w:right w:w="0" w:type="dxa"/>
                              </w:tblCellMar>
                            </w:tblPr>
                            <w:tblGrid>
                              <w:gridCol w:w="350"/>
                              <w:gridCol w:w="3815"/>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3815"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is a shareholder of record?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color w:val="005CB9"/>
                                      <w:sz w:val="28"/>
                                    </w:rPr>
                                    <w:t>A</w:t>
                                  </w:r>
                                  <w:r>
                                    <w:rPr/>
                                    <w:t>:</w:t>
                                  </w:r>
                                </w:p>
                              </w:tc>
                              <w:tc>
                                <w:tcPr>
                                  <w:tcW w:w="9941" w:type="dxa"/>
                                  <w:tcBorders/>
                                  <w:shd w:fill="auto" w:val="clear"/>
                                  <w:vAlign w:val="center"/>
                                </w:tcPr>
                                <w:p>
                                  <w:pPr>
                                    <w:pStyle w:val="TableContents"/>
                                    <w:spacing w:before="0" w:after="0"/>
                                    <w:jc w:val="left"/>
                                    <w:rPr>
                                      <w:rFonts w:ascii="ARIAL" w:hAnsi="ARIAL"/>
                                      <w:sz w:val="19"/>
                                    </w:rPr>
                                  </w:pPr>
                                  <w:r>
                                    <w:rPr>
                                      <w:rFonts w:ascii="ARIAL" w:hAnsi="ARIAL"/>
                                      <w:sz w:val="19"/>
                                    </w:rPr>
                                    <w:t xml:space="preserve">A shareholder of record or a registered shareholder is a shareholder whose ownership of Roper Technologies, Inc. common stock is reflected directly on the books and records of our transfer agent, Computershare Trust Company, N.A. If you are a shareholder of record, we are providing these materials directly to you. </w:t>
                                  </w:r>
                                </w:p>
                              </w:tc>
                            </w:tr>
                          </w:tbl>
                          <w:p>
                            <w:pPr>
                              <w:pStyle w:val="TextBody"/>
                              <w:spacing w:before="120" w:after="0"/>
                              <w:ind w:left="440" w:right="0" w:hanging="0"/>
                              <w:rPr>
                                <w:rFonts w:ascii="ARIAL" w:hAnsi="ARIAL"/>
                                <w:sz w:val="19"/>
                              </w:rPr>
                            </w:pPr>
                            <w:r>
                              <w:rPr>
                                <w:rFonts w:ascii="ARIAL" w:hAnsi="ARIAL"/>
                                <w:sz w:val="19"/>
                              </w:rPr>
                              <w:t xml:space="preserve">If you hold your shares of common stock through a bank, broker, or other intermediary, you are considered the “beneficial owner” of those shares held in “street name,” and you are not a shareholder of record. The shareholder of record of the shares is your bank, broker, or other intermediary. If your shares are held in street name, these proxy materials have been forwarded to you by your bank, broker, or other intermediary. As the beneficial owner, you have the right to instruct that institution on how to vote the shares you beneficially own. </w:t>
                            </w:r>
                          </w:p>
                          <w:p>
                            <w:pPr>
                              <w:pStyle w:val="TextBody"/>
                              <w:spacing w:before="0" w:after="0"/>
                              <w:rPr/>
                            </w:pPr>
                            <w:r>
                              <w:rPr/>
                              <w:t> </w:t>
                            </w:r>
                          </w:p>
                          <w:tbl>
                            <w:tblPr>
                              <w:tblW w:w="3505" w:type="dxa"/>
                              <w:jc w:val="left"/>
                              <w:tblInd w:w="0" w:type="dxa"/>
                              <w:tblCellMar>
                                <w:top w:w="0" w:type="dxa"/>
                                <w:left w:w="0" w:type="dxa"/>
                                <w:bottom w:w="0" w:type="dxa"/>
                                <w:right w:w="0" w:type="dxa"/>
                              </w:tblCellMar>
                            </w:tblPr>
                            <w:tblGrid>
                              <w:gridCol w:w="350"/>
                              <w:gridCol w:w="3155"/>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3155"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How can I submit my vote?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jc w:val="left"/>
                                    <w:rPr/>
                                  </w:pPr>
                                  <w:r>
                                    <w:rPr>
                                      <w:color w:val="005CB9"/>
                                      <w:sz w:val="28"/>
                                    </w:rPr>
                                    <w:t>A</w:t>
                                  </w:r>
                                  <w:r>
                                    <w:rPr/>
                                    <w:t>:</w:t>
                                  </w:r>
                                </w:p>
                              </w:tc>
                              <w:tc>
                                <w:tcPr>
                                  <w:tcW w:w="994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There are four ways to vote: by Internet, by telephone, by mail or in person. Submitting your proxy by Internet, telephone or mail will not affect your right to attend the Annual Meeting and change your vote. Unless you are voting in person, your vote must be received by 11:59 p.m. Eastern Time on June 12, 2023.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3.1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750" w:type="dxa"/>
                        <w:jc w:val="left"/>
                        <w:tblInd w:w="0" w:type="dxa"/>
                        <w:tblCellMar>
                          <w:top w:w="0" w:type="dxa"/>
                          <w:left w:w="0" w:type="dxa"/>
                          <w:bottom w:w="0" w:type="dxa"/>
                          <w:right w:w="0" w:type="dxa"/>
                        </w:tblCellMar>
                      </w:tblPr>
                      <w:tblGrid>
                        <w:gridCol w:w="350"/>
                        <w:gridCol w:w="440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440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Who may vote at the Annual Meeting?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color w:val="005CB9"/>
                                <w:sz w:val="28"/>
                              </w:rPr>
                              <w:t>A</w:t>
                            </w:r>
                            <w:r>
                              <w:rPr/>
                              <w:t>:</w:t>
                            </w:r>
                          </w:p>
                        </w:tc>
                        <w:tc>
                          <w:tcPr>
                            <w:tcW w:w="9939" w:type="dxa"/>
                            <w:tcBorders/>
                            <w:shd w:fill="auto" w:val="clear"/>
                            <w:vAlign w:val="center"/>
                          </w:tcPr>
                          <w:p>
                            <w:pPr>
                              <w:pStyle w:val="TableContents"/>
                              <w:spacing w:before="0" w:after="0"/>
                              <w:jc w:val="left"/>
                              <w:rPr>
                                <w:rFonts w:ascii="ARIAL" w:hAnsi="ARIAL"/>
                                <w:sz w:val="19"/>
                              </w:rPr>
                            </w:pPr>
                            <w:r>
                              <w:rPr>
                                <w:rFonts w:ascii="ARIAL" w:hAnsi="ARIAL"/>
                                <w:sz w:val="19"/>
                              </w:rPr>
                              <w:t xml:space="preserve">Only shareholders of record at the close of business on the record date will be entitled to vote at the Annual Meeting or any postponed or adjourned meeting, and these shareholders will be entitled to vote whether or not they have transferred any of their shares of Roper common stock since that date. </w:t>
                            </w:r>
                          </w:p>
                        </w:tc>
                      </w:tr>
                    </w:tbl>
                    <w:p>
                      <w:pPr>
                        <w:pStyle w:val="TextBody"/>
                        <w:spacing w:before="0" w:after="0"/>
                        <w:rPr/>
                      </w:pPr>
                      <w:r>
                        <w:rPr/>
                        <w:t> </w:t>
                      </w:r>
                    </w:p>
                    <w:tbl>
                      <w:tblPr>
                        <w:tblW w:w="3220" w:type="dxa"/>
                        <w:jc w:val="left"/>
                        <w:tblInd w:w="0" w:type="dxa"/>
                        <w:tblCellMar>
                          <w:top w:w="0" w:type="dxa"/>
                          <w:left w:w="0" w:type="dxa"/>
                          <w:bottom w:w="0" w:type="dxa"/>
                          <w:right w:w="0" w:type="dxa"/>
                        </w:tblCellMar>
                      </w:tblPr>
                      <w:tblGrid>
                        <w:gridCol w:w="350"/>
                        <w:gridCol w:w="287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287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is the record date?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color w:val="005CB9"/>
                                <w:sz w:val="28"/>
                              </w:rPr>
                              <w:t>A</w:t>
                            </w:r>
                            <w:r>
                              <w:rPr/>
                              <w:t>:</w:t>
                            </w:r>
                          </w:p>
                        </w:tc>
                        <w:tc>
                          <w:tcPr>
                            <w:tcW w:w="9948" w:type="dxa"/>
                            <w:tcBorders/>
                            <w:shd w:fill="auto" w:val="clear"/>
                            <w:vAlign w:val="center"/>
                          </w:tcPr>
                          <w:p>
                            <w:pPr>
                              <w:pStyle w:val="TableContents"/>
                              <w:spacing w:before="0" w:after="0"/>
                              <w:jc w:val="left"/>
                              <w:rPr>
                                <w:rFonts w:ascii="ARIAL" w:hAnsi="ARIAL"/>
                                <w:sz w:val="19"/>
                              </w:rPr>
                            </w:pPr>
                            <w:r>
                              <w:rPr>
                                <w:rFonts w:ascii="ARIAL" w:hAnsi="ARIAL"/>
                                <w:sz w:val="19"/>
                              </w:rPr>
                              <w:t xml:space="preserve">Our Board has established the close of business on April 19, 2023 as the record date to determine the shareholders of record entitled to receive a notice of, and to vote at, our Annual Meeting or any postponement or adjournment thereof. On the record date, there were              shares of our common stock, $0.01 par value, outstanding and entitled to vote. Each share of our common stock is entitled to one vote that may be voted on each matter to be acted upon at this Annual Meeting. </w:t>
                            </w:r>
                          </w:p>
                        </w:tc>
                      </w:tr>
                    </w:tbl>
                    <w:p>
                      <w:pPr>
                        <w:pStyle w:val="TextBody"/>
                        <w:spacing w:before="0" w:after="0"/>
                        <w:rPr/>
                      </w:pPr>
                      <w:r>
                        <w:rPr/>
                        <w:t> </w:t>
                      </w:r>
                    </w:p>
                    <w:tbl>
                      <w:tblPr>
                        <w:tblW w:w="4165" w:type="dxa"/>
                        <w:jc w:val="left"/>
                        <w:tblInd w:w="0" w:type="dxa"/>
                        <w:tblCellMar>
                          <w:top w:w="0" w:type="dxa"/>
                          <w:left w:w="0" w:type="dxa"/>
                          <w:bottom w:w="0" w:type="dxa"/>
                          <w:right w:w="0" w:type="dxa"/>
                        </w:tblCellMar>
                      </w:tblPr>
                      <w:tblGrid>
                        <w:gridCol w:w="350"/>
                        <w:gridCol w:w="3815"/>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3815"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is a shareholder of record?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color w:val="005CB9"/>
                                <w:sz w:val="28"/>
                              </w:rPr>
                              <w:t>A</w:t>
                            </w:r>
                            <w:r>
                              <w:rPr/>
                              <w:t>:</w:t>
                            </w:r>
                          </w:p>
                        </w:tc>
                        <w:tc>
                          <w:tcPr>
                            <w:tcW w:w="9941" w:type="dxa"/>
                            <w:tcBorders/>
                            <w:shd w:fill="auto" w:val="clear"/>
                            <w:vAlign w:val="center"/>
                          </w:tcPr>
                          <w:p>
                            <w:pPr>
                              <w:pStyle w:val="TableContents"/>
                              <w:spacing w:before="0" w:after="0"/>
                              <w:jc w:val="left"/>
                              <w:rPr>
                                <w:rFonts w:ascii="ARIAL" w:hAnsi="ARIAL"/>
                                <w:sz w:val="19"/>
                              </w:rPr>
                            </w:pPr>
                            <w:r>
                              <w:rPr>
                                <w:rFonts w:ascii="ARIAL" w:hAnsi="ARIAL"/>
                                <w:sz w:val="19"/>
                              </w:rPr>
                              <w:t xml:space="preserve">A shareholder of record or a registered shareholder is a shareholder whose ownership of Roper Technologies, Inc. common stock is reflected directly on the books and records of our transfer agent, Computershare Trust Company, N.A. If you are a shareholder of record, we are providing these materials directly to you. </w:t>
                            </w:r>
                          </w:p>
                        </w:tc>
                      </w:tr>
                    </w:tbl>
                    <w:p>
                      <w:pPr>
                        <w:pStyle w:val="TextBody"/>
                        <w:spacing w:before="120" w:after="0"/>
                        <w:ind w:left="440" w:right="0" w:hanging="0"/>
                        <w:rPr>
                          <w:rFonts w:ascii="ARIAL" w:hAnsi="ARIAL"/>
                          <w:sz w:val="19"/>
                        </w:rPr>
                      </w:pPr>
                      <w:r>
                        <w:rPr>
                          <w:rFonts w:ascii="ARIAL" w:hAnsi="ARIAL"/>
                          <w:sz w:val="19"/>
                        </w:rPr>
                        <w:t xml:space="preserve">If you hold your shares of common stock through a bank, broker, or other intermediary, you are considered the “beneficial owner” of those shares held in “street name,” and you are not a shareholder of record. The shareholder of record of the shares is your bank, broker, or other intermediary. If your shares are held in street name, these proxy materials have been forwarded to you by your bank, broker, or other intermediary. As the beneficial owner, you have the right to instruct that institution on how to vote the shares you beneficially own. </w:t>
                      </w:r>
                    </w:p>
                    <w:p>
                      <w:pPr>
                        <w:pStyle w:val="TextBody"/>
                        <w:spacing w:before="0" w:after="0"/>
                        <w:rPr/>
                      </w:pPr>
                      <w:r>
                        <w:rPr/>
                        <w:t> </w:t>
                      </w:r>
                    </w:p>
                    <w:tbl>
                      <w:tblPr>
                        <w:tblW w:w="3505" w:type="dxa"/>
                        <w:jc w:val="left"/>
                        <w:tblInd w:w="0" w:type="dxa"/>
                        <w:tblCellMar>
                          <w:top w:w="0" w:type="dxa"/>
                          <w:left w:w="0" w:type="dxa"/>
                          <w:bottom w:w="0" w:type="dxa"/>
                          <w:right w:w="0" w:type="dxa"/>
                        </w:tblCellMar>
                      </w:tblPr>
                      <w:tblGrid>
                        <w:gridCol w:w="350"/>
                        <w:gridCol w:w="3155"/>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3155"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How can I submit my vote?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jc w:val="left"/>
                              <w:rPr/>
                            </w:pPr>
                            <w:r>
                              <w:rPr>
                                <w:color w:val="005CB9"/>
                                <w:sz w:val="28"/>
                              </w:rPr>
                              <w:t>A</w:t>
                            </w:r>
                            <w:r>
                              <w:rPr/>
                              <w:t>:</w:t>
                            </w:r>
                          </w:p>
                        </w:tc>
                        <w:tc>
                          <w:tcPr>
                            <w:tcW w:w="994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There are four ways to vote: by Internet, by telephone, by mail or in person. Submitting your proxy by Internet, telephone or mail will not affect your right to attend the Annual Meeting and change your vote. Unless you are voting in person, your vote must be received by 11:59 p.m. Eastern Time on June 12, 2023.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3175000" cy="7684770"/>
                <wp:effectExtent l="0" t="0" r="0" b="0"/>
                <wp:wrapSquare wrapText="largest"/>
                <wp:docPr id="162" name="Frame48"/>
                <a:graphic xmlns:a="http://schemas.openxmlformats.org/drawingml/2006/main">
                  <a:graphicData uri="http://schemas.microsoft.com/office/word/2010/wordprocessingShape">
                    <wps:wsp>
                      <wps:cNvSpPr txBox="1"/>
                      <wps:spPr>
                        <a:xfrm>
                          <a:off x="0" y="0"/>
                          <a:ext cx="3175000" cy="7684770"/>
                        </a:xfrm>
                        <a:prstGeom prst="rect"/>
                      </wps:spPr>
                      <wps:txbx>
                        <w:txbxContent>
                          <w:tbl>
                            <w:tblPr>
                              <w:tblW w:w="8650" w:type="dxa"/>
                              <w:jc w:val="left"/>
                              <w:tblInd w:w="0" w:type="dxa"/>
                              <w:tblCellMar>
                                <w:top w:w="0" w:type="dxa"/>
                                <w:left w:w="0" w:type="dxa"/>
                                <w:bottom w:w="0" w:type="dxa"/>
                                <w:right w:w="0" w:type="dxa"/>
                              </w:tblCellMar>
                            </w:tblPr>
                            <w:tblGrid>
                              <w:gridCol w:w="75"/>
                              <w:gridCol w:w="110"/>
                              <w:gridCol w:w="60"/>
                              <w:gridCol w:w="8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05" w:type="dxa"/>
                                  <w:tcBorders/>
                                  <w:shd w:fill="auto" w:val="clear"/>
                                  <w:vAlign w:val="center"/>
                                </w:tcPr>
                                <w:p>
                                  <w:pPr>
                                    <w:pStyle w:val="TableContents"/>
                                    <w:spacing w:before="0" w:after="283"/>
                                    <w:jc w:val="left"/>
                                    <w:rPr/>
                                  </w:pPr>
                                  <w:r>
                                    <w:rPr>
                                      <w:b/>
                                    </w:rPr>
                                    <w:t>By Internet.</w:t>
                                  </w:r>
                                  <w:r>
                                    <w:rPr/>
                                    <w:t xml:space="preserve"> Have your proxy card available and log on to www.proxypush.com/ROP.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left"/>
                                    <w:rPr/>
                                  </w:pPr>
                                  <w:r>
                                    <w:rPr>
                                      <w:b/>
                                    </w:rPr>
                                    <w:t>By Telephone.</w:t>
                                  </w:r>
                                  <w:r>
                                    <w:rPr/>
                                    <w:t xml:space="preserve"> Have your proxy card available and call 866-829-5176 toll free (US only) from a touchtone telephone.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left"/>
                                    <w:rPr/>
                                  </w:pPr>
                                  <w:r>
                                    <w:rPr>
                                      <w:b/>
                                    </w:rPr>
                                    <w:t>By Mail.</w:t>
                                  </w:r>
                                  <w:r>
                                    <w:rPr/>
                                    <w:t xml:space="preserve"> Mark, date, sign, and promptly mail the enclosed proxy card in the postage-paid envelope provided for mailing in the United States.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left"/>
                                    <w:rPr/>
                                  </w:pPr>
                                  <w:r>
                                    <w:rPr>
                                      <w:b/>
                                    </w:rPr>
                                    <w:t>In Person.</w:t>
                                  </w:r>
                                  <w:r>
                                    <w:rPr/>
                                    <w:t xml:space="preserve"> You may vote by ballot in person at the Annual Meeting. Bring your proxy card if you received one by mail, otherwise we will provide shareholders of record a ballot at the Annual Meeting. </w:t>
                                  </w:r>
                                </w:p>
                              </w:tc>
                            </w:tr>
                          </w:tbl>
                          <w:p>
                            <w:pPr>
                              <w:pStyle w:val="TextBody"/>
                              <w:spacing w:before="120" w:after="0"/>
                              <w:ind w:left="440" w:right="0" w:hanging="0"/>
                              <w:rPr>
                                <w:rFonts w:ascii="ARIAL" w:hAnsi="ARIAL"/>
                                <w:sz w:val="19"/>
                              </w:rPr>
                            </w:pPr>
                            <w:r>
                              <w:rPr>
                                <w:rFonts w:ascii="ARIAL" w:hAnsi="ARIAL"/>
                                <w:sz w:val="19"/>
                              </w:rPr>
                              <w:t xml:space="preserve">If your shares are held by a bank, broker, or other intermediary, that institution will provide voting instructions with the proxy materials. Please follow the voting instructions that you receive from that institution. Additionally, if you plan to vote in person at the Annual Meeting and your shares are held by a bank, broker, or other intermediary, you must obtain proof of stock ownership as of the record date and have a valid legal proxy from the institution that holds your shares. </w:t>
                            </w:r>
                          </w:p>
                          <w:p>
                            <w:pPr>
                              <w:pStyle w:val="TextBody"/>
                              <w:spacing w:before="0" w:after="0"/>
                              <w:rPr/>
                            </w:pPr>
                            <w:r>
                              <w:rPr/>
                              <w:t> </w:t>
                            </w:r>
                          </w:p>
                          <w:tbl>
                            <w:tblPr>
                              <w:tblW w:w="3520" w:type="dxa"/>
                              <w:jc w:val="left"/>
                              <w:tblInd w:w="0" w:type="dxa"/>
                              <w:tblCellMar>
                                <w:top w:w="0" w:type="dxa"/>
                                <w:left w:w="0" w:type="dxa"/>
                                <w:bottom w:w="0" w:type="dxa"/>
                                <w:right w:w="0" w:type="dxa"/>
                              </w:tblCellMar>
                            </w:tblPr>
                            <w:tblGrid>
                              <w:gridCol w:w="350"/>
                              <w:gridCol w:w="317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317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is a broker non-vote?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pPr>
                                  <w:r>
                                    <w:rPr>
                                      <w:color w:val="005CB9"/>
                                      <w:sz w:val="28"/>
                                    </w:rPr>
                                    <w:t>A</w:t>
                                  </w:r>
                                  <w:r>
                                    <w:rPr/>
                                    <w:t>:</w:t>
                                  </w:r>
                                </w:p>
                              </w:tc>
                              <w:tc>
                                <w:tcPr>
                                  <w:tcW w:w="9943" w:type="dxa"/>
                                  <w:tcBorders/>
                                  <w:shd w:fill="auto" w:val="clear"/>
                                  <w:vAlign w:val="center"/>
                                </w:tcPr>
                                <w:p>
                                  <w:pPr>
                                    <w:pStyle w:val="TableContents"/>
                                    <w:spacing w:before="0" w:after="0"/>
                                    <w:jc w:val="left"/>
                                    <w:rPr>
                                      <w:rFonts w:ascii="ARIAL" w:hAnsi="ARIAL"/>
                                      <w:sz w:val="19"/>
                                    </w:rPr>
                                  </w:pPr>
                                  <w:r>
                                    <w:rPr>
                                      <w:rFonts w:ascii="ARIAL" w:hAnsi="ARIAL"/>
                                      <w:sz w:val="19"/>
                                    </w:rPr>
                                    <w:t xml:space="preserve">If your shares are held in street name through a bank, broker, or other intermediary, you must provide voting instructions to that institution. Under the rules of the NYSE, if you do not provide voting instructions, the institution may vote in its discretion on routine proposals, but not on non-routine proposals, or leave the shares unvoted, which is called a “broker non-vote.” </w:t>
                                  </w:r>
                                </w:p>
                              </w:tc>
                            </w:tr>
                          </w:tbl>
                          <w:p>
                            <w:pPr>
                              <w:pStyle w:val="TextBody"/>
                              <w:spacing w:before="120" w:after="0"/>
                              <w:ind w:left="440" w:right="0" w:hanging="0"/>
                              <w:rPr>
                                <w:rFonts w:ascii="ARIAL" w:hAnsi="ARIAL"/>
                                <w:sz w:val="19"/>
                              </w:rPr>
                            </w:pPr>
                            <w:r>
                              <w:rPr>
                                <w:rFonts w:ascii="ARIAL" w:hAnsi="ARIAL"/>
                                <w:sz w:val="19"/>
                              </w:rPr>
                              <w:t xml:space="preserve">The following proposals are not considered routine proposals, so banks, brokers, and other intermediaries do not have discretionary authority to vote on these matters if they have not received voting instructions from you: (i) the election of directors; (ii) the advisory vote on the approval of the compensation of our named executive officers; (iii) the advisory vote on the frequency for shareholders to vote on the compensation of our named executive officers; and (iv) the approval of the amendment to and restatement of our Restated Certificate of Incorporation to permit the exculpation of officers. The ratification of the appointment of the independent registered public accounting firm is considered a routine proposal, so if you do not provide voting instructions, the institution holding your shares may either leave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05.1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8650" w:type="dxa"/>
                        <w:jc w:val="left"/>
                        <w:tblInd w:w="0" w:type="dxa"/>
                        <w:tblCellMar>
                          <w:top w:w="0" w:type="dxa"/>
                          <w:left w:w="0" w:type="dxa"/>
                          <w:bottom w:w="0" w:type="dxa"/>
                          <w:right w:w="0" w:type="dxa"/>
                        </w:tblCellMar>
                      </w:tblPr>
                      <w:tblGrid>
                        <w:gridCol w:w="75"/>
                        <w:gridCol w:w="110"/>
                        <w:gridCol w:w="60"/>
                        <w:gridCol w:w="8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05" w:type="dxa"/>
                            <w:tcBorders/>
                            <w:shd w:fill="auto" w:val="clear"/>
                            <w:vAlign w:val="center"/>
                          </w:tcPr>
                          <w:p>
                            <w:pPr>
                              <w:pStyle w:val="TableContents"/>
                              <w:spacing w:before="0" w:after="283"/>
                              <w:jc w:val="left"/>
                              <w:rPr/>
                            </w:pPr>
                            <w:r>
                              <w:rPr>
                                <w:b/>
                              </w:rPr>
                              <w:t>By Internet.</w:t>
                            </w:r>
                            <w:r>
                              <w:rPr/>
                              <w:t xml:space="preserve"> Have your proxy card available and log on to www.proxypush.com/ROP.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left"/>
                              <w:rPr/>
                            </w:pPr>
                            <w:r>
                              <w:rPr>
                                <w:b/>
                              </w:rPr>
                              <w:t>By Telephone.</w:t>
                            </w:r>
                            <w:r>
                              <w:rPr/>
                              <w:t xml:space="preserve"> Have your proxy card available and call 866-829-5176 toll free (US only) from a touchtone telephone.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left"/>
                              <w:rPr/>
                            </w:pPr>
                            <w:r>
                              <w:rPr>
                                <w:b/>
                              </w:rPr>
                              <w:t>By Mail.</w:t>
                            </w:r>
                            <w:r>
                              <w:rPr/>
                              <w:t xml:space="preserve"> Mark, date, sign, and promptly mail the enclosed proxy card in the postage-paid envelope provided for mailing in the United States.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left"/>
                              <w:rPr/>
                            </w:pPr>
                            <w:r>
                              <w:rPr>
                                <w:b/>
                              </w:rPr>
                              <w:t>In Person.</w:t>
                            </w:r>
                            <w:r>
                              <w:rPr/>
                              <w:t xml:space="preserve"> You may vote by ballot in person at the Annual Meeting. Bring your proxy card if you received one by mail, otherwise we will provide shareholders of record a ballot at the Annual Meeting. </w:t>
                            </w:r>
                          </w:p>
                        </w:tc>
                      </w:tr>
                    </w:tbl>
                    <w:p>
                      <w:pPr>
                        <w:pStyle w:val="TextBody"/>
                        <w:spacing w:before="120" w:after="0"/>
                        <w:ind w:left="440" w:right="0" w:hanging="0"/>
                        <w:rPr>
                          <w:rFonts w:ascii="ARIAL" w:hAnsi="ARIAL"/>
                          <w:sz w:val="19"/>
                        </w:rPr>
                      </w:pPr>
                      <w:r>
                        <w:rPr>
                          <w:rFonts w:ascii="ARIAL" w:hAnsi="ARIAL"/>
                          <w:sz w:val="19"/>
                        </w:rPr>
                        <w:t xml:space="preserve">If your shares are held by a bank, broker, or other intermediary, that institution will provide voting instructions with the proxy materials. Please follow the voting instructions that you receive from that institution. Additionally, if you plan to vote in person at the Annual Meeting and your shares are held by a bank, broker, or other intermediary, you must obtain proof of stock ownership as of the record date and have a valid legal proxy from the institution that holds your shares. </w:t>
                      </w:r>
                    </w:p>
                    <w:p>
                      <w:pPr>
                        <w:pStyle w:val="TextBody"/>
                        <w:spacing w:before="0" w:after="0"/>
                        <w:rPr/>
                      </w:pPr>
                      <w:r>
                        <w:rPr/>
                        <w:t> </w:t>
                      </w:r>
                    </w:p>
                    <w:tbl>
                      <w:tblPr>
                        <w:tblW w:w="3520" w:type="dxa"/>
                        <w:jc w:val="left"/>
                        <w:tblInd w:w="0" w:type="dxa"/>
                        <w:tblCellMar>
                          <w:top w:w="0" w:type="dxa"/>
                          <w:left w:w="0" w:type="dxa"/>
                          <w:bottom w:w="0" w:type="dxa"/>
                          <w:right w:w="0" w:type="dxa"/>
                        </w:tblCellMar>
                      </w:tblPr>
                      <w:tblGrid>
                        <w:gridCol w:w="350"/>
                        <w:gridCol w:w="317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317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is a broker non-vote?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pPr>
                            <w:r>
                              <w:rPr>
                                <w:color w:val="005CB9"/>
                                <w:sz w:val="28"/>
                              </w:rPr>
                              <w:t>A</w:t>
                            </w:r>
                            <w:r>
                              <w:rPr/>
                              <w:t>:</w:t>
                            </w:r>
                          </w:p>
                        </w:tc>
                        <w:tc>
                          <w:tcPr>
                            <w:tcW w:w="9943" w:type="dxa"/>
                            <w:tcBorders/>
                            <w:shd w:fill="auto" w:val="clear"/>
                            <w:vAlign w:val="center"/>
                          </w:tcPr>
                          <w:p>
                            <w:pPr>
                              <w:pStyle w:val="TableContents"/>
                              <w:spacing w:before="0" w:after="0"/>
                              <w:jc w:val="left"/>
                              <w:rPr>
                                <w:rFonts w:ascii="ARIAL" w:hAnsi="ARIAL"/>
                                <w:sz w:val="19"/>
                              </w:rPr>
                            </w:pPr>
                            <w:r>
                              <w:rPr>
                                <w:rFonts w:ascii="ARIAL" w:hAnsi="ARIAL"/>
                                <w:sz w:val="19"/>
                              </w:rPr>
                              <w:t xml:space="preserve">If your shares are held in street name through a bank, broker, or other intermediary, you must provide voting instructions to that institution. Under the rules of the NYSE, if you do not provide voting instructions, the institution may vote in its discretion on routine proposals, but not on non-routine proposals, or leave the shares unvoted, which is called a “broker non-vote.” </w:t>
                            </w:r>
                          </w:p>
                        </w:tc>
                      </w:tr>
                    </w:tbl>
                    <w:p>
                      <w:pPr>
                        <w:pStyle w:val="TextBody"/>
                        <w:spacing w:before="120" w:after="0"/>
                        <w:ind w:left="440" w:right="0" w:hanging="0"/>
                        <w:rPr>
                          <w:rFonts w:ascii="ARIAL" w:hAnsi="ARIAL"/>
                          <w:sz w:val="19"/>
                        </w:rPr>
                      </w:pPr>
                      <w:r>
                        <w:rPr>
                          <w:rFonts w:ascii="ARIAL" w:hAnsi="ARIAL"/>
                          <w:sz w:val="19"/>
                        </w:rPr>
                        <w:t xml:space="preserve">The following proposals are not considered routine proposals, so banks, brokers, and other intermediaries do not have discretionary authority to vote on these matters if they have not received voting instructions from you: (i) the election of directors; (ii) the advisory vote on the approval of the compensation of our named executive officers; (iii) the advisory vote on the frequency for shareholders to vote on the compensation of our named executive officers; and (iv) the approval of the amendment to and restatement of our Restated Certificate of Incorporation to permit the exculpation of officers. The ratification of the appointment of the independent registered public accounting firm is considered a routine proposal, so if you do not provide voting instructions, the institution holding your shares may either leave </w:t>
                      </w:r>
                    </w:p>
                  </w:txbxContent>
                </v:textbox>
                <w10:wrap type="square" side="right"/>
              </v:rect>
            </w:pict>
          </mc:Fallback>
        </mc:AlternateConten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6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14" descr=""/>
                          <pic:cNvPicPr>
                            <a:picLocks noChangeAspect="1" noChangeArrowheads="1"/>
                          </pic:cNvPicPr>
                        </pic:nvPicPr>
                        <pic:blipFill>
                          <a:blip r:embed="rId115"/>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59</w:t>
            </w:r>
          </w:p>
        </w:tc>
      </w:tr>
    </w:tbl>
    <w:p>
      <w:pPr>
        <w:pStyle w:val="HorizontalLine"/>
        <w:rPr/>
      </w:pPr>
      <w:r>
        <w:br w:type="page"/>
      </w:r>
      <w:r>
        <w:rPr/>
      </w:r>
    </w:p>
    <w:p>
      <w:pPr>
        <w:pStyle w:val="TextBody"/>
        <w:jc w:val="left"/>
        <w:rPr/>
      </w:pPr>
      <w:r>
        <w:rPr/>
        <w:t> </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3110230" cy="5789295"/>
                <wp:effectExtent l="0" t="0" r="0" b="0"/>
                <wp:wrapSquare wrapText="largest"/>
                <wp:docPr id="164" name="Frame49"/>
                <a:graphic xmlns:a="http://schemas.openxmlformats.org/drawingml/2006/main">
                  <a:graphicData uri="http://schemas.microsoft.com/office/word/2010/wordprocessingShape">
                    <wps:wsp>
                      <wps:cNvSpPr txBox="1"/>
                      <wps:spPr>
                        <a:xfrm>
                          <a:off x="0" y="0"/>
                          <a:ext cx="3110230" cy="5789295"/>
                        </a:xfrm>
                        <a:prstGeom prst="rect"/>
                      </wps:spPr>
                      <wps:txbx>
                        <w:txbxContent>
                          <w:p>
                            <w:pPr>
                              <w:pStyle w:val="TextBody"/>
                              <w:spacing w:before="0" w:after="0"/>
                              <w:ind w:left="440" w:right="0" w:hanging="0"/>
                              <w:rPr>
                                <w:rFonts w:ascii="ARIAL" w:hAnsi="ARIAL"/>
                                <w:sz w:val="19"/>
                              </w:rPr>
                            </w:pPr>
                            <w:r>
                              <w:rPr>
                                <w:rFonts w:ascii="ARIAL" w:hAnsi="ARIAL"/>
                                <w:sz w:val="19"/>
                              </w:rPr>
                              <w:t xml:space="preserve">the shares unvoted or vote the shares in its discretion. If your shares are held through a bank, broker, or other intermediary, please follow the voting instructions that you receive from that institution. The institution will not be able to vote your shares on any of the proposals except the appointment of PwC unless you have provided voting instructions. </w:t>
                            </w:r>
                          </w:p>
                          <w:p>
                            <w:pPr>
                              <w:pStyle w:val="TextBody"/>
                              <w:spacing w:before="0" w:after="0"/>
                              <w:rPr/>
                            </w:pPr>
                            <w:r>
                              <w:rPr/>
                              <w:t> </w:t>
                            </w:r>
                          </w:p>
                          <w:tbl>
                            <w:tblPr>
                              <w:tblW w:w="6310" w:type="dxa"/>
                              <w:jc w:val="left"/>
                              <w:tblInd w:w="0" w:type="dxa"/>
                              <w:tblCellMar>
                                <w:top w:w="0" w:type="dxa"/>
                                <w:left w:w="0" w:type="dxa"/>
                                <w:bottom w:w="0" w:type="dxa"/>
                                <w:right w:w="0" w:type="dxa"/>
                              </w:tblCellMar>
                            </w:tblPr>
                            <w:tblGrid>
                              <w:gridCol w:w="350"/>
                              <w:gridCol w:w="596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596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How are broker non-votes and abstentions treated?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color w:val="005CB9"/>
                                      <w:sz w:val="28"/>
                                    </w:rPr>
                                    <w:t>A</w:t>
                                  </w:r>
                                  <w:r>
                                    <w:rPr/>
                                    <w:t>:</w:t>
                                  </w:r>
                                </w:p>
                              </w:tc>
                              <w:tc>
                                <w:tcPr>
                                  <w:tcW w:w="9950" w:type="dxa"/>
                                  <w:tcBorders/>
                                  <w:shd w:fill="auto" w:val="clear"/>
                                  <w:vAlign w:val="center"/>
                                </w:tcPr>
                                <w:p>
                                  <w:pPr>
                                    <w:pStyle w:val="TableContents"/>
                                    <w:spacing w:before="0" w:after="0"/>
                                    <w:jc w:val="left"/>
                                    <w:rPr>
                                      <w:rFonts w:ascii="ARIAL" w:hAnsi="ARIAL"/>
                                      <w:sz w:val="19"/>
                                    </w:rPr>
                                  </w:pPr>
                                  <w:r>
                                    <w:rPr>
                                      <w:rFonts w:ascii="ARIAL" w:hAnsi="ARIAL"/>
                                      <w:sz w:val="19"/>
                                    </w:rPr>
                                    <w:t xml:space="preserve">Broker non-votes are not treated as votes cast for purposes of the election of directors, so they will have no effect on the election of directors. Broker non-votes are not treated as entitled to vote for all other matters proposed for a vote at the meeting, so they will have no effect on those matters. Abstentions are not treated as votes cast for purposes of the election of directors, so they will have no effect on the election of directors. Abstentions are treated as present and entitled to vote so they will have the effect of a vote cast against the approval for all other matters proposed for a vote at the meeting. </w:t>
                                  </w:r>
                                </w:p>
                              </w:tc>
                            </w:tr>
                          </w:tbl>
                          <w:p>
                            <w:pPr>
                              <w:pStyle w:val="TextBody"/>
                              <w:spacing w:before="0" w:after="0"/>
                              <w:rPr/>
                            </w:pPr>
                            <w:r>
                              <w:rPr/>
                              <w:t> </w:t>
                            </w:r>
                          </w:p>
                          <w:tbl>
                            <w:tblPr>
                              <w:tblW w:w="3670" w:type="dxa"/>
                              <w:jc w:val="left"/>
                              <w:tblInd w:w="0" w:type="dxa"/>
                              <w:tblCellMar>
                                <w:top w:w="0" w:type="dxa"/>
                                <w:left w:w="0" w:type="dxa"/>
                                <w:bottom w:w="0" w:type="dxa"/>
                                <w:right w:w="0" w:type="dxa"/>
                              </w:tblCellMar>
                            </w:tblPr>
                            <w:tblGrid>
                              <w:gridCol w:w="350"/>
                              <w:gridCol w:w="332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332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constitutes a quorum?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color w:val="005CB9"/>
                                      <w:sz w:val="28"/>
                                    </w:rPr>
                                    <w:t>A</w:t>
                                  </w:r>
                                  <w:r>
                                    <w:rPr/>
                                    <w:t>:</w:t>
                                  </w:r>
                                </w:p>
                              </w:tc>
                              <w:tc>
                                <w:tcPr>
                                  <w:tcW w:w="9949" w:type="dxa"/>
                                  <w:tcBorders/>
                                  <w:shd w:fill="auto" w:val="clear"/>
                                  <w:vAlign w:val="center"/>
                                </w:tcPr>
                                <w:p>
                                  <w:pPr>
                                    <w:pStyle w:val="TableContents"/>
                                    <w:spacing w:before="0" w:after="0"/>
                                    <w:jc w:val="left"/>
                                    <w:rPr>
                                      <w:rFonts w:ascii="ARIAL" w:hAnsi="ARIAL"/>
                                      <w:sz w:val="19"/>
                                    </w:rPr>
                                  </w:pPr>
                                  <w:r>
                                    <w:rPr>
                                      <w:rFonts w:ascii="ARIAL" w:hAnsi="ARIAL"/>
                                      <w:sz w:val="19"/>
                                    </w:rPr>
                                    <w:t xml:space="preserve">To conduct business at our Annual Meeting, we must have a quorum of shareholders present. A quorum is present when a majority of the outstanding shares of stock entitled to vote as of the record date are represented in person or by proxy. Broker non-votes and abstentions will be counted toward the establishment of the quorum. If there is an insufficient number of shares represented for a quorum or to approve any proposal at the Annual Meeting, the Annual Meeting may be postponed or adjourned to permit the further solicitation of proxies. </w:t>
                                  </w:r>
                                </w:p>
                              </w:tc>
                            </w:tr>
                          </w:tbl>
                          <w:p>
                            <w:pPr>
                              <w:pStyle w:val="TextBody"/>
                              <w:spacing w:before="0" w:after="0"/>
                              <w:rPr/>
                            </w:pPr>
                            <w:r>
                              <w:rPr/>
                              <w:t> </w:t>
                            </w:r>
                          </w:p>
                          <w:tbl>
                            <w:tblPr>
                              <w:tblW w:w="5890" w:type="dxa"/>
                              <w:jc w:val="left"/>
                              <w:tblInd w:w="0" w:type="dxa"/>
                              <w:tblCellMar>
                                <w:top w:w="0" w:type="dxa"/>
                                <w:left w:w="0" w:type="dxa"/>
                                <w:bottom w:w="0" w:type="dxa"/>
                                <w:right w:w="0" w:type="dxa"/>
                              </w:tblCellMar>
                            </w:tblPr>
                            <w:tblGrid>
                              <w:gridCol w:w="350"/>
                              <w:gridCol w:w="554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554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How many votes are needed for each proposal?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color w:val="005CB9"/>
                                      <w:sz w:val="28"/>
                                    </w:rPr>
                                    <w:t>A</w:t>
                                  </w:r>
                                  <w:r>
                                    <w:rPr/>
                                    <w:t>:</w:t>
                                  </w:r>
                                </w:p>
                              </w:tc>
                              <w:tc>
                                <w:tcPr>
                                  <w:tcW w:w="9948" w:type="dxa"/>
                                  <w:tcBorders/>
                                  <w:shd w:fill="auto" w:val="clear"/>
                                  <w:vAlign w:val="center"/>
                                </w:tcPr>
                                <w:p>
                                  <w:pPr>
                                    <w:pStyle w:val="TableContents"/>
                                    <w:spacing w:before="0" w:after="0"/>
                                    <w:jc w:val="left"/>
                                    <w:rPr>
                                      <w:rFonts w:ascii="ARIAL" w:hAnsi="ARIAL"/>
                                      <w:sz w:val="19"/>
                                    </w:rPr>
                                  </w:pPr>
                                  <w:r>
                                    <w:rPr>
                                      <w:rFonts w:ascii="ARIAL" w:hAnsi="ARIAL"/>
                                      <w:sz w:val="19"/>
                                    </w:rPr>
                                    <w:t xml:space="preserve">Our By-laws provide that each director will be elected by a majority of the votes cast with respect to such director (except in the case of contested elections, in which case directors are elected by a plurality). A “majority of the votes cast” means that the number of votes cast “for” a director exceeds the number of votes cast “against” that director. Broker non-votes and abstentions will have no impact as they are not counted as votes cast for the election of directors. If an incumbent director fails to receive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55.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ind w:left="440" w:right="0" w:hanging="0"/>
                        <w:rPr>
                          <w:rFonts w:ascii="ARIAL" w:hAnsi="ARIAL"/>
                          <w:sz w:val="19"/>
                        </w:rPr>
                      </w:pPr>
                      <w:r>
                        <w:rPr>
                          <w:rFonts w:ascii="ARIAL" w:hAnsi="ARIAL"/>
                          <w:sz w:val="19"/>
                        </w:rPr>
                        <w:t xml:space="preserve">the shares unvoted or vote the shares in its discretion. If your shares are held through a bank, broker, or other intermediary, please follow the voting instructions that you receive from that institution. The institution will not be able to vote your shares on any of the proposals except the appointment of PwC unless you have provided voting instructions. </w:t>
                      </w:r>
                    </w:p>
                    <w:p>
                      <w:pPr>
                        <w:pStyle w:val="TextBody"/>
                        <w:spacing w:before="0" w:after="0"/>
                        <w:rPr/>
                      </w:pPr>
                      <w:r>
                        <w:rPr/>
                        <w:t> </w:t>
                      </w:r>
                    </w:p>
                    <w:tbl>
                      <w:tblPr>
                        <w:tblW w:w="6310" w:type="dxa"/>
                        <w:jc w:val="left"/>
                        <w:tblInd w:w="0" w:type="dxa"/>
                        <w:tblCellMar>
                          <w:top w:w="0" w:type="dxa"/>
                          <w:left w:w="0" w:type="dxa"/>
                          <w:bottom w:w="0" w:type="dxa"/>
                          <w:right w:w="0" w:type="dxa"/>
                        </w:tblCellMar>
                      </w:tblPr>
                      <w:tblGrid>
                        <w:gridCol w:w="350"/>
                        <w:gridCol w:w="596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596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How are broker non-votes and abstentions treated?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color w:val="005CB9"/>
                                <w:sz w:val="28"/>
                              </w:rPr>
                              <w:t>A</w:t>
                            </w:r>
                            <w:r>
                              <w:rPr/>
                              <w:t>:</w:t>
                            </w:r>
                          </w:p>
                        </w:tc>
                        <w:tc>
                          <w:tcPr>
                            <w:tcW w:w="9950" w:type="dxa"/>
                            <w:tcBorders/>
                            <w:shd w:fill="auto" w:val="clear"/>
                            <w:vAlign w:val="center"/>
                          </w:tcPr>
                          <w:p>
                            <w:pPr>
                              <w:pStyle w:val="TableContents"/>
                              <w:spacing w:before="0" w:after="0"/>
                              <w:jc w:val="left"/>
                              <w:rPr>
                                <w:rFonts w:ascii="ARIAL" w:hAnsi="ARIAL"/>
                                <w:sz w:val="19"/>
                              </w:rPr>
                            </w:pPr>
                            <w:r>
                              <w:rPr>
                                <w:rFonts w:ascii="ARIAL" w:hAnsi="ARIAL"/>
                                <w:sz w:val="19"/>
                              </w:rPr>
                              <w:t xml:space="preserve">Broker non-votes are not treated as votes cast for purposes of the election of directors, so they will have no effect on the election of directors. Broker non-votes are not treated as entitled to vote for all other matters proposed for a vote at the meeting, so they will have no effect on those matters. Abstentions are not treated as votes cast for purposes of the election of directors, so they will have no effect on the election of directors. Abstentions are treated as present and entitled to vote so they will have the effect of a vote cast against the approval for all other matters proposed for a vote at the meeting. </w:t>
                            </w:r>
                          </w:p>
                        </w:tc>
                      </w:tr>
                    </w:tbl>
                    <w:p>
                      <w:pPr>
                        <w:pStyle w:val="TextBody"/>
                        <w:spacing w:before="0" w:after="0"/>
                        <w:rPr/>
                      </w:pPr>
                      <w:r>
                        <w:rPr/>
                        <w:t> </w:t>
                      </w:r>
                    </w:p>
                    <w:tbl>
                      <w:tblPr>
                        <w:tblW w:w="3670" w:type="dxa"/>
                        <w:jc w:val="left"/>
                        <w:tblInd w:w="0" w:type="dxa"/>
                        <w:tblCellMar>
                          <w:top w:w="0" w:type="dxa"/>
                          <w:left w:w="0" w:type="dxa"/>
                          <w:bottom w:w="0" w:type="dxa"/>
                          <w:right w:w="0" w:type="dxa"/>
                        </w:tblCellMar>
                      </w:tblPr>
                      <w:tblGrid>
                        <w:gridCol w:w="350"/>
                        <w:gridCol w:w="332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332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constitutes a quorum?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color w:val="005CB9"/>
                                <w:sz w:val="28"/>
                              </w:rPr>
                              <w:t>A</w:t>
                            </w:r>
                            <w:r>
                              <w:rPr/>
                              <w:t>:</w:t>
                            </w:r>
                          </w:p>
                        </w:tc>
                        <w:tc>
                          <w:tcPr>
                            <w:tcW w:w="9949" w:type="dxa"/>
                            <w:tcBorders/>
                            <w:shd w:fill="auto" w:val="clear"/>
                            <w:vAlign w:val="center"/>
                          </w:tcPr>
                          <w:p>
                            <w:pPr>
                              <w:pStyle w:val="TableContents"/>
                              <w:spacing w:before="0" w:after="0"/>
                              <w:jc w:val="left"/>
                              <w:rPr>
                                <w:rFonts w:ascii="ARIAL" w:hAnsi="ARIAL"/>
                                <w:sz w:val="19"/>
                              </w:rPr>
                            </w:pPr>
                            <w:r>
                              <w:rPr>
                                <w:rFonts w:ascii="ARIAL" w:hAnsi="ARIAL"/>
                                <w:sz w:val="19"/>
                              </w:rPr>
                              <w:t xml:space="preserve">To conduct business at our Annual Meeting, we must have a quorum of shareholders present. A quorum is present when a majority of the outstanding shares of stock entitled to vote as of the record date are represented in person or by proxy. Broker non-votes and abstentions will be counted toward the establishment of the quorum. If there is an insufficient number of shares represented for a quorum or to approve any proposal at the Annual Meeting, the Annual Meeting may be postponed or adjourned to permit the further solicitation of proxies. </w:t>
                            </w:r>
                          </w:p>
                        </w:tc>
                      </w:tr>
                    </w:tbl>
                    <w:p>
                      <w:pPr>
                        <w:pStyle w:val="TextBody"/>
                        <w:spacing w:before="0" w:after="0"/>
                        <w:rPr/>
                      </w:pPr>
                      <w:r>
                        <w:rPr/>
                        <w:t> </w:t>
                      </w:r>
                    </w:p>
                    <w:tbl>
                      <w:tblPr>
                        <w:tblW w:w="5890" w:type="dxa"/>
                        <w:jc w:val="left"/>
                        <w:tblInd w:w="0" w:type="dxa"/>
                        <w:tblCellMar>
                          <w:top w:w="0" w:type="dxa"/>
                          <w:left w:w="0" w:type="dxa"/>
                          <w:bottom w:w="0" w:type="dxa"/>
                          <w:right w:w="0" w:type="dxa"/>
                        </w:tblCellMar>
                      </w:tblPr>
                      <w:tblGrid>
                        <w:gridCol w:w="350"/>
                        <w:gridCol w:w="554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554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How many votes are needed for each proposal?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color w:val="005CB9"/>
                                <w:sz w:val="28"/>
                              </w:rPr>
                              <w:t>A</w:t>
                            </w:r>
                            <w:r>
                              <w:rPr/>
                              <w:t>:</w:t>
                            </w:r>
                          </w:p>
                        </w:tc>
                        <w:tc>
                          <w:tcPr>
                            <w:tcW w:w="9948" w:type="dxa"/>
                            <w:tcBorders/>
                            <w:shd w:fill="auto" w:val="clear"/>
                            <w:vAlign w:val="center"/>
                          </w:tcPr>
                          <w:p>
                            <w:pPr>
                              <w:pStyle w:val="TableContents"/>
                              <w:spacing w:before="0" w:after="0"/>
                              <w:jc w:val="left"/>
                              <w:rPr>
                                <w:rFonts w:ascii="ARIAL" w:hAnsi="ARIAL"/>
                                <w:sz w:val="19"/>
                              </w:rPr>
                            </w:pPr>
                            <w:r>
                              <w:rPr>
                                <w:rFonts w:ascii="ARIAL" w:hAnsi="ARIAL"/>
                                <w:sz w:val="19"/>
                              </w:rPr>
                              <w:t xml:space="preserve">Our By-laws provide that each director will be elected by a majority of the votes cast with respect to such director (except in the case of contested elections, in which case directors are elected by a plurality). A “majority of the votes cast” means that the number of votes cast “for” a director exceeds the number of votes cast “against” that director. Broker non-votes and abstentions will have no impact as they are not counted as votes cast for the election of directors. If an incumbent director fails to receive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3175000" cy="6722745"/>
                <wp:effectExtent l="0" t="0" r="0" b="0"/>
                <wp:wrapSquare wrapText="largest"/>
                <wp:docPr id="165" name="Frame50"/>
                <a:graphic xmlns:a="http://schemas.openxmlformats.org/drawingml/2006/main">
                  <a:graphicData uri="http://schemas.microsoft.com/office/word/2010/wordprocessingShape">
                    <wps:wsp>
                      <wps:cNvSpPr txBox="1"/>
                      <wps:spPr>
                        <a:xfrm>
                          <a:off x="0" y="0"/>
                          <a:ext cx="3175000" cy="6722745"/>
                        </a:xfrm>
                        <a:prstGeom prst="rect"/>
                      </wps:spPr>
                      <wps:txbx>
                        <w:txbxContent>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a majority of the votes cast, the director will tender his or her resignation to the Board. The Nominating and Governance Committee or another committee will consider the director’s resignation and recommend to the Board whether to accept or reject the resignation. The Board will publicly disclose its decision regarding the resignation within 90 days after the election results are certified. </w:t>
                                  </w:r>
                                </w:p>
                              </w:tc>
                            </w:tr>
                          </w:tbl>
                          <w:p>
                            <w:pPr>
                              <w:pStyle w:val="TextBody"/>
                              <w:spacing w:before="120" w:after="0"/>
                              <w:ind w:left="440" w:right="0" w:hanging="0"/>
                              <w:rPr>
                                <w:rFonts w:ascii="ARIAL" w:hAnsi="ARIAL"/>
                                <w:sz w:val="19"/>
                              </w:rPr>
                            </w:pPr>
                            <w:r>
                              <w:rPr>
                                <w:rFonts w:ascii="ARIAL" w:hAnsi="ARIAL"/>
                                <w:sz w:val="19"/>
                              </w:rPr>
                              <w:t xml:space="preserve">The vote on the approval of compensation of our named executive officers is an advisory vote and non-binding on the Company. If the majority of the shares present in person or represented by proxy and entitled to vote are cast in favor of the proposal, then it will be deemed to be the approval of the shareholders. Abstentions will have the effect of a vote against the proposal. Broker non-votes will be excluded from the calculation and will have no effect on the outcome of the voting. </w:t>
                            </w:r>
                          </w:p>
                          <w:p>
                            <w:pPr>
                              <w:pStyle w:val="TextBody"/>
                              <w:spacing w:before="120" w:after="0"/>
                              <w:ind w:left="440" w:right="0" w:hanging="0"/>
                              <w:rPr>
                                <w:rFonts w:ascii="ARIAL" w:hAnsi="ARIAL"/>
                                <w:sz w:val="19"/>
                              </w:rPr>
                            </w:pPr>
                            <w:r>
                              <w:rPr>
                                <w:rFonts w:ascii="ARIAL" w:hAnsi="ARIAL"/>
                                <w:sz w:val="19"/>
                              </w:rPr>
                              <w:t xml:space="preserve">The vote on the frequency of the approval of compensation to our named executive officers is advisory vote and non-binding on the Company. With respect to this proposal, you may vote for yearly, every two years, every three years, or you may abstain from voting. The option that receives the greatest number of votes cast by the shareholders will be considered the option approved by the shareholders. Shares not present, shares not voting and abstentions will have no effect on the outcome of the voting. </w:t>
                            </w:r>
                          </w:p>
                          <w:p>
                            <w:pPr>
                              <w:pStyle w:val="TextBody"/>
                              <w:spacing w:before="120" w:after="0"/>
                              <w:ind w:left="440" w:right="0" w:hanging="0"/>
                              <w:rPr>
                                <w:rFonts w:ascii="ARIAL" w:hAnsi="ARIAL"/>
                                <w:sz w:val="19"/>
                              </w:rPr>
                            </w:pPr>
                            <w:r>
                              <w:rPr>
                                <w:rFonts w:ascii="ARIAL" w:hAnsi="ARIAL"/>
                                <w:sz w:val="19"/>
                              </w:rPr>
                              <w:t xml:space="preserve">The affirmative vote of a majority of the shares present in person or represented by proxy and entitled to vote is required to approve the ratification of the appointment of PwC as the independent registered accounting firm of the Company. Abstentions will have the effect of a vote against these proposals. This proposal is considered a routine matter on which the broker will have discretionary authority to vote on the proposal should a beneficial owner not provide voting instructions. For that reason, if you are a beneficial owner and you wish to vote “for,” “against” or “abstain” on this proposal, you will have to provide your broker with such instruction. Otherwise, your broker will vote in its discretion. </w:t>
                            </w:r>
                          </w:p>
                          <w:p>
                            <w:pPr>
                              <w:pStyle w:val="TextBody"/>
                              <w:spacing w:before="120" w:after="0"/>
                              <w:ind w:left="440" w:right="0" w:hanging="0"/>
                              <w:rPr>
                                <w:rFonts w:ascii="ARIAL" w:hAnsi="ARIAL"/>
                                <w:sz w:val="19"/>
                              </w:rPr>
                            </w:pPr>
                            <w:r>
                              <w:rPr>
                                <w:rFonts w:ascii="ARIAL" w:hAnsi="ARIAL"/>
                                <w:sz w:val="19"/>
                              </w:rPr>
                              <w:t xml:space="preserve">The affirmative vote of the majority of the shares outstanding is required to approve the amendment to and restatement of our Restated Certificate of Incorporation. Abstentions and broker non-votes will have the effect of votes against the proposal.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29.3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a majority of the votes cast, the director will tender his or her resignation to the Board. The Nominating and Governance Committee or another committee will consider the director’s resignation and recommend to the Board whether to accept or reject the resignation. The Board will publicly disclose its decision regarding the resignation within 90 days after the election results are certified. </w:t>
                            </w:r>
                          </w:p>
                        </w:tc>
                      </w:tr>
                    </w:tbl>
                    <w:p>
                      <w:pPr>
                        <w:pStyle w:val="TextBody"/>
                        <w:spacing w:before="120" w:after="0"/>
                        <w:ind w:left="440" w:right="0" w:hanging="0"/>
                        <w:rPr>
                          <w:rFonts w:ascii="ARIAL" w:hAnsi="ARIAL"/>
                          <w:sz w:val="19"/>
                        </w:rPr>
                      </w:pPr>
                      <w:r>
                        <w:rPr>
                          <w:rFonts w:ascii="ARIAL" w:hAnsi="ARIAL"/>
                          <w:sz w:val="19"/>
                        </w:rPr>
                        <w:t xml:space="preserve">The vote on the approval of compensation of our named executive officers is an advisory vote and non-binding on the Company. If the majority of the shares present in person or represented by proxy and entitled to vote are cast in favor of the proposal, then it will be deemed to be the approval of the shareholders. Abstentions will have the effect of a vote against the proposal. Broker non-votes will be excluded from the calculation and will have no effect on the outcome of the voting. </w:t>
                      </w:r>
                    </w:p>
                    <w:p>
                      <w:pPr>
                        <w:pStyle w:val="TextBody"/>
                        <w:spacing w:before="120" w:after="0"/>
                        <w:ind w:left="440" w:right="0" w:hanging="0"/>
                        <w:rPr>
                          <w:rFonts w:ascii="ARIAL" w:hAnsi="ARIAL"/>
                          <w:sz w:val="19"/>
                        </w:rPr>
                      </w:pPr>
                      <w:r>
                        <w:rPr>
                          <w:rFonts w:ascii="ARIAL" w:hAnsi="ARIAL"/>
                          <w:sz w:val="19"/>
                        </w:rPr>
                        <w:t xml:space="preserve">The vote on the frequency of the approval of compensation to our named executive officers is advisory vote and non-binding on the Company. With respect to this proposal, you may vote for yearly, every two years, every three years, or you may abstain from voting. The option that receives the greatest number of votes cast by the shareholders will be considered the option approved by the shareholders. Shares not present, shares not voting and abstentions will have no effect on the outcome of the voting. </w:t>
                      </w:r>
                    </w:p>
                    <w:p>
                      <w:pPr>
                        <w:pStyle w:val="TextBody"/>
                        <w:spacing w:before="120" w:after="0"/>
                        <w:ind w:left="440" w:right="0" w:hanging="0"/>
                        <w:rPr>
                          <w:rFonts w:ascii="ARIAL" w:hAnsi="ARIAL"/>
                          <w:sz w:val="19"/>
                        </w:rPr>
                      </w:pPr>
                      <w:r>
                        <w:rPr>
                          <w:rFonts w:ascii="ARIAL" w:hAnsi="ARIAL"/>
                          <w:sz w:val="19"/>
                        </w:rPr>
                        <w:t xml:space="preserve">The affirmative vote of a majority of the shares present in person or represented by proxy and entitled to vote is required to approve the ratification of the appointment of PwC as the independent registered accounting firm of the Company. Abstentions will have the effect of a vote against these proposals. This proposal is considered a routine matter on which the broker will have discretionary authority to vote on the proposal should a beneficial owner not provide voting instructions. For that reason, if you are a beneficial owner and you wish to vote “for,” “against” or “abstain” on this proposal, you will have to provide your broker with such instruction. Otherwise, your broker will vote in its discretion. </w:t>
                      </w:r>
                    </w:p>
                    <w:p>
                      <w:pPr>
                        <w:pStyle w:val="TextBody"/>
                        <w:spacing w:before="120" w:after="0"/>
                        <w:ind w:left="440" w:right="0" w:hanging="0"/>
                        <w:rPr>
                          <w:rFonts w:ascii="ARIAL" w:hAnsi="ARIAL"/>
                          <w:sz w:val="19"/>
                        </w:rPr>
                      </w:pPr>
                      <w:r>
                        <w:rPr>
                          <w:rFonts w:ascii="ARIAL" w:hAnsi="ARIAL"/>
                          <w:sz w:val="19"/>
                        </w:rPr>
                        <w:t xml:space="preserve">The affirmative vote of the majority of the shares outstanding is required to approve the amendment to and restatement of our Restated Certificate of Incorporation. Abstentions and broker non-votes will have the effect of votes against the proposal. </w:t>
                      </w:r>
                    </w:p>
                  </w:txbxContent>
                </v:textbox>
                <w10:wrap type="square" side="right"/>
              </v:rect>
            </w:pict>
          </mc:Fallback>
        </mc:AlternateConten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60</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6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5" descr=""/>
                          <pic:cNvPicPr>
                            <a:picLocks noChangeAspect="1" noChangeArrowheads="1"/>
                          </pic:cNvPicPr>
                        </pic:nvPicPr>
                        <pic:blipFill>
                          <a:blip r:embed="rId116"/>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jc w:val="left"/>
        <w:rPr/>
      </w:pPr>
      <w:r>
        <w:rPr/>
        <w:t> </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3110230" cy="5525135"/>
                <wp:effectExtent l="0" t="0" r="0" b="0"/>
                <wp:wrapSquare wrapText="largest"/>
                <wp:docPr id="167" name="Frame51"/>
                <a:graphic xmlns:a="http://schemas.openxmlformats.org/drawingml/2006/main">
                  <a:graphicData uri="http://schemas.microsoft.com/office/word/2010/wordprocessingShape">
                    <wps:wsp>
                      <wps:cNvSpPr txBox="1"/>
                      <wps:spPr>
                        <a:xfrm>
                          <a:off x="0" y="0"/>
                          <a:ext cx="3110230" cy="5525135"/>
                        </a:xfrm>
                        <a:prstGeom prst="rect"/>
                      </wps:spPr>
                      <wps:txbx>
                        <w:txbxContent>
                          <w:tbl>
                            <w:tblPr>
                              <w:tblW w:w="3100" w:type="dxa"/>
                              <w:jc w:val="left"/>
                              <w:tblInd w:w="0" w:type="dxa"/>
                              <w:tblCellMar>
                                <w:top w:w="0" w:type="dxa"/>
                                <w:left w:w="0" w:type="dxa"/>
                                <w:bottom w:w="0" w:type="dxa"/>
                                <w:right w:w="0" w:type="dxa"/>
                              </w:tblCellMar>
                            </w:tblPr>
                            <w:tblGrid>
                              <w:gridCol w:w="350"/>
                              <w:gridCol w:w="275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275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Is my proxy revocable?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color w:val="005CB9"/>
                                      <w:sz w:val="28"/>
                                    </w:rPr>
                                    <w:t>A</w:t>
                                  </w:r>
                                  <w:r>
                                    <w:rPr/>
                                    <w:t>:</w:t>
                                  </w:r>
                                </w:p>
                              </w:tc>
                              <w:tc>
                                <w:tcPr>
                                  <w:tcW w:w="9941" w:type="dxa"/>
                                  <w:tcBorders/>
                                  <w:shd w:fill="auto" w:val="clear"/>
                                  <w:vAlign w:val="center"/>
                                </w:tcPr>
                                <w:p>
                                  <w:pPr>
                                    <w:pStyle w:val="TableContents"/>
                                    <w:spacing w:before="0" w:after="0"/>
                                    <w:jc w:val="left"/>
                                    <w:rPr>
                                      <w:rFonts w:ascii="ARIAL" w:hAnsi="ARIAL"/>
                                      <w:sz w:val="19"/>
                                    </w:rPr>
                                  </w:pPr>
                                  <w:r>
                                    <w:rPr>
                                      <w:rFonts w:ascii="ARIAL" w:hAnsi="ARIAL"/>
                                      <w:sz w:val="19"/>
                                    </w:rPr>
                                    <w:t xml:space="preserve">You may revoke your proxy before it is exercised by voting in person at the Annual Meeting, by timely delivering a subsequent proxy or by notifying us in writing of such revocation to the attention of the Corporate Secretary, Roper Technologies, Inc., 6901 Professional Parkway, Suite 200, Sarasota, Florida 34240. </w:t>
                                  </w:r>
                                </w:p>
                              </w:tc>
                            </w:tr>
                          </w:tbl>
                          <w:p>
                            <w:pPr>
                              <w:pStyle w:val="TextBody"/>
                              <w:spacing w:before="120" w:after="0"/>
                              <w:ind w:left="440" w:right="0" w:hanging="0"/>
                              <w:rPr>
                                <w:rFonts w:ascii="ARIAL" w:hAnsi="ARIAL"/>
                                <w:sz w:val="19"/>
                              </w:rPr>
                            </w:pPr>
                            <w:r>
                              <w:rPr>
                                <w:rFonts w:ascii="ARIAL" w:hAnsi="ARIAL"/>
                                <w:sz w:val="19"/>
                              </w:rPr>
                              <w:t xml:space="preserve">If you are not the shareholder of record, you will need documentation from your record holder stating your ownership to vote personally at the Annual Meeting. See “What is a shareholder of record?” above. </w:t>
                            </w:r>
                          </w:p>
                          <w:p>
                            <w:pPr>
                              <w:pStyle w:val="TextBody"/>
                              <w:spacing w:before="0" w:after="0"/>
                              <w:rPr/>
                            </w:pPr>
                            <w:r>
                              <w:rPr/>
                              <w:t> </w:t>
                            </w:r>
                          </w:p>
                          <w:tbl>
                            <w:tblPr>
                              <w:tblW w:w="6280" w:type="dxa"/>
                              <w:jc w:val="left"/>
                              <w:tblInd w:w="0" w:type="dxa"/>
                              <w:tblCellMar>
                                <w:top w:w="0" w:type="dxa"/>
                                <w:left w:w="0" w:type="dxa"/>
                                <w:bottom w:w="0" w:type="dxa"/>
                                <w:right w:w="0" w:type="dxa"/>
                              </w:tblCellMar>
                            </w:tblPr>
                            <w:tblGrid>
                              <w:gridCol w:w="350"/>
                              <w:gridCol w:w="593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593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is “householding” and how does it affect me?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jc w:val="left"/>
                                    <w:rPr/>
                                  </w:pPr>
                                  <w:r>
                                    <w:rPr>
                                      <w:color w:val="005CB9"/>
                                      <w:sz w:val="28"/>
                                    </w:rPr>
                                    <w:t>A</w:t>
                                  </w:r>
                                  <w:r>
                                    <w:rPr/>
                                    <w:t>.</w:t>
                                  </w:r>
                                </w:p>
                              </w:tc>
                              <w:tc>
                                <w:tcPr>
                                  <w:tcW w:w="990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 proxy rules of the SEC permit companies and intermediaries, such as brokers and banks, to satisfy Proxy Statement delivery requirements for two or more shareholders sharing an address by delivering one set of proxy materials to those shareholders. This procedure, known as “householding,” reduces the amount of duplicate information that shareholders receive and lowers our printing and mailing costs. </w:t>
                                  </w:r>
                                </w:p>
                              </w:tc>
                            </w:tr>
                          </w:tbl>
                          <w:p>
                            <w:pPr>
                              <w:pStyle w:val="TextBody"/>
                              <w:spacing w:before="120" w:after="0"/>
                              <w:ind w:left="380" w:right="0" w:hanging="0"/>
                              <w:rPr>
                                <w:rFonts w:ascii="ARIAL" w:hAnsi="ARIAL"/>
                                <w:sz w:val="19"/>
                              </w:rPr>
                            </w:pPr>
                            <w:r>
                              <w:rPr>
                                <w:rFonts w:ascii="ARIAL" w:hAnsi="ARIAL"/>
                                <w:sz w:val="19"/>
                              </w:rPr>
                              <w:t xml:space="preserve">Certain intermediaries use householding for our proxy materials and our 2022 Annual Report. Therefore, only one set of materials may have been delivered to your address if multiple shareholders share the same address. If you share an address with another shareholder and wish to receive a separate set of materials in the future, or if you would like to receive only one set of materials, you should contact your bank, broker, or other intermediary or us at the address and telephone number below. We will promptly send a separate copy of this Proxy Statement or the 2022 Annual Report if you call us at 941-556-2601 or direct your request in writing to the attention of the Corporate Secretary, Roper Technologies, Inc., 6901 Professional Parkway, Suite 200, Sarasota, Florida 34240.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5.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3100" w:type="dxa"/>
                        <w:jc w:val="left"/>
                        <w:tblInd w:w="0" w:type="dxa"/>
                        <w:tblCellMar>
                          <w:top w:w="0" w:type="dxa"/>
                          <w:left w:w="0" w:type="dxa"/>
                          <w:bottom w:w="0" w:type="dxa"/>
                          <w:right w:w="0" w:type="dxa"/>
                        </w:tblCellMar>
                      </w:tblPr>
                      <w:tblGrid>
                        <w:gridCol w:w="350"/>
                        <w:gridCol w:w="275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275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Is my proxy revocable?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color w:val="005CB9"/>
                                <w:sz w:val="28"/>
                              </w:rPr>
                              <w:t>A</w:t>
                            </w:r>
                            <w:r>
                              <w:rPr/>
                              <w:t>:</w:t>
                            </w:r>
                          </w:p>
                        </w:tc>
                        <w:tc>
                          <w:tcPr>
                            <w:tcW w:w="9941" w:type="dxa"/>
                            <w:tcBorders/>
                            <w:shd w:fill="auto" w:val="clear"/>
                            <w:vAlign w:val="center"/>
                          </w:tcPr>
                          <w:p>
                            <w:pPr>
                              <w:pStyle w:val="TableContents"/>
                              <w:spacing w:before="0" w:after="0"/>
                              <w:jc w:val="left"/>
                              <w:rPr>
                                <w:rFonts w:ascii="ARIAL" w:hAnsi="ARIAL"/>
                                <w:sz w:val="19"/>
                              </w:rPr>
                            </w:pPr>
                            <w:r>
                              <w:rPr>
                                <w:rFonts w:ascii="ARIAL" w:hAnsi="ARIAL"/>
                                <w:sz w:val="19"/>
                              </w:rPr>
                              <w:t xml:space="preserve">You may revoke your proxy before it is exercised by voting in person at the Annual Meeting, by timely delivering a subsequent proxy or by notifying us in writing of such revocation to the attention of the Corporate Secretary, Roper Technologies, Inc., 6901 Professional Parkway, Suite 200, Sarasota, Florida 34240. </w:t>
                            </w:r>
                          </w:p>
                        </w:tc>
                      </w:tr>
                    </w:tbl>
                    <w:p>
                      <w:pPr>
                        <w:pStyle w:val="TextBody"/>
                        <w:spacing w:before="120" w:after="0"/>
                        <w:ind w:left="440" w:right="0" w:hanging="0"/>
                        <w:rPr>
                          <w:rFonts w:ascii="ARIAL" w:hAnsi="ARIAL"/>
                          <w:sz w:val="19"/>
                        </w:rPr>
                      </w:pPr>
                      <w:r>
                        <w:rPr>
                          <w:rFonts w:ascii="ARIAL" w:hAnsi="ARIAL"/>
                          <w:sz w:val="19"/>
                        </w:rPr>
                        <w:t xml:space="preserve">If you are not the shareholder of record, you will need documentation from your record holder stating your ownership to vote personally at the Annual Meeting. See “What is a shareholder of record?” above. </w:t>
                      </w:r>
                    </w:p>
                    <w:p>
                      <w:pPr>
                        <w:pStyle w:val="TextBody"/>
                        <w:spacing w:before="0" w:after="0"/>
                        <w:rPr/>
                      </w:pPr>
                      <w:r>
                        <w:rPr/>
                        <w:t> </w:t>
                      </w:r>
                    </w:p>
                    <w:tbl>
                      <w:tblPr>
                        <w:tblW w:w="6280" w:type="dxa"/>
                        <w:jc w:val="left"/>
                        <w:tblInd w:w="0" w:type="dxa"/>
                        <w:tblCellMar>
                          <w:top w:w="0" w:type="dxa"/>
                          <w:left w:w="0" w:type="dxa"/>
                          <w:bottom w:w="0" w:type="dxa"/>
                          <w:right w:w="0" w:type="dxa"/>
                        </w:tblCellMar>
                      </w:tblPr>
                      <w:tblGrid>
                        <w:gridCol w:w="350"/>
                        <w:gridCol w:w="593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593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is “householding” and how does it affect me?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jc w:val="left"/>
                              <w:rPr/>
                            </w:pPr>
                            <w:r>
                              <w:rPr>
                                <w:color w:val="005CB9"/>
                                <w:sz w:val="28"/>
                              </w:rPr>
                              <w:t>A</w:t>
                            </w:r>
                            <w:r>
                              <w:rPr/>
                              <w:t>.</w:t>
                            </w:r>
                          </w:p>
                        </w:tc>
                        <w:tc>
                          <w:tcPr>
                            <w:tcW w:w="990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 proxy rules of the SEC permit companies and intermediaries, such as brokers and banks, to satisfy Proxy Statement delivery requirements for two or more shareholders sharing an address by delivering one set of proxy materials to those shareholders. This procedure, known as “householding,” reduces the amount of duplicate information that shareholders receive and lowers our printing and mailing costs. </w:t>
                            </w:r>
                          </w:p>
                        </w:tc>
                      </w:tr>
                    </w:tbl>
                    <w:p>
                      <w:pPr>
                        <w:pStyle w:val="TextBody"/>
                        <w:spacing w:before="120" w:after="0"/>
                        <w:ind w:left="380" w:right="0" w:hanging="0"/>
                        <w:rPr>
                          <w:rFonts w:ascii="ARIAL" w:hAnsi="ARIAL"/>
                          <w:sz w:val="19"/>
                        </w:rPr>
                      </w:pPr>
                      <w:r>
                        <w:rPr>
                          <w:rFonts w:ascii="ARIAL" w:hAnsi="ARIAL"/>
                          <w:sz w:val="19"/>
                        </w:rPr>
                        <w:t xml:space="preserve">Certain intermediaries use householding for our proxy materials and our 2022 Annual Report. Therefore, only one set of materials may have been delivered to your address if multiple shareholders share the same address. If you share an address with another shareholder and wish to receive a separate set of materials in the future, or if you would like to receive only one set of materials, you should contact your bank, broker, or other intermediary or us at the address and telephone number below. We will promptly send a separate copy of this Proxy Statement or the 2022 Annual Report if you call us at 941-556-2601 or direct your request in writing to the attention of the Corporate Secretary, Roper Technologies, Inc., 6901 Professional Parkway, Suite 200, Sarasota, Florida 34240. </w:t>
                      </w:r>
                    </w:p>
                  </w:txbxContent>
                </v:textbox>
                <w10:wrap type="square" side="right"/>
              </v:rect>
            </w:pict>
          </mc:Fallback>
        </mc:AlternateConten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3175000" cy="4475480"/>
                <wp:effectExtent l="0" t="0" r="0" b="0"/>
                <wp:wrapSquare wrapText="largest"/>
                <wp:docPr id="168" name="Frame52"/>
                <a:graphic xmlns:a="http://schemas.openxmlformats.org/drawingml/2006/main">
                  <a:graphicData uri="http://schemas.microsoft.com/office/word/2010/wordprocessingShape">
                    <wps:wsp>
                      <wps:cNvSpPr txBox="1"/>
                      <wps:spPr>
                        <a:xfrm>
                          <a:off x="0" y="0"/>
                          <a:ext cx="3175000" cy="4475480"/>
                        </a:xfrm>
                        <a:prstGeom prst="rect"/>
                      </wps:spPr>
                      <wps:txbx>
                        <w:txbxContent>
                          <w:tbl>
                            <w:tblPr>
                              <w:tblW w:w="6790" w:type="dxa"/>
                              <w:jc w:val="left"/>
                              <w:tblInd w:w="0" w:type="dxa"/>
                              <w:tblCellMar>
                                <w:top w:w="0" w:type="dxa"/>
                                <w:left w:w="0" w:type="dxa"/>
                                <w:bottom w:w="0" w:type="dxa"/>
                                <w:right w:w="0" w:type="dxa"/>
                              </w:tblCellMar>
                            </w:tblPr>
                            <w:tblGrid>
                              <w:gridCol w:w="350"/>
                              <w:gridCol w:w="644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644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How can I find the voting results of the Annual Meeting?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jc w:val="left"/>
                                    <w:rPr/>
                                  </w:pPr>
                                  <w:r>
                                    <w:rPr>
                                      <w:color w:val="005CB9"/>
                                      <w:sz w:val="28"/>
                                    </w:rPr>
                                    <w:t>A</w:t>
                                  </w:r>
                                  <w:r>
                                    <w:rPr/>
                                    <w:t>.</w:t>
                                  </w:r>
                                </w:p>
                              </w:tc>
                              <w:tc>
                                <w:tcPr>
                                  <w:tcW w:w="990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 Board of Directors has designated an inspector of election who will tabulate the votes submitted by proxy and by ballot. Preliminary voting results will be announced at the Annual Meeting. Final voting results will be published in a Current Report on Form 8-K to be filed with the SEC within four business days after the Annual Meeting. If the official voting results are not available at that time, we will provide preliminary voting results in the Current Report on Form 8-K and will provide the final results in an amendment to the Current Report on Form 8-K as soon as they become available.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47"/>
                              <w:gridCol w:w="9858"/>
                            </w:tblGrid>
                            <w:tr>
                              <w:trPr/>
                              <w:tc>
                                <w:tcPr>
                                  <w:tcW w:w="347"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9858"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Who is paying for the expenses involved in preparing and mailing this Proxy Statement?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jc w:val="left"/>
                                    <w:rPr/>
                                  </w:pPr>
                                  <w:r>
                                    <w:rPr>
                                      <w:color w:val="005CB9"/>
                                      <w:sz w:val="28"/>
                                    </w:rPr>
                                    <w:t>A</w:t>
                                  </w:r>
                                  <w:r>
                                    <w:rPr/>
                                    <w:t>:</w:t>
                                  </w:r>
                                </w:p>
                              </w:tc>
                              <w:tc>
                                <w:tcPr>
                                  <w:tcW w:w="9952" w:type="dxa"/>
                                  <w:tcBorders/>
                                  <w:shd w:fill="auto" w:val="clear"/>
                                  <w:vAlign w:val="center"/>
                                </w:tcPr>
                                <w:p>
                                  <w:pPr>
                                    <w:pStyle w:val="TableContents"/>
                                    <w:spacing w:before="0" w:after="0"/>
                                    <w:jc w:val="left"/>
                                    <w:rPr>
                                      <w:rFonts w:ascii="ARIAL" w:hAnsi="ARIAL"/>
                                      <w:sz w:val="19"/>
                                    </w:rPr>
                                  </w:pPr>
                                  <w:r>
                                    <w:rPr>
                                      <w:rFonts w:ascii="ARIAL" w:hAnsi="ARIAL"/>
                                      <w:sz w:val="19"/>
                                    </w:rPr>
                                    <w:t xml:space="preserve">Roper is paying the expenses involved in preparing, assembling and mailing these proxy materials and all costs of soliciting proxies. Our directors, executive officers and other employees may solicit proxies, without additional compensation, personally or by telephone, email or other means of communication. We have also engaged MacKenzie Partners as the proxy solicitor for this Annual Meeting for a fee of approximately $12,500 plus reasonable expenses. We will reimburse banks, brokers, and other intermediaries, such as custodians, nominees and fiduciaries, that hold our common stock in their names or in the names of their nominees for their reasonable expenses in forwarding proxy materials to beneficial owners. </w:t>
                                  </w:r>
                                </w:p>
                              </w:tc>
                            </w:tr>
                          </w:tbl>
                          <w:p>
                            <w:pPr>
                              <w:pStyle w:val="TextBody"/>
                              <w:spacing w:before="0" w:after="0"/>
                              <w:rPr/>
                            </w:pPr>
                            <w:r>
                              <w:rPr/>
                              <w:t> </w:t>
                            </w:r>
                          </w:p>
                          <w:tbl>
                            <w:tblPr>
                              <w:tblW w:w="5875" w:type="dxa"/>
                              <w:jc w:val="left"/>
                              <w:tblInd w:w="0" w:type="dxa"/>
                              <w:tblCellMar>
                                <w:top w:w="0" w:type="dxa"/>
                                <w:left w:w="0" w:type="dxa"/>
                                <w:bottom w:w="0" w:type="dxa"/>
                                <w:right w:w="0" w:type="dxa"/>
                              </w:tblCellMar>
                            </w:tblPr>
                            <w:tblGrid>
                              <w:gridCol w:w="350"/>
                              <w:gridCol w:w="5525"/>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5525"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is your website for additional information?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83"/>
                                    <w:jc w:val="left"/>
                                    <w:rPr/>
                                  </w:pPr>
                                  <w:r>
                                    <w:rPr>
                                      <w:color w:val="005CB9"/>
                                      <w:sz w:val="28"/>
                                    </w:rPr>
                                    <w:t>A</w:t>
                                  </w:r>
                                  <w:r>
                                    <w:rPr/>
                                    <w:t>:</w:t>
                                  </w:r>
                                </w:p>
                              </w:tc>
                              <w:tc>
                                <w:tcPr>
                                  <w:tcW w:w="9926" w:type="dxa"/>
                                  <w:tcBorders/>
                                  <w:shd w:fill="auto" w:val="clear"/>
                                  <w:vAlign w:val="center"/>
                                </w:tcPr>
                                <w:p>
                                  <w:pPr>
                                    <w:pStyle w:val="TableContents"/>
                                    <w:spacing w:before="0" w:after="0"/>
                                    <w:jc w:val="left"/>
                                    <w:rPr>
                                      <w:rFonts w:ascii="ARIAL" w:hAnsi="ARIAL"/>
                                      <w:sz w:val="19"/>
                                    </w:rPr>
                                  </w:pPr>
                                  <w:r>
                                    <w:rPr>
                                      <w:rFonts w:ascii="ARIAL" w:hAnsi="ARIAL"/>
                                      <w:sz w:val="19"/>
                                    </w:rPr>
                                    <w:t xml:space="preserve">We maintain a website at www.ropertech.com. The information on our website is not part of this Proxy Statement, and it is not incorporated into any other filings we make with the SEC.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52.4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6790" w:type="dxa"/>
                        <w:jc w:val="left"/>
                        <w:tblInd w:w="0" w:type="dxa"/>
                        <w:tblCellMar>
                          <w:top w:w="0" w:type="dxa"/>
                          <w:left w:w="0" w:type="dxa"/>
                          <w:bottom w:w="0" w:type="dxa"/>
                          <w:right w:w="0" w:type="dxa"/>
                        </w:tblCellMar>
                      </w:tblPr>
                      <w:tblGrid>
                        <w:gridCol w:w="350"/>
                        <w:gridCol w:w="6440"/>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6440"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How can I find the voting results of the Annual Meeting?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jc w:val="left"/>
                              <w:rPr/>
                            </w:pPr>
                            <w:r>
                              <w:rPr>
                                <w:color w:val="005CB9"/>
                                <w:sz w:val="28"/>
                              </w:rPr>
                              <w:t>A</w:t>
                            </w:r>
                            <w:r>
                              <w:rPr/>
                              <w:t>.</w:t>
                            </w:r>
                          </w:p>
                        </w:tc>
                        <w:tc>
                          <w:tcPr>
                            <w:tcW w:w="9900" w:type="dxa"/>
                            <w:tcBorders/>
                            <w:shd w:fill="auto" w:val="clear"/>
                            <w:vAlign w:val="center"/>
                          </w:tcPr>
                          <w:p>
                            <w:pPr>
                              <w:pStyle w:val="TableContents"/>
                              <w:spacing w:before="0" w:after="0"/>
                              <w:jc w:val="left"/>
                              <w:rPr>
                                <w:rFonts w:ascii="ARIAL" w:hAnsi="ARIAL"/>
                                <w:sz w:val="19"/>
                              </w:rPr>
                            </w:pPr>
                            <w:r>
                              <w:rPr>
                                <w:rFonts w:ascii="ARIAL" w:hAnsi="ARIAL"/>
                                <w:sz w:val="19"/>
                              </w:rPr>
                              <w:t xml:space="preserve">The Board of Directors has designated an inspector of election who will tabulate the votes submitted by proxy and by ballot. Preliminary voting results will be announced at the Annual Meeting. Final voting results will be published in a Current Report on Form 8-K to be filed with the SEC within four business days after the Annual Meeting. If the official voting results are not available at that time, we will provide preliminary voting results in the Current Report on Form 8-K and will provide the final results in an amendment to the Current Report on Form 8-K as soon as they become available.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47"/>
                        <w:gridCol w:w="9858"/>
                      </w:tblGrid>
                      <w:tr>
                        <w:trPr/>
                        <w:tc>
                          <w:tcPr>
                            <w:tcW w:w="347"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9858"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Who is paying for the expenses involved in preparing and mailing this Proxy Statement?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jc w:val="left"/>
                              <w:rPr/>
                            </w:pPr>
                            <w:r>
                              <w:rPr>
                                <w:color w:val="005CB9"/>
                                <w:sz w:val="28"/>
                              </w:rPr>
                              <w:t>A</w:t>
                            </w:r>
                            <w:r>
                              <w:rPr/>
                              <w:t>:</w:t>
                            </w:r>
                          </w:p>
                        </w:tc>
                        <w:tc>
                          <w:tcPr>
                            <w:tcW w:w="9952" w:type="dxa"/>
                            <w:tcBorders/>
                            <w:shd w:fill="auto" w:val="clear"/>
                            <w:vAlign w:val="center"/>
                          </w:tcPr>
                          <w:p>
                            <w:pPr>
                              <w:pStyle w:val="TableContents"/>
                              <w:spacing w:before="0" w:after="0"/>
                              <w:jc w:val="left"/>
                              <w:rPr>
                                <w:rFonts w:ascii="ARIAL" w:hAnsi="ARIAL"/>
                                <w:sz w:val="19"/>
                              </w:rPr>
                            </w:pPr>
                            <w:r>
                              <w:rPr>
                                <w:rFonts w:ascii="ARIAL" w:hAnsi="ARIAL"/>
                                <w:sz w:val="19"/>
                              </w:rPr>
                              <w:t xml:space="preserve">Roper is paying the expenses involved in preparing, assembling and mailing these proxy materials and all costs of soliciting proxies. Our directors, executive officers and other employees may solicit proxies, without additional compensation, personally or by telephone, email or other means of communication. We have also engaged MacKenzie Partners as the proxy solicitor for this Annual Meeting for a fee of approximately $12,500 plus reasonable expenses. We will reimburse banks, brokers, and other intermediaries, such as custodians, nominees and fiduciaries, that hold our common stock in their names or in the names of their nominees for their reasonable expenses in forwarding proxy materials to beneficial owners. </w:t>
                            </w:r>
                          </w:p>
                        </w:tc>
                      </w:tr>
                    </w:tbl>
                    <w:p>
                      <w:pPr>
                        <w:pStyle w:val="TextBody"/>
                        <w:spacing w:before="0" w:after="0"/>
                        <w:rPr/>
                      </w:pPr>
                      <w:r>
                        <w:rPr/>
                        <w:t> </w:t>
                      </w:r>
                    </w:p>
                    <w:tbl>
                      <w:tblPr>
                        <w:tblW w:w="5875" w:type="dxa"/>
                        <w:jc w:val="left"/>
                        <w:tblInd w:w="0" w:type="dxa"/>
                        <w:tblCellMar>
                          <w:top w:w="0" w:type="dxa"/>
                          <w:left w:w="0" w:type="dxa"/>
                          <w:bottom w:w="0" w:type="dxa"/>
                          <w:right w:w="0" w:type="dxa"/>
                        </w:tblCellMar>
                      </w:tblPr>
                      <w:tblGrid>
                        <w:gridCol w:w="350"/>
                        <w:gridCol w:w="5525"/>
                      </w:tblGrid>
                      <w:tr>
                        <w:trPr/>
                        <w:tc>
                          <w:tcPr>
                            <w:tcW w:w="350" w:type="dxa"/>
                            <w:tcBorders/>
                            <w:shd w:fill="auto" w:val="clear"/>
                            <w:vAlign w:val="center"/>
                          </w:tcPr>
                          <w:p>
                            <w:pPr>
                              <w:pStyle w:val="TableContents"/>
                              <w:spacing w:before="0" w:after="283"/>
                              <w:jc w:val="left"/>
                              <w:rPr>
                                <w:b/>
                                <w:color w:val="005CB9"/>
                              </w:rPr>
                            </w:pPr>
                            <w:r>
                              <w:rPr>
                                <w:b/>
                                <w:color w:val="005CB9"/>
                                <w:sz w:val="32"/>
                              </w:rPr>
                              <w:t>Q</w:t>
                            </w:r>
                            <w:r>
                              <w:rPr>
                                <w:b/>
                                <w:color w:val="005CB9"/>
                              </w:rPr>
                              <w:t>:</w:t>
                            </w:r>
                          </w:p>
                        </w:tc>
                        <w:tc>
                          <w:tcPr>
                            <w:tcW w:w="5525" w:type="dxa"/>
                            <w:tcBorders/>
                            <w:shd w:fill="auto" w:val="clear"/>
                            <w:vAlign w:val="center"/>
                          </w:tcPr>
                          <w:p>
                            <w:pPr>
                              <w:pStyle w:val="TableContents"/>
                              <w:spacing w:before="0" w:after="0"/>
                              <w:jc w:val="left"/>
                              <w:rPr>
                                <w:rFonts w:ascii="ARIAL" w:hAnsi="ARIAL"/>
                                <w:b/>
                                <w:color w:val="005CB9"/>
                                <w:sz w:val="24"/>
                              </w:rPr>
                            </w:pPr>
                            <w:r>
                              <w:rPr>
                                <w:rFonts w:ascii="ARIAL" w:hAnsi="ARIAL"/>
                                <w:b/>
                                <w:color w:val="005CB9"/>
                                <w:sz w:val="24"/>
                              </w:rPr>
                              <w:t xml:space="preserve">What is your website for additional information?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83"/>
                              <w:jc w:val="left"/>
                              <w:rPr/>
                            </w:pPr>
                            <w:r>
                              <w:rPr>
                                <w:color w:val="005CB9"/>
                                <w:sz w:val="28"/>
                              </w:rPr>
                              <w:t>A</w:t>
                            </w:r>
                            <w:r>
                              <w:rPr/>
                              <w:t>:</w:t>
                            </w:r>
                          </w:p>
                        </w:tc>
                        <w:tc>
                          <w:tcPr>
                            <w:tcW w:w="9926" w:type="dxa"/>
                            <w:tcBorders/>
                            <w:shd w:fill="auto" w:val="clear"/>
                            <w:vAlign w:val="center"/>
                          </w:tcPr>
                          <w:p>
                            <w:pPr>
                              <w:pStyle w:val="TableContents"/>
                              <w:spacing w:before="0" w:after="0"/>
                              <w:jc w:val="left"/>
                              <w:rPr>
                                <w:rFonts w:ascii="ARIAL" w:hAnsi="ARIAL"/>
                                <w:sz w:val="19"/>
                              </w:rPr>
                            </w:pPr>
                            <w:r>
                              <w:rPr>
                                <w:rFonts w:ascii="ARIAL" w:hAnsi="ARIAL"/>
                                <w:sz w:val="19"/>
                              </w:rPr>
                              <w:t xml:space="preserve">We maintain a website at www.ropertech.com. The information on our website is not part of this Proxy Statement, and it is not incorporated into any other filings we make with the SEC.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6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16" descr=""/>
                          <pic:cNvPicPr>
                            <a:picLocks noChangeAspect="1" noChangeArrowheads="1"/>
                          </pic:cNvPicPr>
                        </pic:nvPicPr>
                        <pic:blipFill>
                          <a:blip r:embed="rId117"/>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61</w:t>
            </w:r>
          </w:p>
        </w:tc>
      </w:tr>
    </w:tbl>
    <w:p>
      <w:pPr>
        <w:pStyle w:val="HorizontalLine"/>
        <w:rPr/>
      </w:pPr>
      <w:r>
        <w:br w:type="page"/>
      </w:r>
      <w:r>
        <w:rPr/>
      </w:r>
    </w:p>
    <w:p>
      <w:pPr>
        <w:pStyle w:val="TextBody"/>
        <w:spacing w:before="0" w:after="0"/>
        <w:jc w:val="left"/>
        <w:rPr>
          <w:rFonts w:ascii="ARIAL" w:hAnsi="ARIAL"/>
          <w:color w:val="005CB9"/>
          <w:sz w:val="32"/>
        </w:rPr>
      </w:pPr>
      <w:bookmarkStart w:id="39" w:name="toc356364_36"/>
      <w:bookmarkEnd w:id="39"/>
      <w:r>
        <w:rPr>
          <w:rFonts w:ascii="ARIAL" w:hAnsi="ARIAL"/>
          <w:color w:val="005CB9"/>
          <w:sz w:val="32"/>
        </w:rPr>
        <w:t xml:space="preserve">INFORMATION REGARDING THE 2024 ANNUAL MEETING OF SHAREHOLDERS </w:t>
      </w:r>
    </w:p>
    <w:p>
      <w:pPr>
        <w:pStyle w:val="TextBody"/>
        <w:spacing w:before="360" w:after="0"/>
        <w:jc w:val="left"/>
        <w:rPr>
          <w:rFonts w:ascii="ARIAL" w:hAnsi="ARIAL"/>
          <w:sz w:val="19"/>
        </w:rPr>
      </w:pPr>
      <w:r>
        <w:rPr>
          <w:rFonts w:ascii="ARIAL" w:hAnsi="ARIAL"/>
          <w:sz w:val="19"/>
        </w:rPr>
        <w:t xml:space="preserve">If you wish to submit a matter to be considered at the 2024 Annual Meeting of Shareholders, you must comply with the procedures set forth below. Any proposal or nomination to be made to the Company should be sent to: </w:t>
      </w:r>
    </w:p>
    <w:p>
      <w:pPr>
        <w:pStyle w:val="TextBody"/>
        <w:spacing w:before="0" w:after="0"/>
        <w:jc w:val="left"/>
        <w:rPr/>
      </w:pPr>
      <w:r>
        <w:rPr/>
        <w:t> </w:t>
      </w:r>
    </w:p>
    <w:tbl>
      <w:tblPr>
        <w:tblW w:w="6400" w:type="dxa"/>
        <w:jc w:val="left"/>
        <w:tblInd w:w="0" w:type="dxa"/>
        <w:tblCellMar>
          <w:top w:w="0" w:type="dxa"/>
          <w:left w:w="0" w:type="dxa"/>
          <w:bottom w:w="0" w:type="dxa"/>
          <w:right w:w="0" w:type="dxa"/>
        </w:tblCellMar>
      </w:tblPr>
      <w:tblGrid>
        <w:gridCol w:w="3350"/>
        <w:gridCol w:w="120"/>
        <w:gridCol w:w="2930"/>
      </w:tblGrid>
      <w:tr>
        <w:trPr/>
        <w:tc>
          <w:tcPr>
            <w:tcW w:w="3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30" w:type="dxa"/>
            <w:tcBorders/>
            <w:shd w:fill="auto" w:val="clear"/>
            <w:vAlign w:val="center"/>
          </w:tcPr>
          <w:p>
            <w:pPr>
              <w:pStyle w:val="TableContents"/>
              <w:spacing w:before="0" w:after="283"/>
              <w:rPr>
                <w:sz w:val="4"/>
                <w:szCs w:val="4"/>
              </w:rPr>
            </w:pPr>
            <w:r>
              <w:rPr>
                <w:sz w:val="4"/>
                <w:szCs w:val="4"/>
              </w:rPr>
            </w:r>
          </w:p>
        </w:tc>
      </w:tr>
      <w:tr>
        <w:trPr/>
        <w:tc>
          <w:tcPr>
            <w:tcW w:w="3350" w:type="dxa"/>
            <w:tcBorders/>
            <w:shd w:fill="auto" w:val="clear"/>
            <w:vAlign w:val="center"/>
          </w:tcPr>
          <w:p>
            <w:pPr>
              <w:pStyle w:val="TableContents"/>
              <w:spacing w:before="0" w:after="0"/>
              <w:rPr>
                <w:rFonts w:ascii="ARIAL" w:hAnsi="ARIAL"/>
                <w:sz w:val="19"/>
              </w:rPr>
            </w:pPr>
            <w:r>
              <w:rPr>
                <w:rFonts w:ascii="ARIAL" w:hAnsi="ARIAL"/>
                <w:sz w:val="19"/>
              </w:rPr>
              <w:t>Before July 1, 2023:</w:t>
            </w:r>
          </w:p>
        </w:tc>
        <w:tc>
          <w:tcPr>
            <w:tcW w:w="120"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rPr/>
            </w:pPr>
            <w:r>
              <w:rPr/>
              <w:t>After July 1, 2023</w:t>
            </w:r>
          </w:p>
        </w:tc>
      </w:tr>
      <w:tr>
        <w:trPr/>
        <w:tc>
          <w:tcPr>
            <w:tcW w:w="3350" w:type="dxa"/>
            <w:tcBorders/>
            <w:shd w:fill="auto" w:val="clear"/>
            <w:vAlign w:val="center"/>
          </w:tcPr>
          <w:p>
            <w:pPr>
              <w:pStyle w:val="TableContents"/>
              <w:spacing w:before="0" w:after="0"/>
              <w:rPr>
                <w:rFonts w:ascii="ARIAL" w:hAnsi="ARIAL"/>
                <w:sz w:val="19"/>
              </w:rPr>
            </w:pPr>
            <w:r>
              <w:rPr>
                <w:rFonts w:ascii="ARIAL" w:hAnsi="ARIAL"/>
                <w:sz w:val="19"/>
              </w:rPr>
              <w:t>Roper Technologies, Inc.</w:t>
            </w:r>
          </w:p>
        </w:tc>
        <w:tc>
          <w:tcPr>
            <w:tcW w:w="120"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rPr/>
            </w:pPr>
            <w:r>
              <w:rPr/>
              <w:t>Roper Technologies, Inc.</w:t>
            </w:r>
          </w:p>
        </w:tc>
      </w:tr>
      <w:tr>
        <w:trPr/>
        <w:tc>
          <w:tcPr>
            <w:tcW w:w="3350" w:type="dxa"/>
            <w:tcBorders/>
            <w:shd w:fill="auto" w:val="clear"/>
            <w:vAlign w:val="center"/>
          </w:tcPr>
          <w:p>
            <w:pPr>
              <w:pStyle w:val="TableContents"/>
              <w:spacing w:before="0" w:after="0"/>
              <w:rPr>
                <w:rFonts w:ascii="ARIAL" w:hAnsi="ARIAL"/>
                <w:sz w:val="19"/>
              </w:rPr>
            </w:pPr>
            <w:r>
              <w:rPr>
                <w:rFonts w:ascii="ARIAL" w:hAnsi="ARIAL"/>
                <w:sz w:val="19"/>
              </w:rPr>
              <w:t>6901 Professional Parkway, Suite 200</w:t>
            </w:r>
          </w:p>
        </w:tc>
        <w:tc>
          <w:tcPr>
            <w:tcW w:w="120"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rPr/>
            </w:pPr>
            <w:r>
              <w:rPr/>
              <w:t>6496 University Parkway</w:t>
            </w:r>
          </w:p>
        </w:tc>
      </w:tr>
      <w:tr>
        <w:trPr/>
        <w:tc>
          <w:tcPr>
            <w:tcW w:w="3350" w:type="dxa"/>
            <w:tcBorders/>
            <w:shd w:fill="auto" w:val="clear"/>
            <w:vAlign w:val="center"/>
          </w:tcPr>
          <w:p>
            <w:pPr>
              <w:pStyle w:val="TableContents"/>
              <w:spacing w:before="0" w:after="0"/>
              <w:rPr>
                <w:rFonts w:ascii="ARIAL" w:hAnsi="ARIAL"/>
                <w:sz w:val="19"/>
              </w:rPr>
            </w:pPr>
            <w:r>
              <w:rPr>
                <w:rFonts w:ascii="ARIAL" w:hAnsi="ARIAL"/>
                <w:sz w:val="19"/>
              </w:rPr>
              <w:t>Sarasota, Florida 34240</w:t>
            </w:r>
          </w:p>
        </w:tc>
        <w:tc>
          <w:tcPr>
            <w:tcW w:w="120"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rPr/>
            </w:pPr>
            <w:r>
              <w:rPr/>
              <w:t>Sarasota, Florida 34240</w:t>
            </w:r>
          </w:p>
        </w:tc>
      </w:tr>
      <w:tr>
        <w:trPr/>
        <w:tc>
          <w:tcPr>
            <w:tcW w:w="3350" w:type="dxa"/>
            <w:tcBorders/>
            <w:shd w:fill="auto" w:val="clear"/>
            <w:vAlign w:val="center"/>
          </w:tcPr>
          <w:p>
            <w:pPr>
              <w:pStyle w:val="TableContents"/>
              <w:spacing w:before="0" w:after="0"/>
              <w:rPr>
                <w:rFonts w:ascii="ARIAL" w:hAnsi="ARIAL"/>
                <w:sz w:val="19"/>
              </w:rPr>
            </w:pPr>
            <w:r>
              <w:rPr>
                <w:rFonts w:ascii="ARIAL" w:hAnsi="ARIAL"/>
                <w:sz w:val="19"/>
              </w:rPr>
              <w:t>Attention: Corporate Secretary</w:t>
            </w:r>
          </w:p>
        </w:tc>
        <w:tc>
          <w:tcPr>
            <w:tcW w:w="120"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rPr/>
            </w:pPr>
            <w:r>
              <w:rPr/>
              <w:t>Attention: Corporate Secretary</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b/>
                <w:sz w:val="19"/>
              </w:rPr>
              <w:t xml:space="preserve">Proxy Statement Proposals. </w:t>
            </w:r>
            <w:r>
              <w:rPr>
                <w:rFonts w:ascii="ARIAL" w:hAnsi="ARIAL"/>
                <w:sz w:val="19"/>
              </w:rPr>
              <w:t xml:space="preserve">If you intend to submit a proposal to be included in the Proxy Statement for the 2024 Annual Meeting of Shareholders, we must receive your proposal no later than December 30, 2023. All proposals must comply with the SEC regulations under Rule 14a-8 for including shareholder proposals in a company’s proxy material.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b/>
                <w:sz w:val="19"/>
              </w:rPr>
              <w:t>Director Candidate Nomination.</w:t>
            </w:r>
            <w:r>
              <w:rPr>
                <w:rFonts w:ascii="ARIAL" w:hAnsi="ARIAL"/>
                <w:sz w:val="19"/>
              </w:rPr>
              <w:t xml:space="preserve"> Our By-laws set forth the procedures you must follow if you wish to nominate a director candidate in connection with the 2024 Annual Meeting of Shareholders. </w:t>
            </w:r>
          </w:p>
        </w:tc>
      </w:tr>
    </w:tbl>
    <w:p>
      <w:pPr>
        <w:pStyle w:val="TextBody"/>
        <w:spacing w:before="120" w:after="0"/>
        <w:jc w:val="left"/>
        <w:rPr>
          <w:rFonts w:ascii="ARIAL" w:hAnsi="ARIAL"/>
          <w:sz w:val="19"/>
        </w:rPr>
      </w:pPr>
      <w:r>
        <w:rPr>
          <w:rFonts w:ascii="ARIAL" w:hAnsi="ARIAL"/>
          <w:i/>
          <w:sz w:val="19"/>
        </w:rPr>
        <w:t xml:space="preserve">Proxy Access to Include Nominees in our 2024 Proxy Statement. </w:t>
      </w:r>
      <w:r>
        <w:rPr>
          <w:rFonts w:ascii="ARIAL" w:hAnsi="ARIAL"/>
          <w:sz w:val="19"/>
        </w:rPr>
        <w:t xml:space="preserve">If you are a shareholder, or a group of up to 20 shareholders, owning 3% or more of our outstanding common stock continuously for at least three years and wish to nominate a director candidate and require us to include such nominee in our Proxy Statement and form of proxy, you must submit your request so it is received by the Company between November 30, 2023 and December 30, 2023, in accordance with our By-laws. The number of candidates that may be so nominated is limited to the greater of two or the largest whole number that does not exceed 20% of our Board, provided that the shareholder(s) and nominee(s) satisfy the requirements set forth in our By-laws. All proxy access nominations must be accompanied by information about the nominating shareholders as well as the nominees and meet the requirements specified in our By-laws, including the information specified under “Nominees Not for Inclusion in our 2024 Proxy Statement” below. </w:t>
      </w:r>
    </w:p>
    <w:p>
      <w:pPr>
        <w:pStyle w:val="TextBody"/>
        <w:spacing w:before="120" w:after="0"/>
        <w:jc w:val="left"/>
        <w:rPr>
          <w:rFonts w:ascii="ARIAL" w:hAnsi="ARIAL"/>
          <w:sz w:val="19"/>
        </w:rPr>
      </w:pPr>
      <w:r>
        <w:rPr>
          <w:rFonts w:ascii="ARIAL" w:hAnsi="ARIAL"/>
          <w:i/>
          <w:sz w:val="19"/>
        </w:rPr>
        <w:t xml:space="preserve">Nominees Not for Inclusion in our 2024 Proxy Statement. </w:t>
      </w:r>
      <w:r>
        <w:rPr>
          <w:rFonts w:ascii="ARIAL" w:hAnsi="ARIAL"/>
          <w:sz w:val="19"/>
        </w:rPr>
        <w:t>If you wish to nominate a director candidate in connection with the 2024 Annual Meeting of Shareholders and are not requiring that the nominee be included in our Proxy Statement, you must submit the nomination so it is received by the Company between February 14, 2024 and March 15, 2024, in accordance with our By-laws</w:t>
      </w:r>
      <w:r>
        <w:rPr>
          <w:rFonts w:ascii="ARIAL" w:hAnsi="ARIAL"/>
          <w:i/>
          <w:sz w:val="19"/>
        </w:rPr>
        <w:t xml:space="preserve">. </w:t>
      </w:r>
      <w:r>
        <w:rPr>
          <w:rFonts w:ascii="ARIAL" w:hAnsi="ARIAL"/>
          <w:sz w:val="19"/>
        </w:rPr>
        <w:t xml:space="preserve">The notice to nominate a person for election as a Company director must include a written statement setting forth (i) the name of the person to be nominated; (ii) the number and class of all shares of each class of Company stock owned of record and beneficially by such person, as reported by such person to you; (iii) such other information regarding each nominee proposed by you as would have been required to be included in a Proxy Statement filed pursuant to the proxy rules of the SEC if the nominee had been nominated by the Board of Directors; (iv) such person’s signed consent to serve as a director of our Company if elected; (v) your name and address; (vi) the number and class of all shares of each class of Company stock owned of record and beneficially by such shareholder (and any beneficial owner on whose behalf the nomination is made); and (vii) a description of any agreement, arrangement or understanding (including any derivative or short positions, profit interests, options, warrants, stock appreciation or similar rights, hedging transactions and borrowed or loaned shares) that has been entered into by or on 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Roper’s securities. </w:t>
      </w:r>
    </w:p>
    <w:p>
      <w:pPr>
        <w:pStyle w:val="TextBody"/>
        <w:spacing w:before="120" w:after="0"/>
        <w:jc w:val="left"/>
        <w:rPr>
          <w:rFonts w:ascii="ARIAL" w:hAnsi="ARIAL"/>
          <w:sz w:val="19"/>
        </w:rPr>
      </w:pPr>
      <w:r>
        <w:rPr>
          <w:rFonts w:ascii="ARIAL" w:hAnsi="ARIAL"/>
          <w:i/>
          <w:sz w:val="19"/>
        </w:rPr>
        <w:t>Universal Proxy Rules for Nominees.</w:t>
      </w:r>
      <w:r>
        <w:rPr>
          <w:rFonts w:ascii="ARIAL" w:hAnsi="ARIAL"/>
          <w:sz w:val="19"/>
        </w:rPr>
        <w:t xml:space="preserve"> For all nominees, whether included in our Proxy Statement or otherwise, in addition to satisfying the requirements under our By-laws, if a shareholder intends to comply with the SEC’s universal proxy rules and to solicit proxies in support of director nominees other than the Company nominees, the shareholder must provide notice that sets forth the information required by Rule 14a-19 under the Exchange Act, which notice must be postmarked or transmitted electronically to us at our principal executive office no later than 60 calendar days prior to the one-year anniversary date of the Annual Meeting (for the 2024 Annual Meeting of Shareholders, no later than April 14, 2024). </w:t>
      </w:r>
    </w:p>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275"/>
        <w:gridCol w:w="60"/>
        <w:gridCol w:w="240"/>
        <w:gridCol w:w="60"/>
        <w:gridCol w:w="255"/>
        <w:gridCol w:w="60"/>
        <w:gridCol w:w="5105"/>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b/>
                <w:color w:val="005CB9"/>
              </w:rPr>
            </w:pPr>
            <w:r>
              <w:rPr>
                <w:b/>
                <w:color w:val="005CB9"/>
              </w:rPr>
              <w:t>62</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7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17" descr=""/>
                          <pic:cNvPicPr>
                            <a:picLocks noChangeAspect="1" noChangeArrowheads="1"/>
                          </pic:cNvPicPr>
                        </pic:nvPicPr>
                        <pic:blipFill>
                          <a:blip r:embed="rId118"/>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sz w:val="19"/>
        </w:rPr>
      </w:pPr>
      <w:r>
        <w:rPr>
          <w:rFonts w:ascii="ARIAL" w:hAnsi="ARIAL"/>
          <w:sz w:val="19"/>
        </w:rPr>
        <w:t xml:space="preserve">If the date of the Annual Meeting is changed by more than 30 calendar days from such anniversary date, however, then the shareholder must provide notice by the later of 60 calendar days prior to the date of the 2024 Annual Meeting and the 10th calendar day following the date on which public announcement of the date of the 2024 Annual Meeting is first made.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9"/>
              </w:rPr>
            </w:pPr>
            <w:r>
              <w:rPr>
                <w:rFonts w:ascii="ARIAL" w:hAnsi="ARIAL"/>
                <w:b/>
                <w:sz w:val="19"/>
              </w:rPr>
              <w:t xml:space="preserve">Matters for Annual Meeting Agenda. </w:t>
            </w:r>
            <w:r>
              <w:rPr>
                <w:rFonts w:ascii="ARIAL" w:hAnsi="ARIAL"/>
                <w:sz w:val="19"/>
              </w:rPr>
              <w:t xml:space="preserve">If you wish to have other business (not the nomination of a director candidate) brought before the 2024 Annual Meeting of Shareholders, you must submit the proposal between February 14, 2024 and March 15, 2024, in accordance with our By-laws. If you intend to present the matter directly at the 2024 Annual Meeting of Shareholders, the notice must include (a) the text of the proposal; (b) a brief statement of the reasons why you favor the proposal; (c) your name and address; (d) the number and class of all shares of each class of Company stock owned of record and beneficially by you (and any beneficial owner on whose behalf the proposal is made); (e) a description of any agreement, arrangement or understanding (including any derivative or short positions, profit interests, options, warrants, stock appreciation or similar rights, hedging transactions and borrowed or loaned shares) that has been entered into by or on 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the Roper’s securities; and (f) if applicable, any material interest of you and such beneficial owner in the matter proposed (other than as a shareholder). </w:t>
            </w:r>
          </w:p>
        </w:tc>
      </w:tr>
    </w:tbl>
    <w:p>
      <w:pPr>
        <w:pStyle w:val="TextBody"/>
        <w:spacing w:before="120" w:after="0"/>
        <w:jc w:val="left"/>
        <w:rPr>
          <w:rFonts w:ascii="ARIAL" w:hAnsi="ARIAL"/>
          <w:sz w:val="19"/>
        </w:rPr>
      </w:pPr>
      <w:r>
        <w:rPr>
          <w:rFonts w:ascii="ARIAL" w:hAnsi="ARIAL"/>
          <w:sz w:val="19"/>
        </w:rPr>
        <w:t xml:space="preserve">With respect to matters not included in the Proxy Statement but properly presented at the 2024 Annual Meeting of Shareholders, management generally will be able to vote proxies in its discretion if it receives notice of the proposal during the period specified above and advises shareholders in the Proxy Statement for the 2024 Annual Meeting of Shareholders about the nature of the matter and how management intends to vote on the matter, unless the proponent of the shareholder proposal (a) provides us with a timely written statement that the proponent intends to deliver a Proxy Statement to at least the percentage of our voting shares required to carry the proposal; (b) includes the same statement in the proponent’s own proxy materials; and (c) provides us with a statement from a solicitor confirming that the necessary steps have been taken to deliver the Proxy Statement to at least the percentage of our voting shares required to carry the proposal. </w:t>
      </w:r>
    </w:p>
    <w:p>
      <w:pPr>
        <w:pStyle w:val="TextBody"/>
        <w:spacing w:before="480" w:after="0"/>
        <w:jc w:val="left"/>
        <w:rPr>
          <w:rFonts w:ascii="ARIAL" w:hAnsi="ARIAL"/>
          <w:color w:val="005CB9"/>
          <w:sz w:val="32"/>
        </w:rPr>
      </w:pPr>
      <w:bookmarkStart w:id="40" w:name="toc356364_37"/>
      <w:bookmarkEnd w:id="40"/>
      <w:r>
        <w:rPr>
          <w:rFonts w:ascii="ARIAL" w:hAnsi="ARIAL"/>
          <w:color w:val="005CB9"/>
          <w:sz w:val="32"/>
        </w:rPr>
        <w:t xml:space="preserve">OTHER MATTERS </w:t>
      </w:r>
    </w:p>
    <w:p>
      <w:pPr>
        <w:pStyle w:val="TextBody"/>
        <w:spacing w:before="360" w:after="0"/>
        <w:jc w:val="left"/>
        <w:rPr>
          <w:rFonts w:ascii="ARIAL" w:hAnsi="ARIAL"/>
          <w:sz w:val="19"/>
        </w:rPr>
      </w:pPr>
      <w:r>
        <w:rPr>
          <w:rFonts w:ascii="ARIAL" w:hAnsi="ARIAL"/>
          <w:sz w:val="19"/>
        </w:rPr>
        <w:t xml:space="preserve">As of the date of this Proxy Statement, the Board of Directors knows of no other business which will be or is intended to be presented at the Annual Meeting. </w:t>
      </w:r>
    </w:p>
    <w:p>
      <w:pPr>
        <w:pStyle w:val="TextBody"/>
        <w:spacing w:before="200" w:after="0"/>
        <w:jc w:val="left"/>
        <w:rPr>
          <w:rFonts w:ascii="ARIAL" w:hAnsi="ARIAL"/>
          <w:sz w:val="20"/>
        </w:rPr>
      </w:pPr>
      <w:r>
        <w:rPr>
          <w:rFonts w:ascii="ARIAL" w:hAnsi="ARIAL"/>
          <w:sz w:val="20"/>
        </w:rPr>
        <w:t xml:space="preserve">By the Order of the Board of Directors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168275" cy="38100"/>
            <wp:effectExtent l="0" t="0" r="0" b="0"/>
            <wp:docPr id="17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18" descr=""/>
                    <pic:cNvPicPr>
                      <a:picLocks noChangeAspect="1" noChangeArrowheads="1"/>
                    </pic:cNvPicPr>
                  </pic:nvPicPr>
                  <pic:blipFill>
                    <a:blip r:embed="rId119"/>
                    <a:stretch>
                      <a:fillRect/>
                    </a:stretch>
                  </pic:blipFill>
                  <pic:spPr bwMode="auto">
                    <a:xfrm>
                      <a:off x="0" y="0"/>
                      <a:ext cx="168275" cy="38100"/>
                    </a:xfrm>
                    <a:prstGeom prst="rect">
                      <a:avLst/>
                    </a:prstGeom>
                  </pic:spPr>
                </pic:pic>
              </a:graphicData>
            </a:graphic>
          </wp:inline>
        </w:drawing>
      </w:r>
      <w:r>
        <w:rPr/>
        <w:t xml:space="preserve"> </w:t>
      </w:r>
    </w:p>
    <w:p>
      <w:pPr>
        <w:pStyle w:val="TextBody"/>
        <w:spacing w:before="80" w:after="0"/>
        <w:jc w:val="left"/>
        <w:rPr>
          <w:rFonts w:ascii="ARIAL" w:hAnsi="ARIAL"/>
          <w:sz w:val="20"/>
        </w:rPr>
      </w:pPr>
      <w:r>
        <w:rPr>
          <w:rFonts w:ascii="ARIAL" w:hAnsi="ARIAL"/>
          <w:sz w:val="20"/>
        </w:rPr>
        <w:t xml:space="preserve">Amy Woods Brinkley </w:t>
      </w:r>
    </w:p>
    <w:p>
      <w:pPr>
        <w:pStyle w:val="TextBody"/>
        <w:spacing w:before="0" w:after="0"/>
        <w:jc w:val="left"/>
        <w:rPr>
          <w:rFonts w:ascii="ARIAL" w:hAnsi="ARIAL"/>
          <w:sz w:val="20"/>
        </w:rPr>
      </w:pPr>
      <w:r>
        <w:rPr>
          <w:rFonts w:ascii="ARIAL" w:hAnsi="ARIAL"/>
          <w:sz w:val="20"/>
        </w:rPr>
        <w:t xml:space="preserve">Chair of the Board of Directors </w:t>
      </w:r>
    </w:p>
    <w:p>
      <w:pPr>
        <w:pStyle w:val="TextBody"/>
        <w:spacing w:before="240" w:after="0"/>
        <w:jc w:val="left"/>
        <w:rPr>
          <w:rFonts w:ascii="ARIAL" w:hAnsi="ARIAL"/>
          <w:sz w:val="20"/>
        </w:rPr>
      </w:pPr>
      <w:r>
        <w:rPr>
          <w:rFonts w:ascii="ARIAL" w:hAnsi="ARIAL"/>
          <w:sz w:val="20"/>
        </w:rPr>
        <w:t xml:space="preserve">Dated: April 28, 2023 </w:t>
      </w:r>
    </w:p>
    <w:p>
      <w:pPr>
        <w:pStyle w:val="TextBody"/>
        <w:spacing w:before="0" w:after="0"/>
        <w:jc w:val="left"/>
        <w:rPr/>
      </w:pPr>
      <w:r>
        <w:rPr/>
        <w:t> </w:t>
      </w:r>
    </w:p>
    <w:tbl>
      <w:tblPr>
        <w:tblW w:w="619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7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19" descr=""/>
                          <pic:cNvPicPr>
                            <a:picLocks noChangeAspect="1" noChangeArrowheads="1"/>
                          </pic:cNvPicPr>
                        </pic:nvPicPr>
                        <pic:blipFill>
                          <a:blip r:embed="rId120"/>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color w:val="005CB9"/>
              </w:rPr>
            </w:pPr>
            <w:r>
              <w:rPr>
                <w:color w:val="005CB9"/>
              </w:rPr>
              <w:t> </w:t>
            </w:r>
            <w:r>
              <w:rPr>
                <w:b/>
                <w:color w:val="005CB9"/>
              </w:rPr>
              <w:t>63</w:t>
            </w:r>
          </w:p>
        </w:tc>
      </w:tr>
    </w:tbl>
    <w:p>
      <w:pPr>
        <w:pStyle w:val="HorizontalLine"/>
        <w:rPr/>
      </w:pPr>
      <w:r>
        <w:br w:type="page"/>
      </w:r>
      <w:r>
        <w:rPr/>
      </w:r>
    </w:p>
    <w:p>
      <w:pPr>
        <w:pStyle w:val="TextBody"/>
        <w:spacing w:before="0" w:after="0"/>
        <w:jc w:val="left"/>
        <w:rPr>
          <w:rFonts w:ascii="ARIAL" w:hAnsi="ARIAL"/>
          <w:color w:val="005CB9"/>
          <w:sz w:val="32"/>
        </w:rPr>
      </w:pPr>
      <w:bookmarkStart w:id="41" w:name="toc356364_38"/>
      <w:bookmarkEnd w:id="41"/>
      <w:r>
        <w:rPr>
          <w:rFonts w:ascii="ARIAL" w:hAnsi="ARIAL"/>
          <w:color w:val="005CB9"/>
          <w:sz w:val="32"/>
        </w:rPr>
        <w:t xml:space="preserve">APPENDIX A—RECONCILIATIONS </w:t>
      </w:r>
    </w:p>
    <w:p>
      <w:pPr>
        <w:pStyle w:val="TextBody"/>
        <w:spacing w:before="240" w:after="0"/>
        <w:jc w:val="left"/>
        <w:rPr>
          <w:rFonts w:ascii="ARIAL" w:hAnsi="ARIAL"/>
          <w:sz w:val="19"/>
        </w:rPr>
      </w:pPr>
      <w:r>
        <w:rPr>
          <w:rFonts w:ascii="ARIAL" w:hAnsi="ARIAL"/>
          <w:sz w:val="19"/>
        </w:rPr>
        <w:t xml:space="preserve">Table 1: 2022 EBITDA and EBITDA Margin Reconciliation ($M) </w:t>
      </w:r>
    </w:p>
    <w:p>
      <w:pPr>
        <w:pStyle w:val="TextBody"/>
        <w:spacing w:before="0" w:after="0"/>
        <w:jc w:val="left"/>
        <w:rPr>
          <w:rFonts w:ascii="ARIAL" w:hAnsi="ARIAL"/>
          <w:sz w:val="19"/>
        </w:rPr>
      </w:pPr>
      <w:r>
        <w:rPr>
          <w:rFonts w:ascii="ARIAL" w:hAnsi="ARIAL"/>
          <w:sz w:val="19"/>
        </w:rPr>
        <w:t xml:space="preserve">(From Continuing Operations) </w:t>
      </w:r>
    </w:p>
    <w:p>
      <w:pPr>
        <w:pStyle w:val="TextBody"/>
        <w:spacing w:before="0" w:after="0"/>
        <w:jc w:val="left"/>
        <w:rPr/>
      </w:pPr>
      <w:r>
        <w:rPr/>
        <w:t> </w:t>
      </w:r>
    </w:p>
    <w:tbl>
      <w:tblPr>
        <w:tblW w:w="9845" w:type="dxa"/>
        <w:jc w:val="left"/>
        <w:tblInd w:w="0" w:type="dxa"/>
        <w:tblCellMar>
          <w:top w:w="0" w:type="dxa"/>
          <w:left w:w="0" w:type="dxa"/>
          <w:bottom w:w="0" w:type="dxa"/>
          <w:right w:w="0" w:type="dxa"/>
        </w:tblCellMar>
      </w:tblPr>
      <w:tblGrid>
        <w:gridCol w:w="7700"/>
        <w:gridCol w:w="120"/>
        <w:gridCol w:w="140"/>
        <w:gridCol w:w="560"/>
        <w:gridCol w:w="275"/>
        <w:gridCol w:w="60"/>
        <w:gridCol w:w="140"/>
        <w:gridCol w:w="560"/>
        <w:gridCol w:w="290"/>
      </w:tblGrid>
      <w:tr>
        <w:trPr/>
        <w:tc>
          <w:tcPr>
            <w:tcW w:w="7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7700" w:type="dxa"/>
            <w:tcBorders/>
            <w:shd w:fill="auto" w:val="clear"/>
            <w:vAlign w:val="center"/>
          </w:tcPr>
          <w:p>
            <w:pPr>
              <w:pStyle w:val="TableContents"/>
              <w:spacing w:before="0" w:after="283"/>
              <w:rPr>
                <w:sz w:val="4"/>
                <w:szCs w:val="4"/>
              </w:rPr>
            </w:pPr>
            <w:r>
              <w:rPr>
                <w:sz w:val="4"/>
                <w:szCs w:val="4"/>
              </w:rPr>
            </w:r>
          </w:p>
        </w:tc>
        <w:tc>
          <w:tcPr>
            <w:tcW w:w="1095" w:type="dxa"/>
            <w:gridSpan w:val="4"/>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r>
      <w:tr>
        <w:trPr/>
        <w:tc>
          <w:tcPr>
            <w:tcW w:w="7700" w:type="dxa"/>
            <w:tcBorders/>
            <w:shd w:fill="auto" w:val="cle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27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29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7700" w:type="dxa"/>
            <w:tcBorders/>
            <w:shd w:fill="CCDEF1" w:val="clear"/>
            <w:vAlign w:val="center"/>
          </w:tcPr>
          <w:p>
            <w:pPr>
              <w:pStyle w:val="TableContents"/>
              <w:spacing w:before="0" w:after="283"/>
              <w:rPr>
                <w:sz w:val="4"/>
                <w:szCs w:val="4"/>
              </w:rPr>
            </w:pPr>
            <w:r>
              <w:rPr>
                <w:sz w:val="4"/>
                <w:szCs w:val="4"/>
              </w:rPr>
            </w:r>
          </w:p>
        </w:tc>
        <w:tc>
          <w:tcPr>
            <w:tcW w:w="1095" w:type="dxa"/>
            <w:gridSpan w:val="4"/>
            <w:tcBorders/>
            <w:shd w:fill="CCDEF1" w:val="clear"/>
            <w:vAlign w:val="center"/>
          </w:tcPr>
          <w:p>
            <w:pPr>
              <w:pStyle w:val="TableContents"/>
              <w:spacing w:before="0" w:after="283"/>
              <w:rPr>
                <w:sz w:val="4"/>
                <w:szCs w:val="4"/>
              </w:rPr>
            </w:pPr>
            <w:r>
              <w:rPr>
                <w:sz w:val="4"/>
                <w:szCs w:val="4"/>
              </w:rPr>
            </w:r>
          </w:p>
        </w:tc>
        <w:tc>
          <w:tcPr>
            <w:tcW w:w="1050" w:type="dxa"/>
            <w:gridSpan w:val="4"/>
            <w:tcBorders/>
            <w:shd w:fill="CCDEF1" w:val="clear"/>
            <w:vAlign w:val="center"/>
          </w:tcPr>
          <w:p>
            <w:pPr>
              <w:pStyle w:val="TableContents"/>
              <w:spacing w:before="0" w:after="283"/>
              <w:rPr>
                <w:sz w:val="4"/>
                <w:szCs w:val="4"/>
              </w:rPr>
            </w:pPr>
            <w:r>
              <w:rPr>
                <w:sz w:val="4"/>
                <w:szCs w:val="4"/>
              </w:rPr>
            </w:r>
          </w:p>
        </w:tc>
      </w:tr>
      <w:tr>
        <w:trPr/>
        <w:tc>
          <w:tcPr>
            <w:tcW w:w="7700" w:type="dxa"/>
            <w:tcBorders/>
            <w:shd w:fill="CCDEF1" w:val="clear"/>
            <w:vAlign w:val="center"/>
          </w:tcPr>
          <w:p>
            <w:pPr>
              <w:pStyle w:val="TableContents"/>
              <w:spacing w:before="0" w:after="0"/>
              <w:rPr>
                <w:rFonts w:ascii="ARIAL" w:hAnsi="ARIAL"/>
                <w:sz w:val="19"/>
              </w:rPr>
            </w:pPr>
            <w:r>
              <w:rPr>
                <w:rFonts w:ascii="ARIAL" w:hAnsi="ARIAL"/>
                <w:sz w:val="19"/>
              </w:rPr>
              <w:t>GAAP Revenue</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4,834</w:t>
            </w:r>
          </w:p>
        </w:tc>
        <w:tc>
          <w:tcPr>
            <w:tcW w:w="275"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5,372</w:t>
            </w:r>
          </w:p>
        </w:tc>
        <w:tc>
          <w:tcPr>
            <w:tcW w:w="290" w:type="dxa"/>
            <w:tcBorders/>
            <w:shd w:fill="CCDEF1" w:val="clear"/>
            <w:vAlign w:val="center"/>
          </w:tcPr>
          <w:p>
            <w:pPr>
              <w:pStyle w:val="TableContents"/>
              <w:spacing w:before="0" w:after="283"/>
              <w:rPr/>
            </w:pPr>
            <w:r>
              <w:rPr/>
              <w:t> </w:t>
            </w:r>
          </w:p>
        </w:tc>
      </w:tr>
      <w:tr>
        <w:trPr/>
        <w:tc>
          <w:tcPr>
            <w:tcW w:w="7700" w:type="dxa"/>
            <w:tcBorders/>
            <w:shd w:fill="auto" w:val="clear"/>
            <w:vAlign w:val="center"/>
          </w:tcPr>
          <w:p>
            <w:pPr>
              <w:pStyle w:val="TableContents"/>
              <w:spacing w:before="0" w:after="283"/>
              <w:rPr>
                <w:sz w:val="4"/>
                <w:szCs w:val="4"/>
              </w:rPr>
            </w:pPr>
            <w:r>
              <w:rPr>
                <w:sz w:val="4"/>
                <w:szCs w:val="4"/>
              </w:rPr>
            </w:r>
          </w:p>
        </w:tc>
        <w:tc>
          <w:tcPr>
            <w:tcW w:w="1095" w:type="dxa"/>
            <w:gridSpan w:val="4"/>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r>
      <w:tr>
        <w:trPr/>
        <w:tc>
          <w:tcPr>
            <w:tcW w:w="7700" w:type="dxa"/>
            <w:tcBorders/>
            <w:shd w:fill="auto" w:val="clear"/>
            <w:vAlign w:val="center"/>
          </w:tcPr>
          <w:p>
            <w:pPr>
              <w:pStyle w:val="TableContents"/>
              <w:spacing w:before="0" w:after="0"/>
              <w:rPr>
                <w:rFonts w:ascii="ARIAL" w:hAnsi="ARIAL"/>
                <w:sz w:val="19"/>
              </w:rPr>
            </w:pPr>
            <w:r>
              <w:rPr>
                <w:rFonts w:ascii="ARIAL" w:hAnsi="ARIAL"/>
                <w:sz w:val="19"/>
              </w:rPr>
              <w:t>Purchase accounting adjustment to acquired deferred revenue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7700" w:type="dxa"/>
            <w:tcBorders/>
            <w:shd w:fill="CCDEF1" w:val="clear"/>
            <w:vAlign w:val="center"/>
          </w:tcPr>
          <w:p>
            <w:pPr>
              <w:pStyle w:val="TableContents"/>
              <w:spacing w:before="0" w:after="283"/>
              <w:rPr>
                <w:sz w:val="4"/>
                <w:szCs w:val="4"/>
              </w:rPr>
            </w:pPr>
            <w:r>
              <w:rPr>
                <w:sz w:val="4"/>
                <w:szCs w:val="4"/>
              </w:rPr>
            </w:r>
          </w:p>
        </w:tc>
        <w:tc>
          <w:tcPr>
            <w:tcW w:w="1095" w:type="dxa"/>
            <w:gridSpan w:val="4"/>
            <w:tcBorders/>
            <w:shd w:fill="CCDEF1" w:val="clear"/>
            <w:vAlign w:val="center"/>
          </w:tcPr>
          <w:p>
            <w:pPr>
              <w:pStyle w:val="TableContents"/>
              <w:spacing w:before="0" w:after="283"/>
              <w:rPr>
                <w:sz w:val="4"/>
                <w:szCs w:val="4"/>
              </w:rPr>
            </w:pPr>
            <w:r>
              <w:rPr>
                <w:sz w:val="4"/>
                <w:szCs w:val="4"/>
              </w:rPr>
            </w:r>
          </w:p>
        </w:tc>
        <w:tc>
          <w:tcPr>
            <w:tcW w:w="1050" w:type="dxa"/>
            <w:gridSpan w:val="4"/>
            <w:tcBorders/>
            <w:shd w:fill="CCDEF1" w:val="clear"/>
            <w:vAlign w:val="center"/>
          </w:tcPr>
          <w:p>
            <w:pPr>
              <w:pStyle w:val="TableContents"/>
              <w:spacing w:before="0" w:after="283"/>
              <w:rPr>
                <w:sz w:val="4"/>
                <w:szCs w:val="4"/>
              </w:rPr>
            </w:pPr>
            <w:r>
              <w:rPr>
                <w:sz w:val="4"/>
                <w:szCs w:val="4"/>
              </w:rPr>
            </w:r>
          </w:p>
        </w:tc>
      </w:tr>
      <w:tr>
        <w:trPr/>
        <w:tc>
          <w:tcPr>
            <w:tcW w:w="7700" w:type="dxa"/>
            <w:tcBorders/>
            <w:shd w:fill="CCDEF1" w:val="clear"/>
            <w:vAlign w:val="center"/>
          </w:tcPr>
          <w:p>
            <w:pPr>
              <w:pStyle w:val="TableContents"/>
              <w:spacing w:before="0" w:after="0"/>
              <w:rPr>
                <w:rFonts w:ascii="ARIAL" w:hAnsi="ARIAL"/>
                <w:sz w:val="19"/>
              </w:rPr>
            </w:pPr>
            <w:r>
              <w:rPr>
                <w:rFonts w:ascii="ARIAL" w:hAnsi="ARIAL"/>
                <w:sz w:val="19"/>
              </w:rPr>
              <w:t>Adjusted Revenue (A)</w:t>
            </w:r>
          </w:p>
        </w:tc>
        <w:tc>
          <w:tcPr>
            <w:tcW w:w="120" w:type="dxa"/>
            <w:tcBorders>
              <w:bottom w:val="single" w:sz="8" w:space="0" w:color="000000"/>
            </w:tcBorders>
            <w:shd w:fill="CCDEF1" w:val="clear"/>
            <w:tcMar>
              <w:bottom w:w="28" w:type="dxa"/>
            </w:tcMar>
            <w:vAlign w:val="center"/>
          </w:tcPr>
          <w:p>
            <w:pPr>
              <w:pStyle w:val="TableContents"/>
              <w:spacing w:before="0" w:after="283"/>
              <w:rPr/>
            </w:pPr>
            <w:r>
              <w:rPr/>
              <w:t>  </w:t>
            </w:r>
          </w:p>
        </w:tc>
        <w:tc>
          <w:tcPr>
            <w:tcW w:w="140" w:type="dxa"/>
            <w:tcBorders>
              <w:bottom w:val="single" w:sz="8" w:space="0" w:color="000000"/>
            </w:tcBorders>
            <w:shd w:fill="CCDEF1" w:val="clear"/>
            <w:tcMar>
              <w:bottom w:w="60" w:type="dxa"/>
            </w:tcMar>
            <w:vAlign w:val="center"/>
          </w:tcPr>
          <w:p>
            <w:pPr>
              <w:pStyle w:val="TableContents"/>
              <w:spacing w:before="0" w:after="283"/>
              <w:rPr/>
            </w:pPr>
            <w:r>
              <w:rPr/>
              <w:t>$</w:t>
            </w:r>
          </w:p>
        </w:tc>
        <w:tc>
          <w:tcPr>
            <w:tcW w:w="560" w:type="dxa"/>
            <w:tcBorders>
              <w:bottom w:val="single" w:sz="8" w:space="0" w:color="000000"/>
            </w:tcBorders>
            <w:shd w:fill="CCDEF1" w:val="clear"/>
            <w:tcMar>
              <w:bottom w:w="60" w:type="dxa"/>
            </w:tcMar>
            <w:vAlign w:val="center"/>
          </w:tcPr>
          <w:p>
            <w:pPr>
              <w:pStyle w:val="TableContents"/>
              <w:spacing w:before="0" w:after="283"/>
              <w:jc w:val="right"/>
              <w:rPr/>
            </w:pPr>
            <w:r>
              <w:rPr/>
              <w:t>4,835</w:t>
            </w:r>
          </w:p>
        </w:tc>
        <w:tc>
          <w:tcPr>
            <w:tcW w:w="275" w:type="dxa"/>
            <w:tcBorders>
              <w:bottom w:val="single" w:sz="8" w:space="0" w:color="000000"/>
            </w:tcBorders>
            <w:shd w:fill="CCDEF1" w:val="clear"/>
            <w:tcMar>
              <w:bottom w:w="60" w:type="dxa"/>
            </w:tcMar>
            <w:vAlign w:val="center"/>
          </w:tcPr>
          <w:p>
            <w:pPr>
              <w:pStyle w:val="TableContents"/>
              <w:spacing w:before="0" w:after="283"/>
              <w:rPr/>
            </w:pPr>
            <w:r>
              <w:rPr/>
              <w:t> </w:t>
            </w:r>
          </w:p>
        </w:tc>
        <w:tc>
          <w:tcPr>
            <w:tcW w:w="60" w:type="dxa"/>
            <w:tcBorders>
              <w:bottom w:val="single" w:sz="8" w:space="0" w:color="000000"/>
            </w:tcBorders>
            <w:shd w:fill="CCDEF1" w:val="clear"/>
            <w:tcMar>
              <w:bottom w:w="28" w:type="dxa"/>
            </w:tcMar>
            <w:vAlign w:val="center"/>
          </w:tcPr>
          <w:p>
            <w:pPr>
              <w:pStyle w:val="TableContents"/>
              <w:spacing w:before="0" w:after="283"/>
              <w:rPr/>
            </w:pPr>
            <w:r>
              <w:rPr/>
              <w:t> </w:t>
            </w:r>
          </w:p>
        </w:tc>
        <w:tc>
          <w:tcPr>
            <w:tcW w:w="140" w:type="dxa"/>
            <w:tcBorders>
              <w:bottom w:val="single" w:sz="8" w:space="0" w:color="000000"/>
            </w:tcBorders>
            <w:shd w:fill="CCDEF1" w:val="clear"/>
            <w:tcMar>
              <w:bottom w:w="60" w:type="dxa"/>
            </w:tcMar>
            <w:vAlign w:val="center"/>
          </w:tcPr>
          <w:p>
            <w:pPr>
              <w:pStyle w:val="TableContents"/>
              <w:spacing w:before="0" w:after="283"/>
              <w:rPr/>
            </w:pPr>
            <w:r>
              <w:rPr/>
              <w:t>$</w:t>
            </w:r>
          </w:p>
        </w:tc>
        <w:tc>
          <w:tcPr>
            <w:tcW w:w="560" w:type="dxa"/>
            <w:tcBorders>
              <w:bottom w:val="single" w:sz="8" w:space="0" w:color="000000"/>
            </w:tcBorders>
            <w:shd w:fill="CCDEF1" w:val="clear"/>
            <w:tcMar>
              <w:bottom w:w="60" w:type="dxa"/>
            </w:tcMar>
            <w:vAlign w:val="center"/>
          </w:tcPr>
          <w:p>
            <w:pPr>
              <w:pStyle w:val="TableContents"/>
              <w:spacing w:before="0" w:after="283"/>
              <w:jc w:val="right"/>
              <w:rPr/>
            </w:pPr>
            <w:r>
              <w:rPr/>
              <w:t>5,372</w:t>
            </w:r>
          </w:p>
        </w:tc>
        <w:tc>
          <w:tcPr>
            <w:tcW w:w="290" w:type="dxa"/>
            <w:tcBorders>
              <w:bottom w:val="single" w:sz="8" w:space="0" w:color="000000"/>
            </w:tcBorders>
            <w:shd w:fill="CCDEF1" w:val="clear"/>
            <w:tcMar>
              <w:bottom w:w="60" w:type="dxa"/>
            </w:tcMar>
            <w:vAlign w:val="center"/>
          </w:tcPr>
          <w:p>
            <w:pPr>
              <w:pStyle w:val="TableContents"/>
              <w:spacing w:before="0" w:after="283"/>
              <w:rPr/>
            </w:pPr>
            <w:r>
              <w:rPr/>
              <w:t> </w:t>
            </w:r>
          </w:p>
        </w:tc>
      </w:tr>
      <w:tr>
        <w:trPr/>
        <w:tc>
          <w:tcPr>
            <w:tcW w:w="7700" w:type="dxa"/>
            <w:tcBorders/>
            <w:shd w:fill="auto" w:val="clear"/>
            <w:vAlign w:val="center"/>
          </w:tcPr>
          <w:p>
            <w:pPr>
              <w:pStyle w:val="TableContents"/>
              <w:spacing w:before="0" w:after="283"/>
              <w:rPr>
                <w:sz w:val="4"/>
                <w:szCs w:val="4"/>
              </w:rPr>
            </w:pPr>
            <w:r>
              <w:rPr>
                <w:sz w:val="4"/>
                <w:szCs w:val="4"/>
              </w:rPr>
            </w:r>
          </w:p>
        </w:tc>
        <w:tc>
          <w:tcPr>
            <w:tcW w:w="1095" w:type="dxa"/>
            <w:gridSpan w:val="4"/>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r>
      <w:tr>
        <w:trPr/>
        <w:tc>
          <w:tcPr>
            <w:tcW w:w="7700" w:type="dxa"/>
            <w:tcBorders/>
            <w:shd w:fill="auto" w:val="clear"/>
            <w:vAlign w:val="center"/>
          </w:tcPr>
          <w:p>
            <w:pPr>
              <w:pStyle w:val="TableContents"/>
              <w:spacing w:before="0" w:after="0"/>
              <w:rPr>
                <w:rFonts w:ascii="ARIAL" w:hAnsi="ARIAL"/>
                <w:sz w:val="19"/>
              </w:rPr>
            </w:pPr>
            <w:r>
              <w:rPr>
                <w:rFonts w:ascii="ARIAL" w:hAnsi="ARIAL"/>
                <w:sz w:val="19"/>
              </w:rPr>
              <w:t>GAAP Net Earnings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805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986</w:t>
            </w:r>
          </w:p>
        </w:tc>
        <w:tc>
          <w:tcPr>
            <w:tcW w:w="290" w:type="dxa"/>
            <w:tcBorders/>
            <w:shd w:fill="auto" w:val="clear"/>
            <w:vAlign w:val="center"/>
          </w:tcPr>
          <w:p>
            <w:pPr>
              <w:pStyle w:val="TableContents"/>
              <w:spacing w:before="0" w:after="283"/>
              <w:rPr/>
            </w:pPr>
            <w:r>
              <w:rPr/>
              <w:t> </w:t>
            </w:r>
          </w:p>
        </w:tc>
      </w:tr>
      <w:tr>
        <w:trPr/>
        <w:tc>
          <w:tcPr>
            <w:tcW w:w="7700" w:type="dxa"/>
            <w:tcBorders/>
            <w:shd w:fill="CCDEF1" w:val="clear"/>
            <w:vAlign w:val="center"/>
          </w:tcPr>
          <w:p>
            <w:pPr>
              <w:pStyle w:val="TableContents"/>
              <w:spacing w:before="0" w:after="283"/>
              <w:rPr>
                <w:sz w:val="4"/>
                <w:szCs w:val="4"/>
              </w:rPr>
            </w:pPr>
            <w:r>
              <w:rPr>
                <w:sz w:val="4"/>
                <w:szCs w:val="4"/>
              </w:rPr>
            </w:r>
          </w:p>
        </w:tc>
        <w:tc>
          <w:tcPr>
            <w:tcW w:w="1095" w:type="dxa"/>
            <w:gridSpan w:val="4"/>
            <w:tcBorders/>
            <w:shd w:fill="CCDEF1" w:val="clear"/>
            <w:vAlign w:val="center"/>
          </w:tcPr>
          <w:p>
            <w:pPr>
              <w:pStyle w:val="TableContents"/>
              <w:spacing w:before="0" w:after="283"/>
              <w:rPr>
                <w:sz w:val="4"/>
                <w:szCs w:val="4"/>
              </w:rPr>
            </w:pPr>
            <w:r>
              <w:rPr>
                <w:sz w:val="4"/>
                <w:szCs w:val="4"/>
              </w:rPr>
            </w:r>
          </w:p>
        </w:tc>
        <w:tc>
          <w:tcPr>
            <w:tcW w:w="1050" w:type="dxa"/>
            <w:gridSpan w:val="4"/>
            <w:tcBorders/>
            <w:shd w:fill="CCDEF1" w:val="clear"/>
            <w:vAlign w:val="center"/>
          </w:tcPr>
          <w:p>
            <w:pPr>
              <w:pStyle w:val="TableContents"/>
              <w:spacing w:before="0" w:after="283"/>
              <w:rPr>
                <w:sz w:val="4"/>
                <w:szCs w:val="4"/>
              </w:rPr>
            </w:pPr>
            <w:r>
              <w:rPr>
                <w:sz w:val="4"/>
                <w:szCs w:val="4"/>
              </w:rPr>
            </w:r>
          </w:p>
        </w:tc>
      </w:tr>
      <w:tr>
        <w:trPr/>
        <w:tc>
          <w:tcPr>
            <w:tcW w:w="7700" w:type="dxa"/>
            <w:tcBorders/>
            <w:shd w:fill="CCDEF1" w:val="clear"/>
            <w:vAlign w:val="center"/>
          </w:tcPr>
          <w:p>
            <w:pPr>
              <w:pStyle w:val="TableContents"/>
              <w:spacing w:before="0" w:after="0"/>
              <w:rPr>
                <w:rFonts w:ascii="ARIAL" w:hAnsi="ARIAL"/>
                <w:sz w:val="19"/>
              </w:rPr>
            </w:pPr>
            <w:r>
              <w:rPr>
                <w:rFonts w:ascii="ARIAL" w:hAnsi="ARIAL"/>
                <w:sz w:val="19"/>
              </w:rPr>
              <w:t>Taxes</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560" w:type="dxa"/>
            <w:tcBorders/>
            <w:shd w:fill="CCDEF1" w:val="clear"/>
            <w:vAlign w:val="center"/>
          </w:tcPr>
          <w:p>
            <w:pPr>
              <w:pStyle w:val="TableContents"/>
              <w:spacing w:before="0" w:after="283"/>
              <w:jc w:val="right"/>
              <w:rPr/>
            </w:pPr>
            <w:r>
              <w:rPr/>
              <w:t>227</w:t>
            </w:r>
          </w:p>
        </w:tc>
        <w:tc>
          <w:tcPr>
            <w:tcW w:w="275"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560" w:type="dxa"/>
            <w:tcBorders/>
            <w:shd w:fill="CCDEF1" w:val="clear"/>
            <w:vAlign w:val="center"/>
          </w:tcPr>
          <w:p>
            <w:pPr>
              <w:pStyle w:val="TableContents"/>
              <w:spacing w:before="0" w:after="283"/>
              <w:jc w:val="right"/>
              <w:rPr/>
            </w:pPr>
            <w:r>
              <w:rPr/>
              <w:t>296</w:t>
            </w:r>
          </w:p>
        </w:tc>
        <w:tc>
          <w:tcPr>
            <w:tcW w:w="290" w:type="dxa"/>
            <w:tcBorders/>
            <w:shd w:fill="CCDEF1" w:val="clear"/>
            <w:vAlign w:val="center"/>
          </w:tcPr>
          <w:p>
            <w:pPr>
              <w:pStyle w:val="TableContents"/>
              <w:spacing w:before="0" w:after="283"/>
              <w:rPr/>
            </w:pPr>
            <w:r>
              <w:rPr/>
              <w:t> </w:t>
            </w:r>
          </w:p>
        </w:tc>
      </w:tr>
      <w:tr>
        <w:trPr/>
        <w:tc>
          <w:tcPr>
            <w:tcW w:w="7700" w:type="dxa"/>
            <w:tcBorders/>
            <w:shd w:fill="auto" w:val="clear"/>
            <w:vAlign w:val="center"/>
          </w:tcPr>
          <w:p>
            <w:pPr>
              <w:pStyle w:val="TableContents"/>
              <w:spacing w:before="0" w:after="283"/>
              <w:rPr>
                <w:sz w:val="4"/>
                <w:szCs w:val="4"/>
              </w:rPr>
            </w:pPr>
            <w:r>
              <w:rPr>
                <w:sz w:val="4"/>
                <w:szCs w:val="4"/>
              </w:rPr>
            </w:r>
          </w:p>
        </w:tc>
        <w:tc>
          <w:tcPr>
            <w:tcW w:w="1095" w:type="dxa"/>
            <w:gridSpan w:val="4"/>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r>
      <w:tr>
        <w:trPr/>
        <w:tc>
          <w:tcPr>
            <w:tcW w:w="7700" w:type="dxa"/>
            <w:tcBorders/>
            <w:shd w:fill="auto" w:val="clear"/>
            <w:vAlign w:val="center"/>
          </w:tcPr>
          <w:p>
            <w:pPr>
              <w:pStyle w:val="TableContents"/>
              <w:spacing w:before="0" w:after="0"/>
              <w:rPr>
                <w:rFonts w:ascii="ARIAL" w:hAnsi="ARIAL"/>
                <w:sz w:val="19"/>
              </w:rPr>
            </w:pPr>
            <w:r>
              <w:rPr>
                <w:rFonts w:ascii="ARIAL" w:hAnsi="ARIAL"/>
                <w:sz w:val="19"/>
              </w:rPr>
              <w:t>Interest Expense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234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192</w:t>
            </w:r>
          </w:p>
        </w:tc>
        <w:tc>
          <w:tcPr>
            <w:tcW w:w="290" w:type="dxa"/>
            <w:tcBorders/>
            <w:shd w:fill="auto" w:val="clear"/>
            <w:vAlign w:val="center"/>
          </w:tcPr>
          <w:p>
            <w:pPr>
              <w:pStyle w:val="TableContents"/>
              <w:spacing w:before="0" w:after="283"/>
              <w:rPr/>
            </w:pPr>
            <w:r>
              <w:rPr/>
              <w:t> </w:t>
            </w:r>
          </w:p>
        </w:tc>
      </w:tr>
      <w:tr>
        <w:trPr/>
        <w:tc>
          <w:tcPr>
            <w:tcW w:w="7700" w:type="dxa"/>
            <w:tcBorders/>
            <w:shd w:fill="CCDEF1" w:val="clear"/>
            <w:vAlign w:val="center"/>
          </w:tcPr>
          <w:p>
            <w:pPr>
              <w:pStyle w:val="TableContents"/>
              <w:spacing w:before="0" w:after="283"/>
              <w:rPr>
                <w:sz w:val="4"/>
                <w:szCs w:val="4"/>
              </w:rPr>
            </w:pPr>
            <w:r>
              <w:rPr>
                <w:sz w:val="4"/>
                <w:szCs w:val="4"/>
              </w:rPr>
            </w:r>
          </w:p>
        </w:tc>
        <w:tc>
          <w:tcPr>
            <w:tcW w:w="1095" w:type="dxa"/>
            <w:gridSpan w:val="4"/>
            <w:tcBorders/>
            <w:shd w:fill="CCDEF1" w:val="clear"/>
            <w:vAlign w:val="center"/>
          </w:tcPr>
          <w:p>
            <w:pPr>
              <w:pStyle w:val="TableContents"/>
              <w:spacing w:before="0" w:after="283"/>
              <w:rPr>
                <w:sz w:val="4"/>
                <w:szCs w:val="4"/>
              </w:rPr>
            </w:pPr>
            <w:r>
              <w:rPr>
                <w:sz w:val="4"/>
                <w:szCs w:val="4"/>
              </w:rPr>
            </w:r>
          </w:p>
        </w:tc>
        <w:tc>
          <w:tcPr>
            <w:tcW w:w="1050" w:type="dxa"/>
            <w:gridSpan w:val="4"/>
            <w:tcBorders/>
            <w:shd w:fill="CCDEF1" w:val="clear"/>
            <w:vAlign w:val="center"/>
          </w:tcPr>
          <w:p>
            <w:pPr>
              <w:pStyle w:val="TableContents"/>
              <w:spacing w:before="0" w:after="283"/>
              <w:rPr>
                <w:sz w:val="4"/>
                <w:szCs w:val="4"/>
              </w:rPr>
            </w:pPr>
            <w:r>
              <w:rPr>
                <w:sz w:val="4"/>
                <w:szCs w:val="4"/>
              </w:rPr>
            </w:r>
          </w:p>
        </w:tc>
      </w:tr>
      <w:tr>
        <w:trPr/>
        <w:tc>
          <w:tcPr>
            <w:tcW w:w="7700" w:type="dxa"/>
            <w:tcBorders/>
            <w:shd w:fill="CCDEF1" w:val="clear"/>
            <w:vAlign w:val="center"/>
          </w:tcPr>
          <w:p>
            <w:pPr>
              <w:pStyle w:val="TableContents"/>
              <w:spacing w:before="0" w:after="0"/>
              <w:rPr>
                <w:rFonts w:ascii="ARIAL" w:hAnsi="ARIAL"/>
                <w:sz w:val="19"/>
              </w:rPr>
            </w:pPr>
            <w:r>
              <w:rPr>
                <w:rFonts w:ascii="ARIAL" w:hAnsi="ARIAL"/>
                <w:sz w:val="19"/>
              </w:rPr>
              <w:t>Depreciation</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560" w:type="dxa"/>
            <w:tcBorders/>
            <w:shd w:fill="CCDEF1" w:val="clear"/>
            <w:vAlign w:val="center"/>
          </w:tcPr>
          <w:p>
            <w:pPr>
              <w:pStyle w:val="TableContents"/>
              <w:spacing w:before="0" w:after="283"/>
              <w:jc w:val="right"/>
              <w:rPr/>
            </w:pPr>
            <w:r>
              <w:rPr/>
              <w:t>44</w:t>
            </w:r>
          </w:p>
        </w:tc>
        <w:tc>
          <w:tcPr>
            <w:tcW w:w="275"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560" w:type="dxa"/>
            <w:tcBorders/>
            <w:shd w:fill="CCDEF1" w:val="clear"/>
            <w:vAlign w:val="center"/>
          </w:tcPr>
          <w:p>
            <w:pPr>
              <w:pStyle w:val="TableContents"/>
              <w:spacing w:before="0" w:after="283"/>
              <w:jc w:val="right"/>
              <w:rPr/>
            </w:pPr>
            <w:r>
              <w:rPr/>
              <w:t>37</w:t>
            </w:r>
          </w:p>
        </w:tc>
        <w:tc>
          <w:tcPr>
            <w:tcW w:w="290" w:type="dxa"/>
            <w:tcBorders/>
            <w:shd w:fill="CCDEF1" w:val="clear"/>
            <w:vAlign w:val="center"/>
          </w:tcPr>
          <w:p>
            <w:pPr>
              <w:pStyle w:val="TableContents"/>
              <w:spacing w:before="0" w:after="283"/>
              <w:rPr/>
            </w:pPr>
            <w:r>
              <w:rPr/>
              <w:t> </w:t>
            </w:r>
          </w:p>
        </w:tc>
      </w:tr>
      <w:tr>
        <w:trPr/>
        <w:tc>
          <w:tcPr>
            <w:tcW w:w="7700" w:type="dxa"/>
            <w:tcBorders/>
            <w:shd w:fill="auto" w:val="clear"/>
            <w:vAlign w:val="center"/>
          </w:tcPr>
          <w:p>
            <w:pPr>
              <w:pStyle w:val="TableContents"/>
              <w:spacing w:before="0" w:after="283"/>
              <w:rPr>
                <w:sz w:val="4"/>
                <w:szCs w:val="4"/>
              </w:rPr>
            </w:pPr>
            <w:r>
              <w:rPr>
                <w:sz w:val="4"/>
                <w:szCs w:val="4"/>
              </w:rPr>
            </w:r>
          </w:p>
        </w:tc>
        <w:tc>
          <w:tcPr>
            <w:tcW w:w="1095" w:type="dxa"/>
            <w:gridSpan w:val="4"/>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r>
      <w:tr>
        <w:trPr/>
        <w:tc>
          <w:tcPr>
            <w:tcW w:w="7700" w:type="dxa"/>
            <w:tcBorders/>
            <w:shd w:fill="auto" w:val="clear"/>
            <w:vAlign w:val="center"/>
          </w:tcPr>
          <w:p>
            <w:pPr>
              <w:pStyle w:val="TableContents"/>
              <w:spacing w:before="0" w:after="0"/>
              <w:rPr>
                <w:rFonts w:ascii="ARIAL" w:hAnsi="ARIAL"/>
                <w:sz w:val="19"/>
              </w:rPr>
            </w:pPr>
            <w:r>
              <w:rPr>
                <w:rFonts w:ascii="ARIAL" w:hAnsi="ARIAL"/>
                <w:sz w:val="19"/>
              </w:rPr>
              <w:t>Amortization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572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613</w:t>
            </w:r>
          </w:p>
        </w:tc>
        <w:tc>
          <w:tcPr>
            <w:tcW w:w="290" w:type="dxa"/>
            <w:tcBorders/>
            <w:shd w:fill="auto" w:val="clear"/>
            <w:vAlign w:val="center"/>
          </w:tcPr>
          <w:p>
            <w:pPr>
              <w:pStyle w:val="TableContents"/>
              <w:spacing w:before="0" w:after="283"/>
              <w:rPr/>
            </w:pPr>
            <w:r>
              <w:rPr/>
              <w:t> </w:t>
            </w:r>
          </w:p>
        </w:tc>
      </w:tr>
      <w:tr>
        <w:trPr/>
        <w:tc>
          <w:tcPr>
            <w:tcW w:w="7700" w:type="dxa"/>
            <w:tcBorders/>
            <w:shd w:fill="CCDEF1" w:val="clear"/>
            <w:vAlign w:val="center"/>
          </w:tcPr>
          <w:p>
            <w:pPr>
              <w:pStyle w:val="TableContents"/>
              <w:spacing w:before="0" w:after="283"/>
              <w:rPr>
                <w:sz w:val="4"/>
                <w:szCs w:val="4"/>
              </w:rPr>
            </w:pPr>
            <w:r>
              <w:rPr>
                <w:sz w:val="4"/>
                <w:szCs w:val="4"/>
              </w:rPr>
            </w:r>
          </w:p>
        </w:tc>
        <w:tc>
          <w:tcPr>
            <w:tcW w:w="1095" w:type="dxa"/>
            <w:gridSpan w:val="4"/>
            <w:tcBorders/>
            <w:shd w:fill="CCDEF1" w:val="clear"/>
            <w:vAlign w:val="center"/>
          </w:tcPr>
          <w:p>
            <w:pPr>
              <w:pStyle w:val="TableContents"/>
              <w:spacing w:before="0" w:after="283"/>
              <w:rPr>
                <w:sz w:val="4"/>
                <w:szCs w:val="4"/>
              </w:rPr>
            </w:pPr>
            <w:r>
              <w:rPr>
                <w:sz w:val="4"/>
                <w:szCs w:val="4"/>
              </w:rPr>
            </w:r>
          </w:p>
        </w:tc>
        <w:tc>
          <w:tcPr>
            <w:tcW w:w="1050" w:type="dxa"/>
            <w:gridSpan w:val="4"/>
            <w:tcBorders/>
            <w:shd w:fill="CCDEF1" w:val="clear"/>
            <w:vAlign w:val="center"/>
          </w:tcPr>
          <w:p>
            <w:pPr>
              <w:pStyle w:val="TableContents"/>
              <w:spacing w:before="0" w:after="283"/>
              <w:rPr>
                <w:sz w:val="4"/>
                <w:szCs w:val="4"/>
              </w:rPr>
            </w:pPr>
            <w:r>
              <w:rPr>
                <w:sz w:val="4"/>
                <w:szCs w:val="4"/>
              </w:rPr>
            </w:r>
          </w:p>
        </w:tc>
      </w:tr>
      <w:tr>
        <w:trPr/>
        <w:tc>
          <w:tcPr>
            <w:tcW w:w="7700" w:type="dxa"/>
            <w:tcBorders/>
            <w:shd w:fill="CCDEF1" w:val="clear"/>
            <w:vAlign w:val="center"/>
          </w:tcPr>
          <w:p>
            <w:pPr>
              <w:pStyle w:val="TableContents"/>
              <w:spacing w:before="0" w:after="0"/>
              <w:rPr>
                <w:rFonts w:ascii="ARIAL" w:hAnsi="ARIAL"/>
                <w:sz w:val="19"/>
              </w:rPr>
            </w:pPr>
            <w:r>
              <w:rPr>
                <w:rFonts w:ascii="ARIAL" w:hAnsi="ARIAL"/>
                <w:sz w:val="19"/>
              </w:rPr>
              <w:t>Purchase accounting adjustment to acquired deferred revenue and commission expense</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560" w:type="dxa"/>
            <w:tcBorders/>
            <w:shd w:fill="CCDEF1" w:val="clear"/>
            <w:vAlign w:val="center"/>
          </w:tcPr>
          <w:p>
            <w:pPr>
              <w:pStyle w:val="TableContents"/>
              <w:spacing w:before="0" w:after="283"/>
              <w:jc w:val="right"/>
              <w:rPr/>
            </w:pPr>
            <w:r>
              <w:rPr/>
              <w:t>(5</w:t>
            </w:r>
          </w:p>
        </w:tc>
        <w:tc>
          <w:tcPr>
            <w:tcW w:w="275"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560" w:type="dxa"/>
            <w:tcBorders/>
            <w:shd w:fill="CCDEF1" w:val="clear"/>
            <w:vAlign w:val="center"/>
          </w:tcPr>
          <w:p>
            <w:pPr>
              <w:pStyle w:val="TableContents"/>
              <w:spacing w:before="0" w:after="283"/>
              <w:jc w:val="right"/>
              <w:rPr/>
            </w:pPr>
            <w:r>
              <w:rPr/>
              <w:t>(5</w:t>
            </w:r>
          </w:p>
        </w:tc>
        <w:tc>
          <w:tcPr>
            <w:tcW w:w="290" w:type="dxa"/>
            <w:tcBorders/>
            <w:shd w:fill="CCDEF1" w:val="clear"/>
            <w:vAlign w:val="center"/>
          </w:tcPr>
          <w:p>
            <w:pPr>
              <w:pStyle w:val="TableContents"/>
              <w:spacing w:before="0" w:after="283"/>
              <w:rPr/>
            </w:pPr>
            <w:r>
              <w:rPr/>
              <w:t>) </w:t>
            </w:r>
          </w:p>
        </w:tc>
      </w:tr>
      <w:tr>
        <w:trPr/>
        <w:tc>
          <w:tcPr>
            <w:tcW w:w="7700" w:type="dxa"/>
            <w:tcBorders/>
            <w:shd w:fill="auto" w:val="clear"/>
            <w:vAlign w:val="center"/>
          </w:tcPr>
          <w:p>
            <w:pPr>
              <w:pStyle w:val="TableContents"/>
              <w:spacing w:before="0" w:after="283"/>
              <w:rPr>
                <w:sz w:val="4"/>
                <w:szCs w:val="4"/>
              </w:rPr>
            </w:pPr>
            <w:r>
              <w:rPr>
                <w:sz w:val="4"/>
                <w:szCs w:val="4"/>
              </w:rPr>
            </w:r>
          </w:p>
        </w:tc>
        <w:tc>
          <w:tcPr>
            <w:tcW w:w="1095" w:type="dxa"/>
            <w:gridSpan w:val="4"/>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r>
      <w:tr>
        <w:trPr/>
        <w:tc>
          <w:tcPr>
            <w:tcW w:w="7700" w:type="dxa"/>
            <w:tcBorders/>
            <w:shd w:fill="auto" w:val="clear"/>
            <w:vAlign w:val="center"/>
          </w:tcPr>
          <w:p>
            <w:pPr>
              <w:pStyle w:val="TableContents"/>
              <w:spacing w:before="0" w:after="0"/>
              <w:rPr>
                <w:rFonts w:ascii="ARIAL" w:hAnsi="ARIAL"/>
                <w:sz w:val="19"/>
              </w:rPr>
            </w:pPr>
            <w:r>
              <w:rPr>
                <w:rFonts w:ascii="ARIAL" w:hAnsi="ARIAL"/>
                <w:sz w:val="19"/>
              </w:rPr>
              <w:t>Impairment charge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7700" w:type="dxa"/>
            <w:tcBorders/>
            <w:shd w:fill="CCDEF1" w:val="clear"/>
            <w:vAlign w:val="center"/>
          </w:tcPr>
          <w:p>
            <w:pPr>
              <w:pStyle w:val="TableContents"/>
              <w:spacing w:before="0" w:after="283"/>
              <w:rPr>
                <w:sz w:val="4"/>
                <w:szCs w:val="4"/>
              </w:rPr>
            </w:pPr>
            <w:r>
              <w:rPr>
                <w:sz w:val="4"/>
                <w:szCs w:val="4"/>
              </w:rPr>
            </w:r>
          </w:p>
        </w:tc>
        <w:tc>
          <w:tcPr>
            <w:tcW w:w="1095" w:type="dxa"/>
            <w:gridSpan w:val="4"/>
            <w:tcBorders/>
            <w:shd w:fill="CCDEF1" w:val="clear"/>
            <w:vAlign w:val="center"/>
          </w:tcPr>
          <w:p>
            <w:pPr>
              <w:pStyle w:val="TableContents"/>
              <w:spacing w:before="0" w:after="283"/>
              <w:rPr>
                <w:sz w:val="4"/>
                <w:szCs w:val="4"/>
              </w:rPr>
            </w:pPr>
            <w:r>
              <w:rPr>
                <w:sz w:val="4"/>
                <w:szCs w:val="4"/>
              </w:rPr>
            </w:r>
          </w:p>
        </w:tc>
        <w:tc>
          <w:tcPr>
            <w:tcW w:w="1050" w:type="dxa"/>
            <w:gridSpan w:val="4"/>
            <w:tcBorders/>
            <w:shd w:fill="CCDEF1" w:val="clear"/>
            <w:vAlign w:val="center"/>
          </w:tcPr>
          <w:p>
            <w:pPr>
              <w:pStyle w:val="TableContents"/>
              <w:spacing w:before="0" w:after="283"/>
              <w:rPr>
                <w:sz w:val="4"/>
                <w:szCs w:val="4"/>
              </w:rPr>
            </w:pPr>
            <w:r>
              <w:rPr>
                <w:sz w:val="4"/>
                <w:szCs w:val="4"/>
              </w:rPr>
            </w:r>
          </w:p>
        </w:tc>
      </w:tr>
      <w:tr>
        <w:trPr/>
        <w:tc>
          <w:tcPr>
            <w:tcW w:w="7700" w:type="dxa"/>
            <w:tcBorders/>
            <w:shd w:fill="CCDEF1" w:val="clear"/>
            <w:vAlign w:val="center"/>
          </w:tcPr>
          <w:p>
            <w:pPr>
              <w:pStyle w:val="TableContents"/>
              <w:spacing w:before="0" w:after="0"/>
              <w:rPr>
                <w:rFonts w:ascii="ARIAL" w:hAnsi="ARIAL"/>
                <w:sz w:val="19"/>
              </w:rPr>
            </w:pPr>
            <w:r>
              <w:rPr>
                <w:rFonts w:ascii="ARIAL" w:hAnsi="ARIAL"/>
                <w:sz w:val="19"/>
              </w:rPr>
              <w:t>Legal settlement charge</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560" w:type="dxa"/>
            <w:tcBorders/>
            <w:shd w:fill="CCDEF1" w:val="clear"/>
            <w:vAlign w:val="center"/>
          </w:tcPr>
          <w:p>
            <w:pPr>
              <w:pStyle w:val="TableContents"/>
              <w:spacing w:before="0" w:after="283"/>
              <w:jc w:val="right"/>
              <w:rPr/>
            </w:pPr>
            <w:r>
              <w:rPr/>
              <w:t>-</w:t>
            </w:r>
          </w:p>
        </w:tc>
        <w:tc>
          <w:tcPr>
            <w:tcW w:w="275"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560" w:type="dxa"/>
            <w:tcBorders/>
            <w:shd w:fill="CCDEF1" w:val="clear"/>
            <w:vAlign w:val="center"/>
          </w:tcPr>
          <w:p>
            <w:pPr>
              <w:pStyle w:val="TableContents"/>
              <w:spacing w:before="0" w:after="283"/>
              <w:jc w:val="right"/>
              <w:rPr/>
            </w:pPr>
            <w:r>
              <w:rPr/>
              <w:t>45</w:t>
            </w:r>
          </w:p>
        </w:tc>
        <w:tc>
          <w:tcPr>
            <w:tcW w:w="290" w:type="dxa"/>
            <w:tcBorders/>
            <w:shd w:fill="CCDEF1" w:val="clear"/>
            <w:vAlign w:val="center"/>
          </w:tcPr>
          <w:p>
            <w:pPr>
              <w:pStyle w:val="TableContents"/>
              <w:spacing w:before="0" w:after="283"/>
              <w:rPr/>
            </w:pPr>
            <w:r>
              <w:rPr/>
              <w:t> </w:t>
            </w:r>
          </w:p>
        </w:tc>
      </w:tr>
      <w:tr>
        <w:trPr/>
        <w:tc>
          <w:tcPr>
            <w:tcW w:w="7700" w:type="dxa"/>
            <w:tcBorders/>
            <w:shd w:fill="auto" w:val="clear"/>
            <w:vAlign w:val="center"/>
          </w:tcPr>
          <w:p>
            <w:pPr>
              <w:pStyle w:val="TableContents"/>
              <w:spacing w:before="0" w:after="283"/>
              <w:rPr>
                <w:sz w:val="4"/>
                <w:szCs w:val="4"/>
              </w:rPr>
            </w:pPr>
            <w:r>
              <w:rPr>
                <w:sz w:val="4"/>
                <w:szCs w:val="4"/>
              </w:rPr>
            </w:r>
          </w:p>
        </w:tc>
        <w:tc>
          <w:tcPr>
            <w:tcW w:w="1095" w:type="dxa"/>
            <w:gridSpan w:val="4"/>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r>
      <w:tr>
        <w:trPr/>
        <w:tc>
          <w:tcPr>
            <w:tcW w:w="7700" w:type="dxa"/>
            <w:tcBorders/>
            <w:shd w:fill="auto" w:val="clear"/>
            <w:vAlign w:val="center"/>
          </w:tcPr>
          <w:p>
            <w:pPr>
              <w:pStyle w:val="TableContents"/>
              <w:spacing w:before="0" w:after="0"/>
              <w:rPr>
                <w:rFonts w:ascii="ARIAL" w:hAnsi="ARIAL"/>
                <w:sz w:val="19"/>
              </w:rPr>
            </w:pPr>
            <w:r>
              <w:rPr>
                <w:rFonts w:ascii="ARIAL" w:hAnsi="ARIAL"/>
                <w:sz w:val="19"/>
              </w:rPr>
              <w:t>Transaction-related expenses for completed acquisitions and divestitures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5</w:t>
            </w:r>
          </w:p>
        </w:tc>
        <w:tc>
          <w:tcPr>
            <w:tcW w:w="290" w:type="dxa"/>
            <w:tcBorders/>
            <w:shd w:fill="auto" w:val="clear"/>
            <w:vAlign w:val="center"/>
          </w:tcPr>
          <w:p>
            <w:pPr>
              <w:pStyle w:val="TableContents"/>
              <w:spacing w:before="0" w:after="283"/>
              <w:rPr/>
            </w:pPr>
            <w:r>
              <w:rPr/>
              <w:t> </w:t>
            </w:r>
          </w:p>
        </w:tc>
      </w:tr>
      <w:tr>
        <w:trPr/>
        <w:tc>
          <w:tcPr>
            <w:tcW w:w="7700" w:type="dxa"/>
            <w:tcBorders/>
            <w:shd w:fill="CCDEF1" w:val="clear"/>
            <w:vAlign w:val="center"/>
          </w:tcPr>
          <w:p>
            <w:pPr>
              <w:pStyle w:val="TableContents"/>
              <w:spacing w:before="0" w:after="283"/>
              <w:rPr>
                <w:sz w:val="4"/>
                <w:szCs w:val="4"/>
              </w:rPr>
            </w:pPr>
            <w:r>
              <w:rPr>
                <w:sz w:val="4"/>
                <w:szCs w:val="4"/>
              </w:rPr>
            </w:r>
          </w:p>
        </w:tc>
        <w:tc>
          <w:tcPr>
            <w:tcW w:w="1095" w:type="dxa"/>
            <w:gridSpan w:val="4"/>
            <w:tcBorders/>
            <w:shd w:fill="CCDEF1" w:val="clear"/>
            <w:vAlign w:val="center"/>
          </w:tcPr>
          <w:p>
            <w:pPr>
              <w:pStyle w:val="TableContents"/>
              <w:spacing w:before="0" w:after="283"/>
              <w:rPr>
                <w:sz w:val="4"/>
                <w:szCs w:val="4"/>
              </w:rPr>
            </w:pPr>
            <w:r>
              <w:rPr>
                <w:sz w:val="4"/>
                <w:szCs w:val="4"/>
              </w:rPr>
            </w:r>
          </w:p>
        </w:tc>
        <w:tc>
          <w:tcPr>
            <w:tcW w:w="1050" w:type="dxa"/>
            <w:gridSpan w:val="4"/>
            <w:tcBorders/>
            <w:shd w:fill="CCDEF1" w:val="clear"/>
            <w:vAlign w:val="center"/>
          </w:tcPr>
          <w:p>
            <w:pPr>
              <w:pStyle w:val="TableContents"/>
              <w:spacing w:before="0" w:after="283"/>
              <w:rPr>
                <w:sz w:val="4"/>
                <w:szCs w:val="4"/>
              </w:rPr>
            </w:pPr>
            <w:r>
              <w:rPr>
                <w:sz w:val="4"/>
                <w:szCs w:val="4"/>
              </w:rPr>
            </w:r>
          </w:p>
        </w:tc>
      </w:tr>
      <w:tr>
        <w:trPr/>
        <w:tc>
          <w:tcPr>
            <w:tcW w:w="7700" w:type="dxa"/>
            <w:tcBorders/>
            <w:shd w:fill="CCDEF1" w:val="clear"/>
            <w:vAlign w:val="center"/>
          </w:tcPr>
          <w:p>
            <w:pPr>
              <w:pStyle w:val="TableContents"/>
              <w:spacing w:before="0" w:after="0"/>
              <w:rPr>
                <w:rFonts w:ascii="ARIAL" w:hAnsi="ARIAL"/>
                <w:sz w:val="19"/>
              </w:rPr>
            </w:pPr>
            <w:r>
              <w:rPr>
                <w:rFonts w:ascii="ARIAL" w:hAnsi="ARIAL"/>
                <w:sz w:val="19"/>
              </w:rPr>
              <w:t>Gain on sale of minority interest</w:t>
            </w:r>
          </w:p>
        </w:tc>
        <w:tc>
          <w:tcPr>
            <w:tcW w:w="120" w:type="dxa"/>
            <w:tcBorders>
              <w:bottom w:val="single" w:sz="8" w:space="0" w:color="000000"/>
            </w:tcBorders>
            <w:shd w:fill="CCDEF1" w:val="clear"/>
            <w:tcMar>
              <w:bottom w:w="28" w:type="dxa"/>
            </w:tcMar>
            <w:vAlign w:val="center"/>
          </w:tcPr>
          <w:p>
            <w:pPr>
              <w:pStyle w:val="TableContents"/>
              <w:spacing w:before="0" w:after="283"/>
              <w:rPr/>
            </w:pPr>
            <w:r>
              <w:rPr/>
              <w:t>  </w:t>
            </w:r>
          </w:p>
        </w:tc>
        <w:tc>
          <w:tcPr>
            <w:tcW w:w="140" w:type="dxa"/>
            <w:tcBorders>
              <w:bottom w:val="single" w:sz="8" w:space="0" w:color="000000"/>
            </w:tcBorders>
            <w:shd w:fill="CCDEF1" w:val="clear"/>
            <w:tcMar>
              <w:bottom w:w="60" w:type="dxa"/>
            </w:tcMar>
            <w:vAlign w:val="center"/>
          </w:tcPr>
          <w:p>
            <w:pPr>
              <w:pStyle w:val="TableContents"/>
              <w:spacing w:before="0" w:after="283"/>
              <w:rPr/>
            </w:pPr>
            <w:r>
              <w:rPr/>
              <w:t> </w:t>
            </w:r>
          </w:p>
        </w:tc>
        <w:tc>
          <w:tcPr>
            <w:tcW w:w="560" w:type="dxa"/>
            <w:tcBorders>
              <w:bottom w:val="single" w:sz="8" w:space="0" w:color="000000"/>
            </w:tcBorders>
            <w:shd w:fill="CCDEF1" w:val="clear"/>
            <w:tcMar>
              <w:bottom w:w="60" w:type="dxa"/>
            </w:tcMar>
            <w:vAlign w:val="center"/>
          </w:tcPr>
          <w:p>
            <w:pPr>
              <w:pStyle w:val="TableContents"/>
              <w:spacing w:before="0" w:after="283"/>
              <w:jc w:val="right"/>
              <w:rPr/>
            </w:pPr>
            <w:r>
              <w:rPr/>
              <w:t>(28</w:t>
            </w:r>
          </w:p>
        </w:tc>
        <w:tc>
          <w:tcPr>
            <w:tcW w:w="275" w:type="dxa"/>
            <w:tcBorders>
              <w:bottom w:val="single" w:sz="8" w:space="0" w:color="000000"/>
            </w:tcBorders>
            <w:shd w:fill="CCDEF1" w:val="clear"/>
            <w:tcMar>
              <w:bottom w:w="60" w:type="dxa"/>
            </w:tcMar>
            <w:vAlign w:val="center"/>
          </w:tcPr>
          <w:p>
            <w:pPr>
              <w:pStyle w:val="TableContents"/>
              <w:spacing w:before="0" w:after="283"/>
              <w:rPr/>
            </w:pPr>
            <w:r>
              <w:rPr/>
              <w:t>) </w:t>
            </w:r>
          </w:p>
        </w:tc>
        <w:tc>
          <w:tcPr>
            <w:tcW w:w="60" w:type="dxa"/>
            <w:tcBorders>
              <w:bottom w:val="single" w:sz="8" w:space="0" w:color="000000"/>
            </w:tcBorders>
            <w:shd w:fill="CCDEF1" w:val="clear"/>
            <w:tcMar>
              <w:bottom w:w="28" w:type="dxa"/>
            </w:tcMar>
            <w:vAlign w:val="center"/>
          </w:tcPr>
          <w:p>
            <w:pPr>
              <w:pStyle w:val="TableContents"/>
              <w:spacing w:before="0" w:after="283"/>
              <w:rPr/>
            </w:pPr>
            <w:r>
              <w:rPr/>
              <w:t> </w:t>
            </w:r>
          </w:p>
        </w:tc>
        <w:tc>
          <w:tcPr>
            <w:tcW w:w="140" w:type="dxa"/>
            <w:tcBorders>
              <w:bottom w:val="single" w:sz="8" w:space="0" w:color="000000"/>
            </w:tcBorders>
            <w:shd w:fill="CCDEF1" w:val="clear"/>
            <w:tcMar>
              <w:bottom w:w="60" w:type="dxa"/>
            </w:tcMar>
            <w:vAlign w:val="center"/>
          </w:tcPr>
          <w:p>
            <w:pPr>
              <w:pStyle w:val="TableContents"/>
              <w:spacing w:before="0" w:after="283"/>
              <w:rPr/>
            </w:pPr>
            <w:r>
              <w:rPr/>
              <w:t> </w:t>
            </w:r>
          </w:p>
        </w:tc>
        <w:tc>
          <w:tcPr>
            <w:tcW w:w="560" w:type="dxa"/>
            <w:tcBorders>
              <w:bottom w:val="single" w:sz="8" w:space="0" w:color="000000"/>
            </w:tcBorders>
            <w:shd w:fill="CCDEF1" w:val="clear"/>
            <w:tcMar>
              <w:bottom w:w="60" w:type="dxa"/>
            </w:tcMar>
            <w:vAlign w:val="center"/>
          </w:tcPr>
          <w:p>
            <w:pPr>
              <w:pStyle w:val="TableContents"/>
              <w:spacing w:before="0" w:after="283"/>
              <w:jc w:val="right"/>
              <w:rPr/>
            </w:pPr>
            <w:r>
              <w:rPr/>
              <w:t>-</w:t>
            </w:r>
          </w:p>
        </w:tc>
        <w:tc>
          <w:tcPr>
            <w:tcW w:w="290" w:type="dxa"/>
            <w:tcBorders>
              <w:bottom w:val="single" w:sz="8" w:space="0" w:color="000000"/>
            </w:tcBorders>
            <w:shd w:fill="CCDEF1" w:val="clear"/>
            <w:tcMar>
              <w:bottom w:w="60" w:type="dxa"/>
            </w:tcMar>
            <w:vAlign w:val="center"/>
          </w:tcPr>
          <w:p>
            <w:pPr>
              <w:pStyle w:val="TableContents"/>
              <w:spacing w:before="0" w:after="283"/>
              <w:rPr/>
            </w:pPr>
            <w:r>
              <w:rPr/>
              <w:t> </w:t>
            </w:r>
          </w:p>
        </w:tc>
      </w:tr>
      <w:tr>
        <w:trPr/>
        <w:tc>
          <w:tcPr>
            <w:tcW w:w="7700" w:type="dxa"/>
            <w:tcBorders/>
            <w:shd w:fill="auto" w:val="clear"/>
            <w:vAlign w:val="center"/>
          </w:tcPr>
          <w:p>
            <w:pPr>
              <w:pStyle w:val="TableContents"/>
              <w:spacing w:before="0" w:after="283"/>
              <w:rPr>
                <w:sz w:val="4"/>
                <w:szCs w:val="4"/>
              </w:rPr>
            </w:pPr>
            <w:r>
              <w:rPr>
                <w:sz w:val="4"/>
                <w:szCs w:val="4"/>
              </w:rPr>
            </w:r>
          </w:p>
        </w:tc>
        <w:tc>
          <w:tcPr>
            <w:tcW w:w="1095" w:type="dxa"/>
            <w:gridSpan w:val="4"/>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r>
      <w:tr>
        <w:trPr/>
        <w:tc>
          <w:tcPr>
            <w:tcW w:w="7700" w:type="dxa"/>
            <w:tcBorders/>
            <w:shd w:fill="auto" w:val="clear"/>
            <w:vAlign w:val="center"/>
          </w:tcPr>
          <w:p>
            <w:pPr>
              <w:pStyle w:val="TableContents"/>
              <w:spacing w:before="0" w:after="0"/>
              <w:rPr>
                <w:rFonts w:ascii="ARIAL" w:hAnsi="ARIAL"/>
                <w:sz w:val="19"/>
              </w:rPr>
            </w:pPr>
            <w:r>
              <w:rPr>
                <w:rFonts w:ascii="ARIAL" w:hAnsi="ARIAL"/>
                <w:sz w:val="19"/>
              </w:rPr>
              <w:t>Adjusted EBITDA (B)</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60" w:type="dxa"/>
            </w:tcMar>
            <w:vAlign w:val="center"/>
          </w:tcPr>
          <w:p>
            <w:pPr>
              <w:pStyle w:val="TableContents"/>
              <w:spacing w:before="0" w:after="283"/>
              <w:rPr/>
            </w:pPr>
            <w:r>
              <w:rPr/>
              <w:t>$</w:t>
            </w:r>
          </w:p>
        </w:tc>
        <w:tc>
          <w:tcPr>
            <w:tcW w:w="560" w:type="dxa"/>
            <w:tcBorders>
              <w:bottom w:val="single" w:sz="8" w:space="0" w:color="000000"/>
            </w:tcBorders>
            <w:shd w:fill="auto" w:val="clear"/>
            <w:tcMar>
              <w:bottom w:w="60" w:type="dxa"/>
            </w:tcMar>
            <w:vAlign w:val="center"/>
          </w:tcPr>
          <w:p>
            <w:pPr>
              <w:pStyle w:val="TableContents"/>
              <w:spacing w:before="0" w:after="283"/>
              <w:jc w:val="right"/>
              <w:rPr/>
            </w:pPr>
            <w:r>
              <w:rPr/>
              <w:t>1,944</w:t>
            </w:r>
          </w:p>
        </w:tc>
        <w:tc>
          <w:tcPr>
            <w:tcW w:w="275" w:type="dxa"/>
            <w:tcBorders>
              <w:bottom w:val="single" w:sz="8" w:space="0" w:color="000000"/>
            </w:tcBorders>
            <w:shd w:fill="auto" w:val="clear"/>
            <w:tcMar>
              <w:bottom w:w="6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60" w:type="dxa"/>
            </w:tcMar>
            <w:vAlign w:val="center"/>
          </w:tcPr>
          <w:p>
            <w:pPr>
              <w:pStyle w:val="TableContents"/>
              <w:spacing w:before="0" w:after="283"/>
              <w:rPr/>
            </w:pPr>
            <w:r>
              <w:rPr/>
              <w:t>$</w:t>
            </w:r>
          </w:p>
        </w:tc>
        <w:tc>
          <w:tcPr>
            <w:tcW w:w="560" w:type="dxa"/>
            <w:tcBorders>
              <w:bottom w:val="single" w:sz="8" w:space="0" w:color="000000"/>
            </w:tcBorders>
            <w:shd w:fill="auto" w:val="clear"/>
            <w:tcMar>
              <w:bottom w:w="60" w:type="dxa"/>
            </w:tcMar>
            <w:vAlign w:val="center"/>
          </w:tcPr>
          <w:p>
            <w:pPr>
              <w:pStyle w:val="TableContents"/>
              <w:spacing w:before="0" w:after="283"/>
              <w:jc w:val="right"/>
              <w:rPr/>
            </w:pPr>
            <w:r>
              <w:rPr/>
              <w:t>2,170</w:t>
            </w:r>
          </w:p>
        </w:tc>
        <w:tc>
          <w:tcPr>
            <w:tcW w:w="290" w:type="dxa"/>
            <w:tcBorders>
              <w:bottom w:val="single" w:sz="8" w:space="0" w:color="000000"/>
            </w:tcBorders>
            <w:shd w:fill="auto" w:val="clear"/>
            <w:tcMar>
              <w:bottom w:w="60" w:type="dxa"/>
            </w:tcMar>
            <w:vAlign w:val="center"/>
          </w:tcPr>
          <w:p>
            <w:pPr>
              <w:pStyle w:val="TableContents"/>
              <w:spacing w:before="0" w:after="283"/>
              <w:rPr/>
            </w:pPr>
            <w:r>
              <w:rPr/>
              <w:t> </w:t>
            </w:r>
          </w:p>
        </w:tc>
      </w:tr>
      <w:tr>
        <w:trPr/>
        <w:tc>
          <w:tcPr>
            <w:tcW w:w="7700" w:type="dxa"/>
            <w:tcBorders/>
            <w:shd w:fill="CCDEF1" w:val="clear"/>
            <w:vAlign w:val="center"/>
          </w:tcPr>
          <w:p>
            <w:pPr>
              <w:pStyle w:val="TableContents"/>
              <w:spacing w:before="0" w:after="283"/>
              <w:rPr>
                <w:sz w:val="4"/>
                <w:szCs w:val="4"/>
              </w:rPr>
            </w:pPr>
            <w:r>
              <w:rPr>
                <w:sz w:val="4"/>
                <w:szCs w:val="4"/>
              </w:rPr>
            </w:r>
          </w:p>
        </w:tc>
        <w:tc>
          <w:tcPr>
            <w:tcW w:w="1095" w:type="dxa"/>
            <w:gridSpan w:val="4"/>
            <w:tcBorders/>
            <w:shd w:fill="CCDEF1" w:val="clear"/>
            <w:vAlign w:val="center"/>
          </w:tcPr>
          <w:p>
            <w:pPr>
              <w:pStyle w:val="TableContents"/>
              <w:spacing w:before="0" w:after="283"/>
              <w:rPr>
                <w:sz w:val="4"/>
                <w:szCs w:val="4"/>
              </w:rPr>
            </w:pPr>
            <w:r>
              <w:rPr>
                <w:sz w:val="4"/>
                <w:szCs w:val="4"/>
              </w:rPr>
            </w:r>
          </w:p>
        </w:tc>
        <w:tc>
          <w:tcPr>
            <w:tcW w:w="1050" w:type="dxa"/>
            <w:gridSpan w:val="4"/>
            <w:tcBorders/>
            <w:shd w:fill="CCDEF1" w:val="clear"/>
            <w:vAlign w:val="center"/>
          </w:tcPr>
          <w:p>
            <w:pPr>
              <w:pStyle w:val="TableContents"/>
              <w:spacing w:before="0" w:after="283"/>
              <w:rPr>
                <w:sz w:val="4"/>
                <w:szCs w:val="4"/>
              </w:rPr>
            </w:pPr>
            <w:r>
              <w:rPr>
                <w:sz w:val="4"/>
                <w:szCs w:val="4"/>
              </w:rPr>
            </w:r>
          </w:p>
        </w:tc>
      </w:tr>
      <w:tr>
        <w:trPr/>
        <w:tc>
          <w:tcPr>
            <w:tcW w:w="7700" w:type="dxa"/>
            <w:tcBorders/>
            <w:shd w:fill="CCDEF1" w:val="clear"/>
            <w:vAlign w:val="center"/>
          </w:tcPr>
          <w:p>
            <w:pPr>
              <w:pStyle w:val="TableContents"/>
              <w:spacing w:before="0" w:after="0"/>
              <w:rPr>
                <w:rFonts w:ascii="ARIAL" w:hAnsi="ARIAL"/>
                <w:sz w:val="19"/>
              </w:rPr>
            </w:pPr>
            <w:r>
              <w:rPr>
                <w:rFonts w:ascii="ARIAL" w:hAnsi="ARIAL"/>
                <w:sz w:val="19"/>
              </w:rPr>
              <w:t>Adjusted EBITDA Margin (B) / (A)</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560" w:type="dxa"/>
            <w:tcBorders/>
            <w:shd w:fill="CCDEF1" w:val="clear"/>
            <w:vAlign w:val="center"/>
          </w:tcPr>
          <w:p>
            <w:pPr>
              <w:pStyle w:val="TableContents"/>
              <w:spacing w:before="0" w:after="283"/>
              <w:jc w:val="right"/>
              <w:rPr/>
            </w:pPr>
            <w:r>
              <w:rPr/>
              <w:t>40.2</w:t>
            </w:r>
          </w:p>
        </w:tc>
        <w:tc>
          <w:tcPr>
            <w:tcW w:w="275"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560" w:type="dxa"/>
            <w:tcBorders/>
            <w:shd w:fill="CCDEF1" w:val="clear"/>
            <w:vAlign w:val="center"/>
          </w:tcPr>
          <w:p>
            <w:pPr>
              <w:pStyle w:val="TableContents"/>
              <w:spacing w:before="0" w:after="283"/>
              <w:jc w:val="right"/>
              <w:rPr/>
            </w:pPr>
            <w:r>
              <w:rPr/>
              <w:t>40.4</w:t>
            </w:r>
          </w:p>
        </w:tc>
        <w:tc>
          <w:tcPr>
            <w:tcW w:w="290" w:type="dxa"/>
            <w:tcBorders/>
            <w:shd w:fill="CCDEF1" w:val="clear"/>
            <w:vAlign w:val="center"/>
          </w:tcPr>
          <w:p>
            <w:pPr>
              <w:pStyle w:val="TableContents"/>
              <w:spacing w:before="0" w:after="283"/>
              <w:rPr/>
            </w:pPr>
            <w:r>
              <w:rPr/>
              <w:t>% </w:t>
            </w:r>
          </w:p>
        </w:tc>
      </w:tr>
    </w:tbl>
    <w:p>
      <w:pPr>
        <w:pStyle w:val="TextBody"/>
        <w:spacing w:before="240" w:after="0"/>
        <w:jc w:val="left"/>
        <w:rPr>
          <w:rFonts w:ascii="ARIAL" w:hAnsi="ARIAL"/>
          <w:sz w:val="19"/>
        </w:rPr>
      </w:pPr>
      <w:r>
        <w:rPr>
          <w:rFonts w:ascii="ARIAL" w:hAnsi="ARIAL"/>
          <w:sz w:val="19"/>
        </w:rPr>
        <w:t xml:space="preserve">Table 2: Adjusted Cash Flow Reconciliation ($M) </w:t>
      </w:r>
    </w:p>
    <w:p>
      <w:pPr>
        <w:pStyle w:val="TextBody"/>
        <w:spacing w:before="0" w:after="0"/>
        <w:jc w:val="left"/>
        <w:rPr>
          <w:rFonts w:ascii="ARIAL" w:hAnsi="ARIAL"/>
          <w:sz w:val="19"/>
        </w:rPr>
      </w:pPr>
      <w:r>
        <w:rPr>
          <w:rFonts w:ascii="ARIAL" w:hAnsi="ARIAL"/>
          <w:sz w:val="19"/>
        </w:rPr>
        <w:t xml:space="preserve">(From Continuing Operations) </w:t>
      </w:r>
    </w:p>
    <w:p>
      <w:pPr>
        <w:pStyle w:val="TextBody"/>
        <w:spacing w:before="0" w:after="0"/>
        <w:jc w:val="left"/>
        <w:rPr/>
      </w:pPr>
      <w:r>
        <w:rPr/>
        <w:t> </w:t>
      </w:r>
    </w:p>
    <w:tbl>
      <w:tblPr>
        <w:tblW w:w="6070" w:type="dxa"/>
        <w:jc w:val="left"/>
        <w:tblInd w:w="0" w:type="dxa"/>
        <w:tblCellMar>
          <w:top w:w="0" w:type="dxa"/>
          <w:left w:w="0" w:type="dxa"/>
          <w:bottom w:w="0" w:type="dxa"/>
          <w:right w:w="0" w:type="dxa"/>
        </w:tblCellMar>
      </w:tblPr>
      <w:tblGrid>
        <w:gridCol w:w="3380"/>
        <w:gridCol w:w="120"/>
        <w:gridCol w:w="140"/>
        <w:gridCol w:w="560"/>
        <w:gridCol w:w="155"/>
        <w:gridCol w:w="60"/>
        <w:gridCol w:w="140"/>
        <w:gridCol w:w="560"/>
        <w:gridCol w:w="155"/>
        <w:gridCol w:w="60"/>
        <w:gridCol w:w="60"/>
        <w:gridCol w:w="605"/>
        <w:gridCol w:w="75"/>
      </w:tblGrid>
      <w:tr>
        <w:trPr/>
        <w:tc>
          <w:tcPr>
            <w:tcW w:w="33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380" w:type="dxa"/>
            <w:tcBorders/>
            <w:shd w:fill="auto" w:val="clear"/>
            <w:vAlign w:val="center"/>
          </w:tcPr>
          <w:p>
            <w:pPr>
              <w:pStyle w:val="TableContents"/>
              <w:spacing w:before="0" w:after="283"/>
              <w:rPr>
                <w:sz w:val="4"/>
                <w:szCs w:val="4"/>
              </w:rPr>
            </w:pPr>
            <w:r>
              <w:rPr>
                <w:sz w:val="4"/>
                <w:szCs w:val="4"/>
              </w:rPr>
            </w:r>
          </w:p>
        </w:tc>
        <w:tc>
          <w:tcPr>
            <w:tcW w:w="975" w:type="dxa"/>
            <w:gridSpan w:val="4"/>
            <w:tcBorders/>
            <w:shd w:fill="auto" w:val="clear"/>
            <w:vAlign w:val="center"/>
          </w:tcPr>
          <w:p>
            <w:pPr>
              <w:pStyle w:val="TableContents"/>
              <w:spacing w:before="0" w:after="283"/>
              <w:rPr>
                <w:sz w:val="4"/>
                <w:szCs w:val="4"/>
              </w:rPr>
            </w:pPr>
            <w:r>
              <w:rPr>
                <w:sz w:val="4"/>
                <w:szCs w:val="4"/>
              </w:rPr>
            </w:r>
          </w:p>
        </w:tc>
        <w:tc>
          <w:tcPr>
            <w:tcW w:w="91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r>
      <w:tr>
        <w:trPr/>
        <w:tc>
          <w:tcPr>
            <w:tcW w:w="3380" w:type="dxa"/>
            <w:tcBorders/>
            <w:shd w:fill="auto" w:val="cle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65" w:type="dxa"/>
            <w:gridSpan w:val="2"/>
            <w:tcBorders>
              <w:bottom w:val="single" w:sz="8" w:space="0" w:color="000000"/>
            </w:tcBorders>
            <w:shd w:fill="auto" w:val="clear"/>
            <w:tcMar>
              <w:bottom w:w="28" w:type="dxa"/>
            </w:tcMar>
            <w:vAlign w:val="center"/>
          </w:tcPr>
          <w:p>
            <w:pPr>
              <w:pStyle w:val="TableContents"/>
              <w:spacing w:before="0" w:after="283"/>
              <w:jc w:val="center"/>
              <w:rPr/>
            </w:pPr>
            <w:r>
              <w:rPr/>
              <w:t>V%</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3380" w:type="dxa"/>
            <w:tcBorders/>
            <w:shd w:fill="CCDEF1" w:val="clear"/>
            <w:vAlign w:val="center"/>
          </w:tcPr>
          <w:p>
            <w:pPr>
              <w:pStyle w:val="TableContents"/>
              <w:spacing w:before="0" w:after="283"/>
              <w:rPr>
                <w:sz w:val="4"/>
                <w:szCs w:val="4"/>
              </w:rPr>
            </w:pPr>
            <w:r>
              <w:rPr>
                <w:sz w:val="4"/>
                <w:szCs w:val="4"/>
              </w:rPr>
            </w:r>
          </w:p>
        </w:tc>
        <w:tc>
          <w:tcPr>
            <w:tcW w:w="975" w:type="dxa"/>
            <w:gridSpan w:val="4"/>
            <w:tcBorders/>
            <w:shd w:fill="CCDEF1" w:val="clear"/>
            <w:vAlign w:val="center"/>
          </w:tcPr>
          <w:p>
            <w:pPr>
              <w:pStyle w:val="TableContents"/>
              <w:spacing w:before="0" w:after="283"/>
              <w:rPr>
                <w:sz w:val="4"/>
                <w:szCs w:val="4"/>
              </w:rPr>
            </w:pPr>
            <w:r>
              <w:rPr>
                <w:sz w:val="4"/>
                <w:szCs w:val="4"/>
              </w:rPr>
            </w:r>
          </w:p>
        </w:tc>
        <w:tc>
          <w:tcPr>
            <w:tcW w:w="915" w:type="dxa"/>
            <w:gridSpan w:val="4"/>
            <w:tcBorders/>
            <w:shd w:fill="CCDEF1" w:val="clear"/>
            <w:vAlign w:val="center"/>
          </w:tcPr>
          <w:p>
            <w:pPr>
              <w:pStyle w:val="TableContents"/>
              <w:spacing w:before="0" w:after="283"/>
              <w:rPr>
                <w:sz w:val="4"/>
                <w:szCs w:val="4"/>
              </w:rPr>
            </w:pPr>
            <w:r>
              <w:rPr>
                <w:sz w:val="4"/>
                <w:szCs w:val="4"/>
              </w:rPr>
            </w:r>
          </w:p>
        </w:tc>
        <w:tc>
          <w:tcPr>
            <w:tcW w:w="800" w:type="dxa"/>
            <w:gridSpan w:val="4"/>
            <w:tcBorders/>
            <w:shd w:fill="CCDEF1" w:val="clear"/>
            <w:vAlign w:val="center"/>
          </w:tcPr>
          <w:p>
            <w:pPr>
              <w:pStyle w:val="TableContents"/>
              <w:spacing w:before="0" w:after="283"/>
              <w:rPr>
                <w:sz w:val="4"/>
                <w:szCs w:val="4"/>
              </w:rPr>
            </w:pPr>
            <w:r>
              <w:rPr>
                <w:sz w:val="4"/>
                <w:szCs w:val="4"/>
              </w:rPr>
            </w:r>
          </w:p>
        </w:tc>
      </w:tr>
      <w:tr>
        <w:trPr/>
        <w:tc>
          <w:tcPr>
            <w:tcW w:w="3380" w:type="dxa"/>
            <w:tcBorders/>
            <w:shd w:fill="CCDEF1" w:val="clear"/>
            <w:vAlign w:val="center"/>
          </w:tcPr>
          <w:p>
            <w:pPr>
              <w:pStyle w:val="TableContents"/>
              <w:spacing w:before="0" w:after="0"/>
              <w:rPr>
                <w:rFonts w:ascii="ARIAL" w:hAnsi="ARIAL"/>
                <w:sz w:val="19"/>
              </w:rPr>
            </w:pPr>
            <w:r>
              <w:rPr>
                <w:rFonts w:ascii="ARIAL" w:hAnsi="ARIAL"/>
                <w:sz w:val="19"/>
              </w:rPr>
              <w:t>Operating Cash Flow</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1,656</w:t>
            </w:r>
          </w:p>
        </w:tc>
        <w:tc>
          <w:tcPr>
            <w:tcW w:w="155"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607</w:t>
            </w:r>
          </w:p>
        </w:tc>
        <w:tc>
          <w:tcPr>
            <w:tcW w:w="155"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605" w:type="dxa"/>
            <w:tcBorders/>
            <w:shd w:fill="CCDEF1" w:val="clear"/>
            <w:vAlign w:val="center"/>
          </w:tcPr>
          <w:p>
            <w:pPr>
              <w:pStyle w:val="TableContents"/>
              <w:spacing w:before="0" w:after="283"/>
              <w:jc w:val="right"/>
              <w:rPr/>
            </w:pPr>
            <w:r>
              <w:rPr/>
              <w:t>(63%)</w:t>
            </w:r>
          </w:p>
        </w:tc>
        <w:tc>
          <w:tcPr>
            <w:tcW w:w="75" w:type="dxa"/>
            <w:tcBorders/>
            <w:shd w:fill="CCDEF1" w:val="clear"/>
            <w:vAlign w:val="center"/>
          </w:tcPr>
          <w:p>
            <w:pPr>
              <w:pStyle w:val="TableContents"/>
              <w:spacing w:before="0" w:after="283"/>
              <w:rPr/>
            </w:pPr>
            <w:r>
              <w:rPr/>
              <w:t> </w:t>
            </w:r>
          </w:p>
        </w:tc>
      </w:tr>
      <w:tr>
        <w:trPr/>
        <w:tc>
          <w:tcPr>
            <w:tcW w:w="3380" w:type="dxa"/>
            <w:tcBorders/>
            <w:shd w:fill="auto" w:val="clear"/>
            <w:vAlign w:val="center"/>
          </w:tcPr>
          <w:p>
            <w:pPr>
              <w:pStyle w:val="TableContents"/>
              <w:spacing w:before="0" w:after="283"/>
              <w:rPr>
                <w:sz w:val="4"/>
                <w:szCs w:val="4"/>
              </w:rPr>
            </w:pPr>
            <w:r>
              <w:rPr>
                <w:sz w:val="4"/>
                <w:szCs w:val="4"/>
              </w:rPr>
            </w:r>
          </w:p>
        </w:tc>
        <w:tc>
          <w:tcPr>
            <w:tcW w:w="975" w:type="dxa"/>
            <w:gridSpan w:val="4"/>
            <w:tcBorders/>
            <w:shd w:fill="auto" w:val="clear"/>
            <w:vAlign w:val="center"/>
          </w:tcPr>
          <w:p>
            <w:pPr>
              <w:pStyle w:val="TableContents"/>
              <w:spacing w:before="0" w:after="283"/>
              <w:rPr>
                <w:sz w:val="4"/>
                <w:szCs w:val="4"/>
              </w:rPr>
            </w:pPr>
            <w:r>
              <w:rPr>
                <w:sz w:val="4"/>
                <w:szCs w:val="4"/>
              </w:rPr>
            </w:r>
          </w:p>
        </w:tc>
        <w:tc>
          <w:tcPr>
            <w:tcW w:w="91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r>
      <w:tr>
        <w:trPr/>
        <w:tc>
          <w:tcPr>
            <w:tcW w:w="3380" w:type="dxa"/>
            <w:tcBorders/>
            <w:shd w:fill="auto" w:val="clear"/>
            <w:vAlign w:val="center"/>
          </w:tcPr>
          <w:p>
            <w:pPr>
              <w:pStyle w:val="TableContents"/>
              <w:spacing w:before="0" w:after="0"/>
              <w:rPr>
                <w:rFonts w:ascii="ARIAL" w:hAnsi="ARIAL"/>
                <w:sz w:val="19"/>
              </w:rPr>
            </w:pPr>
            <w:r>
              <w:rPr>
                <w:rFonts w:ascii="ARIAL" w:hAnsi="ARIAL"/>
                <w:sz w:val="19"/>
              </w:rPr>
              <w:t>Cash taxes paid related to divestitures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954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3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8" w:space="1" w:color="000000"/>
              </w:pBdr>
              <w:spacing w:before="0" w:after="0"/>
              <w:rPr/>
            </w:pPr>
            <w:r>
              <w:rPr/>
              <w:t> </w:t>
            </w:r>
          </w:p>
        </w:tc>
        <w:tc>
          <w:tcPr>
            <w:tcW w:w="2355" w:type="dxa"/>
            <w:gridSpan w:val="9"/>
            <w:tcBorders/>
            <w:shd w:fill="auto" w:val="clear"/>
            <w:vAlign w:val="center"/>
          </w:tcPr>
          <w:p>
            <w:pPr>
              <w:pStyle w:val="TableContents"/>
              <w:pBdr>
                <w:top w:val="single" w:sz="8"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3380" w:type="dxa"/>
            <w:tcBorders/>
            <w:shd w:fill="CCDEF1" w:val="clear"/>
            <w:vAlign w:val="center"/>
          </w:tcPr>
          <w:p>
            <w:pPr>
              <w:pStyle w:val="TableContents"/>
              <w:spacing w:before="0" w:after="283"/>
              <w:rPr>
                <w:sz w:val="4"/>
                <w:szCs w:val="4"/>
              </w:rPr>
            </w:pPr>
            <w:r>
              <w:rPr>
                <w:sz w:val="4"/>
                <w:szCs w:val="4"/>
              </w:rPr>
            </w:r>
          </w:p>
        </w:tc>
        <w:tc>
          <w:tcPr>
            <w:tcW w:w="975" w:type="dxa"/>
            <w:gridSpan w:val="4"/>
            <w:tcBorders/>
            <w:shd w:fill="CCDEF1" w:val="clear"/>
            <w:vAlign w:val="center"/>
          </w:tcPr>
          <w:p>
            <w:pPr>
              <w:pStyle w:val="TableContents"/>
              <w:spacing w:before="0" w:after="283"/>
              <w:rPr>
                <w:sz w:val="4"/>
                <w:szCs w:val="4"/>
              </w:rPr>
            </w:pPr>
            <w:r>
              <w:rPr>
                <w:sz w:val="4"/>
                <w:szCs w:val="4"/>
              </w:rPr>
            </w:r>
          </w:p>
        </w:tc>
        <w:tc>
          <w:tcPr>
            <w:tcW w:w="915" w:type="dxa"/>
            <w:gridSpan w:val="4"/>
            <w:tcBorders/>
            <w:shd w:fill="CCDEF1" w:val="clear"/>
            <w:vAlign w:val="center"/>
          </w:tcPr>
          <w:p>
            <w:pPr>
              <w:pStyle w:val="TableContents"/>
              <w:spacing w:before="0" w:after="283"/>
              <w:rPr>
                <w:sz w:val="4"/>
                <w:szCs w:val="4"/>
              </w:rPr>
            </w:pPr>
            <w:r>
              <w:rPr>
                <w:sz w:val="4"/>
                <w:szCs w:val="4"/>
              </w:rPr>
            </w:r>
          </w:p>
        </w:tc>
        <w:tc>
          <w:tcPr>
            <w:tcW w:w="800" w:type="dxa"/>
            <w:gridSpan w:val="4"/>
            <w:tcBorders/>
            <w:shd w:fill="CCDEF1" w:val="clear"/>
            <w:vAlign w:val="center"/>
          </w:tcPr>
          <w:p>
            <w:pPr>
              <w:pStyle w:val="TableContents"/>
              <w:spacing w:before="0" w:after="283"/>
              <w:rPr>
                <w:sz w:val="4"/>
                <w:szCs w:val="4"/>
              </w:rPr>
            </w:pPr>
            <w:r>
              <w:rPr>
                <w:sz w:val="4"/>
                <w:szCs w:val="4"/>
              </w:rPr>
            </w:r>
          </w:p>
        </w:tc>
      </w:tr>
      <w:tr>
        <w:trPr/>
        <w:tc>
          <w:tcPr>
            <w:tcW w:w="3380" w:type="dxa"/>
            <w:tcBorders/>
            <w:shd w:fill="CCDEF1" w:val="clear"/>
            <w:vAlign w:val="center"/>
          </w:tcPr>
          <w:p>
            <w:pPr>
              <w:pStyle w:val="TableContents"/>
              <w:spacing w:before="0" w:after="0"/>
              <w:rPr>
                <w:rFonts w:ascii="ARIAL" w:hAnsi="ARIAL"/>
                <w:sz w:val="19"/>
              </w:rPr>
            </w:pPr>
            <w:r>
              <w:rPr>
                <w:rFonts w:ascii="ARIAL" w:hAnsi="ARIAL"/>
                <w:sz w:val="19"/>
              </w:rPr>
              <w:t>Adjusted Operating Cash Flow</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1,656</w:t>
            </w:r>
          </w:p>
        </w:tc>
        <w:tc>
          <w:tcPr>
            <w:tcW w:w="155"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1,560</w:t>
            </w:r>
          </w:p>
        </w:tc>
        <w:tc>
          <w:tcPr>
            <w:tcW w:w="155"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605" w:type="dxa"/>
            <w:tcBorders/>
            <w:shd w:fill="CCDEF1" w:val="clear"/>
            <w:vAlign w:val="center"/>
          </w:tcPr>
          <w:p>
            <w:pPr>
              <w:pStyle w:val="TableContents"/>
              <w:spacing w:before="0" w:after="283"/>
              <w:jc w:val="right"/>
              <w:rPr/>
            </w:pPr>
            <w:r>
              <w:rPr/>
              <w:t>(6%)</w:t>
            </w:r>
          </w:p>
        </w:tc>
        <w:tc>
          <w:tcPr>
            <w:tcW w:w="75" w:type="dxa"/>
            <w:tcBorders/>
            <w:shd w:fill="CCDEF1" w:val="clear"/>
            <w:vAlign w:val="center"/>
          </w:tcPr>
          <w:p>
            <w:pPr>
              <w:pStyle w:val="TableContents"/>
              <w:spacing w:before="0" w:after="283"/>
              <w:rPr/>
            </w:pPr>
            <w:r>
              <w:rPr/>
              <w:t> </w:t>
            </w:r>
          </w:p>
        </w:tc>
      </w:tr>
      <w:tr>
        <w:trPr/>
        <w:tc>
          <w:tcPr>
            <w:tcW w:w="3380" w:type="dxa"/>
            <w:tcBorders/>
            <w:shd w:fill="auto" w:val="clear"/>
            <w:vAlign w:val="center"/>
          </w:tcPr>
          <w:p>
            <w:pPr>
              <w:pStyle w:val="TableContents"/>
              <w:spacing w:before="0" w:after="283"/>
              <w:rPr>
                <w:sz w:val="4"/>
                <w:szCs w:val="4"/>
              </w:rPr>
            </w:pPr>
            <w:r>
              <w:rPr>
                <w:sz w:val="4"/>
                <w:szCs w:val="4"/>
              </w:rPr>
            </w:r>
          </w:p>
        </w:tc>
        <w:tc>
          <w:tcPr>
            <w:tcW w:w="975" w:type="dxa"/>
            <w:gridSpan w:val="4"/>
            <w:tcBorders/>
            <w:shd w:fill="auto" w:val="clear"/>
            <w:vAlign w:val="center"/>
          </w:tcPr>
          <w:p>
            <w:pPr>
              <w:pStyle w:val="TableContents"/>
              <w:spacing w:before="0" w:after="283"/>
              <w:rPr>
                <w:sz w:val="4"/>
                <w:szCs w:val="4"/>
              </w:rPr>
            </w:pPr>
            <w:r>
              <w:rPr>
                <w:sz w:val="4"/>
                <w:szCs w:val="4"/>
              </w:rPr>
            </w:r>
          </w:p>
        </w:tc>
        <w:tc>
          <w:tcPr>
            <w:tcW w:w="91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r>
      <w:tr>
        <w:trPr/>
        <w:tc>
          <w:tcPr>
            <w:tcW w:w="3380" w:type="dxa"/>
            <w:tcBorders/>
            <w:shd w:fill="auto" w:val="clear"/>
            <w:vAlign w:val="center"/>
          </w:tcPr>
          <w:p>
            <w:pPr>
              <w:pStyle w:val="TableContents"/>
              <w:spacing w:before="0" w:after="0"/>
              <w:rPr>
                <w:rFonts w:ascii="ARIAL" w:hAnsi="ARIAL"/>
                <w:sz w:val="19"/>
              </w:rPr>
            </w:pPr>
            <w:r>
              <w:rPr>
                <w:rFonts w:ascii="ARIAL" w:hAnsi="ARIAL"/>
                <w:sz w:val="19"/>
              </w:rPr>
              <w:t>Capital Expenditures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380" w:type="dxa"/>
            <w:tcBorders/>
            <w:shd w:fill="CCDEF1" w:val="clear"/>
            <w:vAlign w:val="center"/>
          </w:tcPr>
          <w:p>
            <w:pPr>
              <w:pStyle w:val="TableContents"/>
              <w:spacing w:before="0" w:after="283"/>
              <w:rPr>
                <w:sz w:val="4"/>
                <w:szCs w:val="4"/>
              </w:rPr>
            </w:pPr>
            <w:r>
              <w:rPr>
                <w:sz w:val="4"/>
                <w:szCs w:val="4"/>
              </w:rPr>
            </w:r>
          </w:p>
        </w:tc>
        <w:tc>
          <w:tcPr>
            <w:tcW w:w="975" w:type="dxa"/>
            <w:gridSpan w:val="4"/>
            <w:tcBorders/>
            <w:shd w:fill="CCDEF1" w:val="clear"/>
            <w:vAlign w:val="center"/>
          </w:tcPr>
          <w:p>
            <w:pPr>
              <w:pStyle w:val="TableContents"/>
              <w:spacing w:before="0" w:after="283"/>
              <w:rPr>
                <w:sz w:val="4"/>
                <w:szCs w:val="4"/>
              </w:rPr>
            </w:pPr>
            <w:r>
              <w:rPr>
                <w:sz w:val="4"/>
                <w:szCs w:val="4"/>
              </w:rPr>
            </w:r>
          </w:p>
        </w:tc>
        <w:tc>
          <w:tcPr>
            <w:tcW w:w="915" w:type="dxa"/>
            <w:gridSpan w:val="4"/>
            <w:tcBorders/>
            <w:shd w:fill="CCDEF1" w:val="clear"/>
            <w:vAlign w:val="center"/>
          </w:tcPr>
          <w:p>
            <w:pPr>
              <w:pStyle w:val="TableContents"/>
              <w:spacing w:before="0" w:after="283"/>
              <w:rPr>
                <w:sz w:val="4"/>
                <w:szCs w:val="4"/>
              </w:rPr>
            </w:pPr>
            <w:r>
              <w:rPr>
                <w:sz w:val="4"/>
                <w:szCs w:val="4"/>
              </w:rPr>
            </w:r>
          </w:p>
        </w:tc>
        <w:tc>
          <w:tcPr>
            <w:tcW w:w="800" w:type="dxa"/>
            <w:gridSpan w:val="4"/>
            <w:tcBorders/>
            <w:shd w:fill="CCDEF1" w:val="clear"/>
            <w:vAlign w:val="center"/>
          </w:tcPr>
          <w:p>
            <w:pPr>
              <w:pStyle w:val="TableContents"/>
              <w:spacing w:before="0" w:after="283"/>
              <w:rPr>
                <w:sz w:val="4"/>
                <w:szCs w:val="4"/>
              </w:rPr>
            </w:pPr>
            <w:r>
              <w:rPr>
                <w:sz w:val="4"/>
                <w:szCs w:val="4"/>
              </w:rPr>
            </w:r>
          </w:p>
        </w:tc>
      </w:tr>
      <w:tr>
        <w:trPr/>
        <w:tc>
          <w:tcPr>
            <w:tcW w:w="3380" w:type="dxa"/>
            <w:tcBorders/>
            <w:shd w:fill="CCDEF1" w:val="clear"/>
            <w:vAlign w:val="center"/>
          </w:tcPr>
          <w:p>
            <w:pPr>
              <w:pStyle w:val="TableContents"/>
              <w:spacing w:before="0" w:after="0"/>
              <w:rPr>
                <w:rFonts w:ascii="ARIAL" w:hAnsi="ARIAL"/>
                <w:sz w:val="19"/>
              </w:rPr>
            </w:pPr>
            <w:r>
              <w:rPr>
                <w:rFonts w:ascii="ARIAL" w:hAnsi="ARIAL"/>
                <w:sz w:val="19"/>
              </w:rPr>
              <w:t>Capitalized Software Expenditures</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560" w:type="dxa"/>
            <w:tcBorders/>
            <w:shd w:fill="CCDEF1" w:val="clear"/>
            <w:vAlign w:val="center"/>
          </w:tcPr>
          <w:p>
            <w:pPr>
              <w:pStyle w:val="TableContents"/>
              <w:spacing w:before="0" w:after="283"/>
              <w:jc w:val="right"/>
              <w:rPr/>
            </w:pPr>
            <w:r>
              <w:rPr/>
              <w:t>(30</w:t>
            </w:r>
          </w:p>
        </w:tc>
        <w:tc>
          <w:tcPr>
            <w:tcW w:w="155"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560" w:type="dxa"/>
            <w:tcBorders/>
            <w:shd w:fill="CCDEF1" w:val="clear"/>
            <w:vAlign w:val="center"/>
          </w:tcPr>
          <w:p>
            <w:pPr>
              <w:pStyle w:val="TableContents"/>
              <w:spacing w:before="0" w:after="283"/>
              <w:jc w:val="right"/>
              <w:rPr/>
            </w:pPr>
            <w:r>
              <w:rPr/>
              <w:t>(30</w:t>
            </w:r>
          </w:p>
        </w:tc>
        <w:tc>
          <w:tcPr>
            <w:tcW w:w="155"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sz w:val="4"/>
                <w:szCs w:val="4"/>
              </w:rPr>
            </w:pPr>
            <w:r>
              <w:rPr>
                <w:sz w:val="4"/>
                <w:szCs w:val="4"/>
              </w:rPr>
            </w:r>
          </w:p>
        </w:tc>
        <w:tc>
          <w:tcPr>
            <w:tcW w:w="605" w:type="dxa"/>
            <w:tcBorders/>
            <w:shd w:fill="CCDEF1" w:val="clear"/>
            <w:vAlign w:val="center"/>
          </w:tcPr>
          <w:p>
            <w:pPr>
              <w:pStyle w:val="TableContents"/>
              <w:spacing w:before="0" w:after="283"/>
              <w:rPr>
                <w:sz w:val="4"/>
                <w:szCs w:val="4"/>
              </w:rPr>
            </w:pPr>
            <w:r>
              <w:rPr>
                <w:sz w:val="4"/>
                <w:szCs w:val="4"/>
              </w:rPr>
            </w:r>
          </w:p>
        </w:tc>
        <w:tc>
          <w:tcPr>
            <w:tcW w:w="75" w:type="dxa"/>
            <w:tcBorders/>
            <w:shd w:fill="CCDEF1" w:val="clear"/>
            <w:vAlign w:val="center"/>
          </w:tcPr>
          <w:p>
            <w:pPr>
              <w:pStyle w:val="TableContents"/>
              <w:spacing w:before="0" w:after="283"/>
              <w:rPr>
                <w:sz w:val="4"/>
                <w:szCs w:val="4"/>
              </w:rPr>
            </w:pPr>
            <w:r>
              <w:rPr>
                <w:sz w:val="4"/>
                <w:szCs w:val="4"/>
              </w:rPr>
            </w:r>
          </w:p>
        </w:tc>
      </w:tr>
      <w:tr>
        <w:trPr/>
        <w:tc>
          <w:tcPr>
            <w:tcW w:w="33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8" w:space="1" w:color="000000"/>
              </w:pBdr>
              <w:spacing w:before="0" w:after="0"/>
              <w:rPr/>
            </w:pPr>
            <w:r>
              <w:rPr/>
              <w:t> </w:t>
            </w:r>
          </w:p>
        </w:tc>
        <w:tc>
          <w:tcPr>
            <w:tcW w:w="2355" w:type="dxa"/>
            <w:gridSpan w:val="9"/>
            <w:tcBorders/>
            <w:shd w:fill="auto" w:val="clear"/>
            <w:vAlign w:val="center"/>
          </w:tcPr>
          <w:p>
            <w:pPr>
              <w:pStyle w:val="TableContents"/>
              <w:pBdr>
                <w:top w:val="single" w:sz="8"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3380" w:type="dxa"/>
            <w:tcBorders/>
            <w:shd w:fill="auto" w:val="clear"/>
            <w:vAlign w:val="center"/>
          </w:tcPr>
          <w:p>
            <w:pPr>
              <w:pStyle w:val="TableContents"/>
              <w:spacing w:before="0" w:after="283"/>
              <w:rPr>
                <w:sz w:val="4"/>
                <w:szCs w:val="4"/>
              </w:rPr>
            </w:pPr>
            <w:r>
              <w:rPr>
                <w:sz w:val="4"/>
                <w:szCs w:val="4"/>
              </w:rPr>
            </w:r>
          </w:p>
        </w:tc>
        <w:tc>
          <w:tcPr>
            <w:tcW w:w="975" w:type="dxa"/>
            <w:gridSpan w:val="4"/>
            <w:tcBorders/>
            <w:shd w:fill="auto" w:val="clear"/>
            <w:vAlign w:val="center"/>
          </w:tcPr>
          <w:p>
            <w:pPr>
              <w:pStyle w:val="TableContents"/>
              <w:spacing w:before="0" w:after="283"/>
              <w:rPr>
                <w:sz w:val="4"/>
                <w:szCs w:val="4"/>
              </w:rPr>
            </w:pPr>
            <w:r>
              <w:rPr>
                <w:sz w:val="4"/>
                <w:szCs w:val="4"/>
              </w:rPr>
            </w:r>
          </w:p>
        </w:tc>
        <w:tc>
          <w:tcPr>
            <w:tcW w:w="91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r>
      <w:tr>
        <w:trPr/>
        <w:tc>
          <w:tcPr>
            <w:tcW w:w="3380" w:type="dxa"/>
            <w:tcBorders/>
            <w:shd w:fill="auto" w:val="clear"/>
            <w:vAlign w:val="center"/>
          </w:tcPr>
          <w:p>
            <w:pPr>
              <w:pStyle w:val="TableContents"/>
              <w:spacing w:before="0" w:after="0"/>
              <w:rPr>
                <w:rFonts w:ascii="ARIAL" w:hAnsi="ARIAL"/>
                <w:sz w:val="19"/>
              </w:rPr>
            </w:pPr>
            <w:r>
              <w:rPr>
                <w:rFonts w:ascii="ARIAL" w:hAnsi="ARIAL"/>
                <w:sz w:val="19"/>
              </w:rPr>
              <w:t>Adjusted Free Cash Flow</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jc w:val="right"/>
              <w:rPr/>
            </w:pPr>
            <w:r>
              <w:rPr/>
              <w:t>1,598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jc w:val="right"/>
              <w:rPr/>
            </w:pPr>
            <w:r>
              <w:rPr/>
              <w:t>1,490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(7%)</w:t>
            </w:r>
          </w:p>
        </w:tc>
        <w:tc>
          <w:tcPr>
            <w:tcW w:w="75" w:type="dxa"/>
            <w:tcBorders/>
            <w:shd w:fill="auto" w:val="clear"/>
            <w:vAlign w:val="center"/>
          </w:tcPr>
          <w:p>
            <w:pPr>
              <w:pStyle w:val="TableContents"/>
              <w:spacing w:before="0" w:after="283"/>
              <w:rPr/>
            </w:pPr>
            <w:r>
              <w:rPr/>
              <w:t> </w:t>
            </w:r>
          </w:p>
        </w:tc>
      </w:tr>
      <w:tr>
        <w:trPr/>
        <w:tc>
          <w:tcPr>
            <w:tcW w:w="33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2355" w:type="dxa"/>
            <w:gridSpan w:val="9"/>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ARIAL" w:hAnsi="ARIAL"/>
          <w:sz w:val="19"/>
        </w:rPr>
      </w:pPr>
      <w:r>
        <w:rPr>
          <w:rFonts w:ascii="ARIAL" w:hAnsi="ARIAL"/>
          <w:sz w:val="19"/>
        </w:rPr>
        <w:t xml:space="preserve">Table 3: Adjusted Cash Flow Reconciliation ($M) </w:t>
      </w:r>
    </w:p>
    <w:p>
      <w:pPr>
        <w:pStyle w:val="TextBody"/>
        <w:spacing w:before="0" w:after="0"/>
        <w:jc w:val="left"/>
        <w:rPr/>
      </w:pPr>
      <w:r>
        <w:rPr/>
        <w:t> </w:t>
      </w:r>
    </w:p>
    <w:tbl>
      <w:tblPr>
        <w:tblW w:w="7100" w:type="dxa"/>
        <w:jc w:val="left"/>
        <w:tblInd w:w="0" w:type="dxa"/>
        <w:tblCellMar>
          <w:top w:w="0" w:type="dxa"/>
          <w:left w:w="0" w:type="dxa"/>
          <w:bottom w:w="0" w:type="dxa"/>
          <w:right w:w="0" w:type="dxa"/>
        </w:tblCellMar>
      </w:tblPr>
      <w:tblGrid>
        <w:gridCol w:w="4340"/>
        <w:gridCol w:w="120"/>
        <w:gridCol w:w="140"/>
        <w:gridCol w:w="380"/>
        <w:gridCol w:w="155"/>
        <w:gridCol w:w="120"/>
        <w:gridCol w:w="140"/>
        <w:gridCol w:w="560"/>
        <w:gridCol w:w="155"/>
        <w:gridCol w:w="120"/>
        <w:gridCol w:w="140"/>
        <w:gridCol w:w="560"/>
        <w:gridCol w:w="170"/>
      </w:tblGrid>
      <w:tr>
        <w:trPr/>
        <w:tc>
          <w:tcPr>
            <w:tcW w:w="43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340" w:type="dxa"/>
            <w:tcBorders/>
            <w:shd w:fill="auto" w:val="clear"/>
            <w:vAlign w:val="center"/>
          </w:tcPr>
          <w:p>
            <w:pPr>
              <w:pStyle w:val="TableContents"/>
              <w:spacing w:before="0" w:after="283"/>
              <w:rPr>
                <w:sz w:val="4"/>
                <w:szCs w:val="4"/>
              </w:rPr>
            </w:pPr>
            <w:r>
              <w:rPr>
                <w:sz w:val="4"/>
                <w:szCs w:val="4"/>
              </w:rPr>
            </w:r>
          </w:p>
        </w:tc>
        <w:tc>
          <w:tcPr>
            <w:tcW w:w="795" w:type="dxa"/>
            <w:gridSpan w:val="4"/>
            <w:tcBorders/>
            <w:shd w:fill="auto" w:val="clear"/>
            <w:vAlign w:val="center"/>
          </w:tcPr>
          <w:p>
            <w:pPr>
              <w:pStyle w:val="TableContents"/>
              <w:spacing w:before="0" w:after="283"/>
              <w:rPr>
                <w:sz w:val="4"/>
                <w:szCs w:val="4"/>
              </w:rPr>
            </w:pPr>
            <w:r>
              <w:rPr>
                <w:sz w:val="4"/>
                <w:szCs w:val="4"/>
              </w:rPr>
            </w:r>
          </w:p>
        </w:tc>
        <w:tc>
          <w:tcPr>
            <w:tcW w:w="975" w:type="dxa"/>
            <w:gridSpan w:val="4"/>
            <w:tcBorders/>
            <w:shd w:fill="auto" w:val="clear"/>
            <w:vAlign w:val="center"/>
          </w:tcPr>
          <w:p>
            <w:pPr>
              <w:pStyle w:val="TableContents"/>
              <w:spacing w:before="0" w:after="283"/>
              <w:rPr>
                <w:sz w:val="4"/>
                <w:szCs w:val="4"/>
              </w:rPr>
            </w:pPr>
            <w:r>
              <w:rPr>
                <w:sz w:val="4"/>
                <w:szCs w:val="4"/>
              </w:rPr>
            </w:r>
          </w:p>
        </w:tc>
        <w:tc>
          <w:tcPr>
            <w:tcW w:w="990" w:type="dxa"/>
            <w:gridSpan w:val="4"/>
            <w:tcBorders/>
            <w:shd w:fill="auto" w:val="clear"/>
            <w:vAlign w:val="center"/>
          </w:tcPr>
          <w:p>
            <w:pPr>
              <w:pStyle w:val="TableContents"/>
              <w:spacing w:before="0" w:after="283"/>
              <w:rPr>
                <w:sz w:val="4"/>
                <w:szCs w:val="4"/>
              </w:rPr>
            </w:pPr>
            <w:r>
              <w:rPr>
                <w:sz w:val="4"/>
                <w:szCs w:val="4"/>
              </w:rPr>
            </w:r>
          </w:p>
        </w:tc>
      </w:tr>
      <w:tr>
        <w:trPr/>
        <w:tc>
          <w:tcPr>
            <w:tcW w:w="4340" w:type="dxa"/>
            <w:tcBorders/>
            <w:shd w:fill="auto" w:val="cle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520" w:type="dxa"/>
            <w:gridSpan w:val="2"/>
            <w:tcBorders>
              <w:bottom w:val="single" w:sz="8" w:space="0" w:color="000000"/>
            </w:tcBorders>
            <w:shd w:fill="auto" w:val="clear"/>
            <w:tcMar>
              <w:bottom w:w="28" w:type="dxa"/>
            </w:tcMar>
            <w:vAlign w:val="center"/>
          </w:tcPr>
          <w:p>
            <w:pPr>
              <w:pStyle w:val="TableContents"/>
              <w:spacing w:before="0" w:after="283"/>
              <w:jc w:val="center"/>
              <w:rPr/>
            </w:pPr>
            <w:r>
              <w:rPr/>
              <w:t>2012</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center"/>
          </w:tcPr>
          <w:p>
            <w:pPr>
              <w:pStyle w:val="TableContents"/>
              <w:spacing w:before="0" w:after="283"/>
              <w:jc w:val="center"/>
              <w:rPr/>
            </w:pPr>
            <w:r>
              <w:rPr/>
              <w:t>2017</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340" w:type="dxa"/>
            <w:tcBorders/>
            <w:shd w:fill="CCDEF1" w:val="clear"/>
            <w:vAlign w:val="center"/>
          </w:tcPr>
          <w:p>
            <w:pPr>
              <w:pStyle w:val="TableContents"/>
              <w:spacing w:before="0" w:after="283"/>
              <w:rPr>
                <w:sz w:val="4"/>
                <w:szCs w:val="4"/>
              </w:rPr>
            </w:pPr>
            <w:r>
              <w:rPr>
                <w:sz w:val="4"/>
                <w:szCs w:val="4"/>
              </w:rPr>
            </w:r>
          </w:p>
        </w:tc>
        <w:tc>
          <w:tcPr>
            <w:tcW w:w="795" w:type="dxa"/>
            <w:gridSpan w:val="4"/>
            <w:tcBorders/>
            <w:shd w:fill="CCDEF1" w:val="clear"/>
            <w:vAlign w:val="center"/>
          </w:tcPr>
          <w:p>
            <w:pPr>
              <w:pStyle w:val="TableContents"/>
              <w:spacing w:before="0" w:after="283"/>
              <w:rPr>
                <w:sz w:val="4"/>
                <w:szCs w:val="4"/>
              </w:rPr>
            </w:pPr>
            <w:r>
              <w:rPr>
                <w:sz w:val="4"/>
                <w:szCs w:val="4"/>
              </w:rPr>
            </w:r>
          </w:p>
        </w:tc>
        <w:tc>
          <w:tcPr>
            <w:tcW w:w="975" w:type="dxa"/>
            <w:gridSpan w:val="4"/>
            <w:tcBorders/>
            <w:shd w:fill="CCDEF1" w:val="clear"/>
            <w:vAlign w:val="center"/>
          </w:tcPr>
          <w:p>
            <w:pPr>
              <w:pStyle w:val="TableContents"/>
              <w:spacing w:before="0" w:after="283"/>
              <w:rPr>
                <w:sz w:val="4"/>
                <w:szCs w:val="4"/>
              </w:rPr>
            </w:pPr>
            <w:r>
              <w:rPr>
                <w:sz w:val="4"/>
                <w:szCs w:val="4"/>
              </w:rPr>
            </w:r>
          </w:p>
        </w:tc>
        <w:tc>
          <w:tcPr>
            <w:tcW w:w="990" w:type="dxa"/>
            <w:gridSpan w:val="4"/>
            <w:tcBorders/>
            <w:shd w:fill="CCDEF1" w:val="clear"/>
            <w:vAlign w:val="center"/>
          </w:tcPr>
          <w:p>
            <w:pPr>
              <w:pStyle w:val="TableContents"/>
              <w:spacing w:before="0" w:after="283"/>
              <w:rPr>
                <w:sz w:val="4"/>
                <w:szCs w:val="4"/>
              </w:rPr>
            </w:pPr>
            <w:r>
              <w:rPr>
                <w:sz w:val="4"/>
                <w:szCs w:val="4"/>
              </w:rPr>
            </w:r>
          </w:p>
        </w:tc>
      </w:tr>
      <w:tr>
        <w:trPr/>
        <w:tc>
          <w:tcPr>
            <w:tcW w:w="4340" w:type="dxa"/>
            <w:tcBorders/>
            <w:shd w:fill="CCDEF1" w:val="clear"/>
            <w:vAlign w:val="center"/>
          </w:tcPr>
          <w:p>
            <w:pPr>
              <w:pStyle w:val="TableContents"/>
              <w:spacing w:before="0" w:after="0"/>
              <w:rPr>
                <w:rFonts w:ascii="ARIAL" w:hAnsi="ARIAL"/>
                <w:sz w:val="19"/>
              </w:rPr>
            </w:pPr>
            <w:r>
              <w:rPr>
                <w:rFonts w:ascii="ARIAL" w:hAnsi="ARIAL"/>
                <w:sz w:val="19"/>
              </w:rPr>
              <w:t>Operating Cash Flow</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380" w:type="dxa"/>
            <w:tcBorders/>
            <w:shd w:fill="CCDEF1" w:val="clear"/>
            <w:vAlign w:val="center"/>
          </w:tcPr>
          <w:p>
            <w:pPr>
              <w:pStyle w:val="TableContents"/>
              <w:spacing w:before="0" w:after="283"/>
              <w:jc w:val="right"/>
              <w:rPr/>
            </w:pPr>
            <w:r>
              <w:rPr/>
              <w:t>678</w:t>
            </w:r>
          </w:p>
        </w:tc>
        <w:tc>
          <w:tcPr>
            <w:tcW w:w="155"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1,234</w:t>
            </w:r>
          </w:p>
        </w:tc>
        <w:tc>
          <w:tcPr>
            <w:tcW w:w="155"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735</w:t>
            </w:r>
          </w:p>
        </w:tc>
        <w:tc>
          <w:tcPr>
            <w:tcW w:w="170" w:type="dxa"/>
            <w:tcBorders/>
            <w:shd w:fill="CCDEF1" w:val="clear"/>
            <w:vAlign w:val="center"/>
          </w:tcPr>
          <w:p>
            <w:pPr>
              <w:pStyle w:val="TableContents"/>
              <w:spacing w:before="0" w:after="283"/>
              <w:rPr/>
            </w:pPr>
            <w:r>
              <w:rPr/>
              <w:t> </w:t>
            </w:r>
          </w:p>
        </w:tc>
      </w:tr>
      <w:tr>
        <w:trPr/>
        <w:tc>
          <w:tcPr>
            <w:tcW w:w="4340" w:type="dxa"/>
            <w:tcBorders/>
            <w:shd w:fill="auto" w:val="clear"/>
            <w:vAlign w:val="center"/>
          </w:tcPr>
          <w:p>
            <w:pPr>
              <w:pStyle w:val="TableContents"/>
              <w:spacing w:before="0" w:after="0"/>
              <w:rPr>
                <w:rFonts w:ascii="ARIAL" w:hAnsi="ARIAL"/>
                <w:sz w:val="19"/>
              </w:rPr>
            </w:pPr>
            <w:r>
              <w:rPr>
                <w:rFonts w:ascii="ARIAL" w:hAnsi="ARIAL"/>
                <w:sz w:val="19"/>
              </w:rPr>
              <w:t>Cash taxes paid on sale of divested businesses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954</w:t>
            </w:r>
          </w:p>
        </w:tc>
        <w:tc>
          <w:tcPr>
            <w:tcW w:w="170" w:type="dxa"/>
            <w:tcBorders/>
            <w:shd w:fill="auto" w:val="clear"/>
            <w:vAlign w:val="center"/>
          </w:tcPr>
          <w:p>
            <w:pPr>
              <w:pStyle w:val="TableContents"/>
              <w:spacing w:before="0" w:after="283"/>
              <w:rPr/>
            </w:pPr>
            <w:r>
              <w:rPr/>
              <w:t> </w:t>
            </w:r>
          </w:p>
        </w:tc>
      </w:tr>
      <w:tr>
        <w:trPr/>
        <w:tc>
          <w:tcPr>
            <w:tcW w:w="4340" w:type="dxa"/>
            <w:tcBorders/>
            <w:shd w:fill="CCDEF1" w:val="clear"/>
            <w:vAlign w:val="center"/>
          </w:tcPr>
          <w:p>
            <w:pPr>
              <w:pStyle w:val="TableContents"/>
              <w:spacing w:before="0" w:after="283"/>
              <w:rPr>
                <w:sz w:val="4"/>
                <w:szCs w:val="4"/>
              </w:rPr>
            </w:pPr>
            <w:r>
              <w:rPr>
                <w:sz w:val="4"/>
                <w:szCs w:val="4"/>
              </w:rPr>
            </w:r>
          </w:p>
        </w:tc>
        <w:tc>
          <w:tcPr>
            <w:tcW w:w="795" w:type="dxa"/>
            <w:gridSpan w:val="4"/>
            <w:tcBorders/>
            <w:shd w:fill="CCDEF1" w:val="clear"/>
            <w:vAlign w:val="center"/>
          </w:tcPr>
          <w:p>
            <w:pPr>
              <w:pStyle w:val="TableContents"/>
              <w:spacing w:before="0" w:after="283"/>
              <w:rPr>
                <w:sz w:val="4"/>
                <w:szCs w:val="4"/>
              </w:rPr>
            </w:pPr>
            <w:r>
              <w:rPr>
                <w:sz w:val="4"/>
                <w:szCs w:val="4"/>
              </w:rPr>
            </w:r>
          </w:p>
        </w:tc>
        <w:tc>
          <w:tcPr>
            <w:tcW w:w="975" w:type="dxa"/>
            <w:gridSpan w:val="4"/>
            <w:tcBorders/>
            <w:shd w:fill="CCDEF1" w:val="clear"/>
            <w:vAlign w:val="center"/>
          </w:tcPr>
          <w:p>
            <w:pPr>
              <w:pStyle w:val="TableContents"/>
              <w:spacing w:before="0" w:after="283"/>
              <w:rPr>
                <w:sz w:val="4"/>
                <w:szCs w:val="4"/>
              </w:rPr>
            </w:pPr>
            <w:r>
              <w:rPr>
                <w:sz w:val="4"/>
                <w:szCs w:val="4"/>
              </w:rPr>
            </w:r>
          </w:p>
        </w:tc>
        <w:tc>
          <w:tcPr>
            <w:tcW w:w="990" w:type="dxa"/>
            <w:gridSpan w:val="4"/>
            <w:tcBorders/>
            <w:shd w:fill="CCDEF1" w:val="clear"/>
            <w:vAlign w:val="center"/>
          </w:tcPr>
          <w:p>
            <w:pPr>
              <w:pStyle w:val="TableContents"/>
              <w:spacing w:before="0" w:after="283"/>
              <w:rPr>
                <w:sz w:val="4"/>
                <w:szCs w:val="4"/>
              </w:rPr>
            </w:pPr>
            <w:r>
              <w:rPr>
                <w:sz w:val="4"/>
                <w:szCs w:val="4"/>
              </w:rPr>
            </w:r>
          </w:p>
        </w:tc>
      </w:tr>
      <w:tr>
        <w:trPr/>
        <w:tc>
          <w:tcPr>
            <w:tcW w:w="4340" w:type="dxa"/>
            <w:tcBorders/>
            <w:shd w:fill="CCDEF1" w:val="clear"/>
            <w:vAlign w:val="center"/>
          </w:tcPr>
          <w:p>
            <w:pPr>
              <w:pStyle w:val="TableContents"/>
              <w:spacing w:before="0" w:after="0"/>
              <w:rPr>
                <w:rFonts w:ascii="ARIAL" w:hAnsi="ARIAL"/>
                <w:sz w:val="19"/>
              </w:rPr>
            </w:pPr>
            <w:r>
              <w:rPr>
                <w:rFonts w:ascii="ARIAL" w:hAnsi="ARIAL"/>
                <w:sz w:val="19"/>
              </w:rPr>
              <w:t>Adjusted Operating Cash Flow</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380" w:type="dxa"/>
            <w:tcBorders/>
            <w:shd w:fill="CCDEF1" w:val="clear"/>
            <w:vAlign w:val="center"/>
          </w:tcPr>
          <w:p>
            <w:pPr>
              <w:pStyle w:val="TableContents"/>
              <w:spacing w:before="0" w:after="283"/>
              <w:jc w:val="right"/>
              <w:rPr/>
            </w:pPr>
            <w:r>
              <w:rPr/>
              <w:t>678</w:t>
            </w:r>
          </w:p>
        </w:tc>
        <w:tc>
          <w:tcPr>
            <w:tcW w:w="155"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1,234</w:t>
            </w:r>
          </w:p>
        </w:tc>
        <w:tc>
          <w:tcPr>
            <w:tcW w:w="155"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1,688</w:t>
            </w:r>
          </w:p>
        </w:tc>
        <w:tc>
          <w:tcPr>
            <w:tcW w:w="170" w:type="dxa"/>
            <w:tcBorders/>
            <w:shd w:fill="CCDEF1" w:val="clear"/>
            <w:vAlign w:val="center"/>
          </w:tcPr>
          <w:p>
            <w:pPr>
              <w:pStyle w:val="TableContents"/>
              <w:spacing w:before="0" w:after="283"/>
              <w:rPr/>
            </w:pPr>
            <w:r>
              <w:rPr/>
              <w:t> </w:t>
            </w:r>
          </w:p>
        </w:tc>
      </w:tr>
      <w:tr>
        <w:trPr/>
        <w:tc>
          <w:tcPr>
            <w:tcW w:w="43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8" w:space="1" w:color="000000"/>
              </w:pBdr>
              <w:spacing w:before="0" w:after="0"/>
              <w:rPr/>
            </w:pPr>
            <w:r>
              <w:rPr/>
              <w:t> </w:t>
            </w:r>
          </w:p>
        </w:tc>
        <w:tc>
          <w:tcPr>
            <w:tcW w:w="2330" w:type="dxa"/>
            <w:gridSpan w:val="9"/>
            <w:tcBorders/>
            <w:shd w:fill="auto" w:val="clear"/>
            <w:vAlign w:val="center"/>
          </w:tcPr>
          <w:p>
            <w:pPr>
              <w:pStyle w:val="TableContents"/>
              <w:pBdr>
                <w:top w:val="single" w:sz="8"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4340" w:type="dxa"/>
            <w:tcBorders/>
            <w:shd w:fill="auto" w:val="clear"/>
            <w:vAlign w:val="center"/>
          </w:tcPr>
          <w:p>
            <w:pPr>
              <w:pStyle w:val="TableContents"/>
              <w:spacing w:before="0" w:after="0"/>
              <w:rPr>
                <w:rFonts w:ascii="ARIAL" w:hAnsi="ARIAL"/>
                <w:sz w:val="19"/>
              </w:rPr>
            </w:pPr>
            <w:r>
              <w:rPr>
                <w:rFonts w:ascii="ARIAL" w:hAnsi="ARIAL"/>
                <w:sz w:val="19"/>
              </w:rPr>
              <w:t>Capital Expenditures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(38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(40</w:t>
            </w:r>
          </w:p>
        </w:tc>
        <w:tc>
          <w:tcPr>
            <w:tcW w:w="170" w:type="dxa"/>
            <w:tcBorders/>
            <w:shd w:fill="auto" w:val="clear"/>
            <w:vAlign w:val="center"/>
          </w:tcPr>
          <w:p>
            <w:pPr>
              <w:pStyle w:val="TableContents"/>
              <w:spacing w:before="0" w:after="283"/>
              <w:rPr/>
            </w:pPr>
            <w:r>
              <w:rPr/>
              <w:t>) </w:t>
            </w:r>
          </w:p>
        </w:tc>
      </w:tr>
      <w:tr>
        <w:trPr/>
        <w:tc>
          <w:tcPr>
            <w:tcW w:w="4340" w:type="dxa"/>
            <w:tcBorders/>
            <w:shd w:fill="CCDEF1" w:val="clear"/>
            <w:vAlign w:val="center"/>
          </w:tcPr>
          <w:p>
            <w:pPr>
              <w:pStyle w:val="TableContents"/>
              <w:spacing w:before="0" w:after="0"/>
              <w:rPr>
                <w:rFonts w:ascii="ARIAL" w:hAnsi="ARIAL"/>
                <w:sz w:val="19"/>
              </w:rPr>
            </w:pPr>
            <w:r>
              <w:rPr>
                <w:rFonts w:ascii="ARIAL" w:hAnsi="ARIAL"/>
                <w:sz w:val="19"/>
              </w:rPr>
              <w:t>Capitalized Software Expenditures</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380" w:type="dxa"/>
            <w:tcBorders/>
            <w:shd w:fill="CCDEF1" w:val="clear"/>
            <w:vAlign w:val="center"/>
          </w:tcPr>
          <w:p>
            <w:pPr>
              <w:pStyle w:val="TableContents"/>
              <w:spacing w:before="0" w:after="283"/>
              <w:jc w:val="right"/>
              <w:rPr/>
            </w:pPr>
            <w:r>
              <w:rPr/>
              <w:t>(1</w:t>
            </w:r>
          </w:p>
        </w:tc>
        <w:tc>
          <w:tcPr>
            <w:tcW w:w="155"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560" w:type="dxa"/>
            <w:tcBorders/>
            <w:shd w:fill="CCDEF1" w:val="clear"/>
            <w:vAlign w:val="center"/>
          </w:tcPr>
          <w:p>
            <w:pPr>
              <w:pStyle w:val="TableContents"/>
              <w:spacing w:before="0" w:after="283"/>
              <w:jc w:val="right"/>
              <w:rPr/>
            </w:pPr>
            <w:r>
              <w:rPr/>
              <w:t>(11</w:t>
            </w:r>
          </w:p>
        </w:tc>
        <w:tc>
          <w:tcPr>
            <w:tcW w:w="155"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 </w:t>
            </w:r>
          </w:p>
        </w:tc>
        <w:tc>
          <w:tcPr>
            <w:tcW w:w="560" w:type="dxa"/>
            <w:tcBorders/>
            <w:shd w:fill="CCDEF1" w:val="clear"/>
            <w:vAlign w:val="center"/>
          </w:tcPr>
          <w:p>
            <w:pPr>
              <w:pStyle w:val="TableContents"/>
              <w:spacing w:before="0" w:after="283"/>
              <w:jc w:val="right"/>
              <w:rPr/>
            </w:pPr>
            <w:r>
              <w:rPr/>
              <w:t>(30</w:t>
            </w:r>
          </w:p>
        </w:tc>
        <w:tc>
          <w:tcPr>
            <w:tcW w:w="170" w:type="dxa"/>
            <w:tcBorders/>
            <w:shd w:fill="CCDEF1" w:val="clear"/>
            <w:vAlign w:val="center"/>
          </w:tcPr>
          <w:p>
            <w:pPr>
              <w:pStyle w:val="TableContents"/>
              <w:spacing w:before="0" w:after="283"/>
              <w:rPr/>
            </w:pPr>
            <w:r>
              <w:rPr/>
              <w:t>) </w:t>
            </w:r>
          </w:p>
        </w:tc>
      </w:tr>
      <w:tr>
        <w:trPr/>
        <w:tc>
          <w:tcPr>
            <w:tcW w:w="4340" w:type="dxa"/>
            <w:tcBorders/>
            <w:shd w:fill="auto" w:val="clear"/>
            <w:vAlign w:val="center"/>
          </w:tcPr>
          <w:p>
            <w:pPr>
              <w:pStyle w:val="TableContents"/>
              <w:spacing w:before="0" w:after="0"/>
              <w:rPr>
                <w:rFonts w:ascii="ARIAL" w:hAnsi="ARIAL"/>
                <w:sz w:val="19"/>
              </w:rPr>
            </w:pPr>
            <w:r>
              <w:rPr>
                <w:rFonts w:ascii="ARIAL" w:hAnsi="ARIAL"/>
                <w:sz w:val="19"/>
              </w:rPr>
              <w:t>Investing Activities from Discontinued Operations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(6</w:t>
            </w:r>
          </w:p>
        </w:tc>
        <w:tc>
          <w:tcPr>
            <w:tcW w:w="170" w:type="dxa"/>
            <w:tcBorders/>
            <w:shd w:fill="auto" w:val="clear"/>
            <w:vAlign w:val="center"/>
          </w:tcPr>
          <w:p>
            <w:pPr>
              <w:pStyle w:val="TableContents"/>
              <w:spacing w:before="0" w:after="283"/>
              <w:rPr/>
            </w:pPr>
            <w:r>
              <w:rPr/>
              <w:t>) </w:t>
            </w:r>
          </w:p>
        </w:tc>
      </w:tr>
      <w:tr>
        <w:trPr/>
        <w:tc>
          <w:tcPr>
            <w:tcW w:w="43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8" w:space="1" w:color="000000"/>
              </w:pBdr>
              <w:spacing w:before="0" w:after="0"/>
              <w:rPr/>
            </w:pPr>
            <w:r>
              <w:rPr/>
              <w:t> </w:t>
            </w:r>
          </w:p>
        </w:tc>
        <w:tc>
          <w:tcPr>
            <w:tcW w:w="2330" w:type="dxa"/>
            <w:gridSpan w:val="9"/>
            <w:tcBorders/>
            <w:shd w:fill="auto" w:val="clear"/>
            <w:vAlign w:val="center"/>
          </w:tcPr>
          <w:p>
            <w:pPr>
              <w:pStyle w:val="TableContents"/>
              <w:pBdr>
                <w:top w:val="single" w:sz="8"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4340" w:type="dxa"/>
            <w:tcBorders/>
            <w:shd w:fill="CCDEF1" w:val="clear"/>
            <w:vAlign w:val="center"/>
          </w:tcPr>
          <w:p>
            <w:pPr>
              <w:pStyle w:val="TableContents"/>
              <w:spacing w:before="0" w:after="283"/>
              <w:rPr>
                <w:sz w:val="4"/>
                <w:szCs w:val="4"/>
              </w:rPr>
            </w:pPr>
            <w:r>
              <w:rPr>
                <w:sz w:val="4"/>
                <w:szCs w:val="4"/>
              </w:rPr>
            </w:r>
          </w:p>
        </w:tc>
        <w:tc>
          <w:tcPr>
            <w:tcW w:w="795" w:type="dxa"/>
            <w:gridSpan w:val="4"/>
            <w:tcBorders/>
            <w:shd w:fill="CCDEF1" w:val="clear"/>
            <w:vAlign w:val="center"/>
          </w:tcPr>
          <w:p>
            <w:pPr>
              <w:pStyle w:val="TableContents"/>
              <w:spacing w:before="0" w:after="283"/>
              <w:rPr>
                <w:sz w:val="4"/>
                <w:szCs w:val="4"/>
              </w:rPr>
            </w:pPr>
            <w:r>
              <w:rPr>
                <w:sz w:val="4"/>
                <w:szCs w:val="4"/>
              </w:rPr>
            </w:r>
          </w:p>
        </w:tc>
        <w:tc>
          <w:tcPr>
            <w:tcW w:w="975" w:type="dxa"/>
            <w:gridSpan w:val="4"/>
            <w:tcBorders/>
            <w:shd w:fill="CCDEF1" w:val="clear"/>
            <w:vAlign w:val="center"/>
          </w:tcPr>
          <w:p>
            <w:pPr>
              <w:pStyle w:val="TableContents"/>
              <w:spacing w:before="0" w:after="283"/>
              <w:rPr>
                <w:sz w:val="4"/>
                <w:szCs w:val="4"/>
              </w:rPr>
            </w:pPr>
            <w:r>
              <w:rPr>
                <w:sz w:val="4"/>
                <w:szCs w:val="4"/>
              </w:rPr>
            </w:r>
          </w:p>
        </w:tc>
        <w:tc>
          <w:tcPr>
            <w:tcW w:w="990" w:type="dxa"/>
            <w:gridSpan w:val="4"/>
            <w:tcBorders/>
            <w:shd w:fill="CCDEF1" w:val="clear"/>
            <w:vAlign w:val="center"/>
          </w:tcPr>
          <w:p>
            <w:pPr>
              <w:pStyle w:val="TableContents"/>
              <w:spacing w:before="0" w:after="283"/>
              <w:rPr>
                <w:sz w:val="4"/>
                <w:szCs w:val="4"/>
              </w:rPr>
            </w:pPr>
            <w:r>
              <w:rPr>
                <w:sz w:val="4"/>
                <w:szCs w:val="4"/>
              </w:rPr>
            </w:r>
          </w:p>
        </w:tc>
      </w:tr>
      <w:tr>
        <w:trPr/>
        <w:tc>
          <w:tcPr>
            <w:tcW w:w="4340" w:type="dxa"/>
            <w:tcBorders/>
            <w:shd w:fill="CCDEF1" w:val="clear"/>
            <w:vAlign w:val="center"/>
          </w:tcPr>
          <w:p>
            <w:pPr>
              <w:pStyle w:val="TableContents"/>
              <w:spacing w:before="0" w:after="0"/>
              <w:rPr>
                <w:rFonts w:ascii="ARIAL" w:hAnsi="ARIAL"/>
                <w:sz w:val="19"/>
              </w:rPr>
            </w:pPr>
            <w:r>
              <w:rPr>
                <w:rFonts w:ascii="ARIAL" w:hAnsi="ARIAL"/>
                <w:sz w:val="19"/>
              </w:rPr>
              <w:t>Adjusted Free Cash Flow</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380" w:type="dxa"/>
            <w:tcBorders/>
            <w:shd w:fill="CCDEF1" w:val="clear"/>
            <w:vAlign w:val="center"/>
          </w:tcPr>
          <w:p>
            <w:pPr>
              <w:pStyle w:val="TableContents"/>
              <w:spacing w:before="0" w:after="283"/>
              <w:jc w:val="right"/>
              <w:rPr/>
            </w:pPr>
            <w:r>
              <w:rPr/>
              <w:t>639</w:t>
            </w:r>
          </w:p>
        </w:tc>
        <w:tc>
          <w:tcPr>
            <w:tcW w:w="155"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1,175</w:t>
            </w:r>
          </w:p>
        </w:tc>
        <w:tc>
          <w:tcPr>
            <w:tcW w:w="155"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1,613</w:t>
            </w:r>
          </w:p>
        </w:tc>
        <w:tc>
          <w:tcPr>
            <w:tcW w:w="170" w:type="dxa"/>
            <w:tcBorders/>
            <w:shd w:fill="CCDEF1" w:val="clear"/>
            <w:vAlign w:val="center"/>
          </w:tcPr>
          <w:p>
            <w:pPr>
              <w:pStyle w:val="TableContents"/>
              <w:spacing w:before="0" w:after="283"/>
              <w:rPr/>
            </w:pPr>
            <w:r>
              <w:rPr/>
              <w:t> </w:t>
            </w:r>
          </w:p>
        </w:tc>
      </w:tr>
      <w:tr>
        <w:trPr/>
        <w:tc>
          <w:tcPr>
            <w:tcW w:w="43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2330" w:type="dxa"/>
            <w:gridSpan w:val="9"/>
            <w:tcBorders/>
            <w:shd w:fill="auto" w:val="clear"/>
            <w:vAlign w:val="center"/>
          </w:tcPr>
          <w:p>
            <w:pPr>
              <w:pStyle w:val="TableContents"/>
              <w:pBdr>
                <w:top w:val="double" w:sz="6"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6190" w:type="dxa"/>
        <w:jc w:val="left"/>
        <w:tblInd w:w="0" w:type="dxa"/>
        <w:tblCellMar>
          <w:top w:w="0" w:type="dxa"/>
          <w:left w:w="0" w:type="dxa"/>
          <w:bottom w:w="0" w:type="dxa"/>
          <w:right w:w="0" w:type="dxa"/>
        </w:tblCellMar>
      </w:tblPr>
      <w:tblGrid>
        <w:gridCol w:w="410"/>
        <w:gridCol w:w="60"/>
        <w:gridCol w:w="240"/>
        <w:gridCol w:w="60"/>
        <w:gridCol w:w="255"/>
        <w:gridCol w:w="60"/>
        <w:gridCol w:w="5105"/>
      </w:tblGrid>
      <w:tr>
        <w:trPr/>
        <w:tc>
          <w:tcPr>
            <w:tcW w:w="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410" w:type="dxa"/>
            <w:tcBorders/>
            <w:shd w:fill="auto" w:val="clear"/>
            <w:vAlign w:val="center"/>
          </w:tcPr>
          <w:p>
            <w:pPr>
              <w:pStyle w:val="TableContents"/>
              <w:spacing w:before="0" w:after="283"/>
              <w:rPr>
                <w:b/>
                <w:color w:val="005CB9"/>
              </w:rPr>
            </w:pPr>
            <w:r>
              <w:rPr>
                <w:b/>
                <w:color w:val="005CB9"/>
              </w:rPr>
              <w:t>A-1</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7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20" descr=""/>
                          <pic:cNvPicPr>
                            <a:picLocks noChangeAspect="1" noChangeArrowheads="1"/>
                          </pic:cNvPicPr>
                        </pic:nvPicPr>
                        <pic:blipFill>
                          <a:blip r:embed="rId121"/>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sz w:val="19"/>
        </w:rPr>
      </w:pPr>
      <w:r>
        <w:rPr>
          <w:rFonts w:ascii="ARIAL" w:hAnsi="ARIAL"/>
          <w:sz w:val="19"/>
        </w:rPr>
        <w:t xml:space="preserve">Table 4: 2022 Adjusted Revenue Reconciliation ($M) </w:t>
      </w:r>
    </w:p>
    <w:p>
      <w:pPr>
        <w:pStyle w:val="TextBody"/>
        <w:spacing w:before="0" w:after="0"/>
        <w:jc w:val="left"/>
        <w:rPr>
          <w:rFonts w:ascii="ARIAL" w:hAnsi="ARIAL"/>
          <w:sz w:val="19"/>
        </w:rPr>
      </w:pPr>
      <w:r>
        <w:rPr>
          <w:rFonts w:ascii="ARIAL" w:hAnsi="ARIAL"/>
          <w:sz w:val="19"/>
        </w:rPr>
        <w:t xml:space="preserve">(From Continuing Operations) </w:t>
      </w:r>
    </w:p>
    <w:p>
      <w:pPr>
        <w:pStyle w:val="TextBody"/>
        <w:spacing w:before="0" w:after="0"/>
        <w:jc w:val="left"/>
        <w:rPr/>
      </w:pPr>
      <w:r>
        <w:rPr/>
        <w:t> </w:t>
      </w:r>
    </w:p>
    <w:tbl>
      <w:tblPr>
        <w:tblW w:w="7920" w:type="dxa"/>
        <w:jc w:val="left"/>
        <w:tblInd w:w="0" w:type="dxa"/>
        <w:tblCellMar>
          <w:top w:w="0" w:type="dxa"/>
          <w:left w:w="0" w:type="dxa"/>
          <w:bottom w:w="0" w:type="dxa"/>
          <w:right w:w="0" w:type="dxa"/>
        </w:tblCellMar>
      </w:tblPr>
      <w:tblGrid>
        <w:gridCol w:w="5420"/>
        <w:gridCol w:w="120"/>
        <w:gridCol w:w="140"/>
        <w:gridCol w:w="560"/>
        <w:gridCol w:w="60"/>
        <w:gridCol w:w="120"/>
        <w:gridCol w:w="140"/>
        <w:gridCol w:w="560"/>
        <w:gridCol w:w="60"/>
        <w:gridCol w:w="120"/>
        <w:gridCol w:w="60"/>
        <w:gridCol w:w="485"/>
        <w:gridCol w:w="75"/>
      </w:tblGrid>
      <w:tr>
        <w:trPr/>
        <w:tc>
          <w:tcPr>
            <w:tcW w:w="54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420" w:type="dxa"/>
            <w:tcBorders/>
            <w:shd w:fill="auto" w:val="clear"/>
            <w:vAlign w:val="center"/>
          </w:tcPr>
          <w:p>
            <w:pPr>
              <w:pStyle w:val="TableContents"/>
              <w:spacing w:before="0" w:after="283"/>
              <w:rPr>
                <w:sz w:val="4"/>
                <w:szCs w:val="4"/>
              </w:rPr>
            </w:pPr>
            <w:r>
              <w:rPr>
                <w:sz w:val="4"/>
                <w:szCs w:val="4"/>
              </w:rPr>
            </w:r>
          </w:p>
        </w:tc>
        <w:tc>
          <w:tcPr>
            <w:tcW w:w="880" w:type="dxa"/>
            <w:gridSpan w:val="4"/>
            <w:tcBorders/>
            <w:shd w:fill="auto" w:val="clear"/>
            <w:vAlign w:val="center"/>
          </w:tcPr>
          <w:p>
            <w:pPr>
              <w:pStyle w:val="TableContents"/>
              <w:spacing w:before="0" w:after="283"/>
              <w:rPr>
                <w:sz w:val="4"/>
                <w:szCs w:val="4"/>
              </w:rPr>
            </w:pPr>
            <w:r>
              <w:rPr>
                <w:sz w:val="4"/>
                <w:szCs w:val="4"/>
              </w:rPr>
            </w:r>
          </w:p>
        </w:tc>
        <w:tc>
          <w:tcPr>
            <w:tcW w:w="880"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r>
      <w:tr>
        <w:trPr/>
        <w:tc>
          <w:tcPr>
            <w:tcW w:w="5420" w:type="dxa"/>
            <w:tcBorders/>
            <w:shd w:fill="auto" w:val="cle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545" w:type="dxa"/>
            <w:gridSpan w:val="2"/>
            <w:tcBorders>
              <w:bottom w:val="single" w:sz="8" w:space="0" w:color="000000"/>
            </w:tcBorders>
            <w:shd w:fill="auto" w:val="clear"/>
            <w:tcMar>
              <w:bottom w:w="28" w:type="dxa"/>
            </w:tcMar>
            <w:vAlign w:val="center"/>
          </w:tcPr>
          <w:p>
            <w:pPr>
              <w:pStyle w:val="TableContents"/>
              <w:spacing w:before="0" w:after="283"/>
              <w:jc w:val="center"/>
              <w:rPr/>
            </w:pPr>
            <w:r>
              <w:rPr/>
              <w:t>V%</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5420" w:type="dxa"/>
            <w:tcBorders/>
            <w:shd w:fill="CCDEF1" w:val="clear"/>
            <w:vAlign w:val="center"/>
          </w:tcPr>
          <w:p>
            <w:pPr>
              <w:pStyle w:val="TableContents"/>
              <w:spacing w:before="0" w:after="283"/>
              <w:rPr>
                <w:sz w:val="4"/>
                <w:szCs w:val="4"/>
              </w:rPr>
            </w:pPr>
            <w:r>
              <w:rPr>
                <w:sz w:val="4"/>
                <w:szCs w:val="4"/>
              </w:rPr>
            </w:r>
          </w:p>
        </w:tc>
        <w:tc>
          <w:tcPr>
            <w:tcW w:w="880" w:type="dxa"/>
            <w:gridSpan w:val="4"/>
            <w:tcBorders/>
            <w:shd w:fill="CCDEF1" w:val="clear"/>
            <w:vAlign w:val="center"/>
          </w:tcPr>
          <w:p>
            <w:pPr>
              <w:pStyle w:val="TableContents"/>
              <w:spacing w:before="0" w:after="283"/>
              <w:rPr>
                <w:sz w:val="4"/>
                <w:szCs w:val="4"/>
              </w:rPr>
            </w:pPr>
            <w:r>
              <w:rPr>
                <w:sz w:val="4"/>
                <w:szCs w:val="4"/>
              </w:rPr>
            </w:r>
          </w:p>
        </w:tc>
        <w:tc>
          <w:tcPr>
            <w:tcW w:w="880" w:type="dxa"/>
            <w:gridSpan w:val="4"/>
            <w:tcBorders/>
            <w:shd w:fill="CCDEF1" w:val="clear"/>
            <w:vAlign w:val="center"/>
          </w:tcPr>
          <w:p>
            <w:pPr>
              <w:pStyle w:val="TableContents"/>
              <w:spacing w:before="0" w:after="283"/>
              <w:rPr>
                <w:sz w:val="4"/>
                <w:szCs w:val="4"/>
              </w:rPr>
            </w:pPr>
            <w:r>
              <w:rPr>
                <w:sz w:val="4"/>
                <w:szCs w:val="4"/>
              </w:rPr>
            </w:r>
          </w:p>
        </w:tc>
        <w:tc>
          <w:tcPr>
            <w:tcW w:w="740" w:type="dxa"/>
            <w:gridSpan w:val="4"/>
            <w:tcBorders/>
            <w:shd w:fill="CCDEF1" w:val="clear"/>
            <w:vAlign w:val="center"/>
          </w:tcPr>
          <w:p>
            <w:pPr>
              <w:pStyle w:val="TableContents"/>
              <w:spacing w:before="0" w:after="283"/>
              <w:rPr>
                <w:sz w:val="4"/>
                <w:szCs w:val="4"/>
              </w:rPr>
            </w:pPr>
            <w:r>
              <w:rPr>
                <w:sz w:val="4"/>
                <w:szCs w:val="4"/>
              </w:rPr>
            </w:r>
          </w:p>
        </w:tc>
      </w:tr>
      <w:tr>
        <w:trPr/>
        <w:tc>
          <w:tcPr>
            <w:tcW w:w="5420" w:type="dxa"/>
            <w:tcBorders/>
            <w:shd w:fill="CCDEF1" w:val="clear"/>
            <w:vAlign w:val="center"/>
          </w:tcPr>
          <w:p>
            <w:pPr>
              <w:pStyle w:val="TableContents"/>
              <w:spacing w:before="0" w:after="0"/>
              <w:rPr>
                <w:rFonts w:ascii="ARIAL" w:hAnsi="ARIAL"/>
                <w:sz w:val="19"/>
              </w:rPr>
            </w:pPr>
            <w:r>
              <w:rPr>
                <w:rFonts w:ascii="ARIAL" w:hAnsi="ARIAL"/>
                <w:sz w:val="19"/>
              </w:rPr>
              <w:t>GAAP Revenue</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4,834</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5,372</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485" w:type="dxa"/>
            <w:tcBorders/>
            <w:shd w:fill="CCDEF1" w:val="clear"/>
            <w:vAlign w:val="center"/>
          </w:tcPr>
          <w:p>
            <w:pPr>
              <w:pStyle w:val="TableContents"/>
              <w:spacing w:before="0" w:after="283"/>
              <w:jc w:val="right"/>
              <w:rPr/>
            </w:pPr>
            <w:r>
              <w:rPr/>
              <w:t>11%</w:t>
            </w:r>
          </w:p>
        </w:tc>
        <w:tc>
          <w:tcPr>
            <w:tcW w:w="75" w:type="dxa"/>
            <w:tcBorders/>
            <w:shd w:fill="CCDEF1" w:val="clear"/>
            <w:vAlign w:val="center"/>
          </w:tcPr>
          <w:p>
            <w:pPr>
              <w:pStyle w:val="TableContents"/>
              <w:spacing w:before="0" w:after="283"/>
              <w:rPr/>
            </w:pPr>
            <w:r>
              <w:rPr/>
              <w:t> </w:t>
            </w:r>
          </w:p>
        </w:tc>
      </w:tr>
      <w:tr>
        <w:trPr/>
        <w:tc>
          <w:tcPr>
            <w:tcW w:w="5420" w:type="dxa"/>
            <w:tcBorders/>
            <w:shd w:fill="auto" w:val="clear"/>
            <w:vAlign w:val="center"/>
          </w:tcPr>
          <w:p>
            <w:pPr>
              <w:pStyle w:val="TableContents"/>
              <w:spacing w:before="0" w:after="283"/>
              <w:rPr>
                <w:sz w:val="4"/>
                <w:szCs w:val="4"/>
              </w:rPr>
            </w:pPr>
            <w:r>
              <w:rPr>
                <w:sz w:val="4"/>
                <w:szCs w:val="4"/>
              </w:rPr>
            </w:r>
          </w:p>
        </w:tc>
        <w:tc>
          <w:tcPr>
            <w:tcW w:w="880" w:type="dxa"/>
            <w:gridSpan w:val="4"/>
            <w:tcBorders/>
            <w:shd w:fill="auto" w:val="clear"/>
            <w:vAlign w:val="center"/>
          </w:tcPr>
          <w:p>
            <w:pPr>
              <w:pStyle w:val="TableContents"/>
              <w:spacing w:before="0" w:after="283"/>
              <w:rPr>
                <w:sz w:val="4"/>
                <w:szCs w:val="4"/>
              </w:rPr>
            </w:pPr>
            <w:r>
              <w:rPr>
                <w:sz w:val="4"/>
                <w:szCs w:val="4"/>
              </w:rPr>
            </w:r>
          </w:p>
        </w:tc>
        <w:tc>
          <w:tcPr>
            <w:tcW w:w="880"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r>
      <w:tr>
        <w:trPr/>
        <w:tc>
          <w:tcPr>
            <w:tcW w:w="5420" w:type="dxa"/>
            <w:tcBorders/>
            <w:shd w:fill="auto" w:val="clear"/>
            <w:vAlign w:val="center"/>
          </w:tcPr>
          <w:p>
            <w:pPr>
              <w:pStyle w:val="TableContents"/>
              <w:spacing w:before="0" w:after="0"/>
              <w:rPr>
                <w:rFonts w:ascii="ARIAL" w:hAnsi="ARIAL"/>
                <w:sz w:val="19"/>
              </w:rPr>
            </w:pPr>
            <w:r>
              <w:rPr>
                <w:rFonts w:ascii="ARIAL" w:hAnsi="ARIAL"/>
                <w:sz w:val="19"/>
              </w:rPr>
              <w:t>Purchase accounting adjustment to acquired deferred revenue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4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8" w:space="1" w:color="000000"/>
              </w:pBdr>
              <w:spacing w:before="0" w:after="0"/>
              <w:rPr/>
            </w:pPr>
            <w:r>
              <w:rPr/>
              <w:t> </w:t>
            </w:r>
          </w:p>
        </w:tc>
        <w:tc>
          <w:tcPr>
            <w:tcW w:w="2165" w:type="dxa"/>
            <w:gridSpan w:val="9"/>
            <w:tcBorders/>
            <w:shd w:fill="auto" w:val="clear"/>
            <w:vAlign w:val="center"/>
          </w:tcPr>
          <w:p>
            <w:pPr>
              <w:pStyle w:val="TableContents"/>
              <w:pBdr>
                <w:top w:val="single" w:sz="8"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5420" w:type="dxa"/>
            <w:tcBorders/>
            <w:shd w:fill="CCDEF1" w:val="clear"/>
            <w:vAlign w:val="center"/>
          </w:tcPr>
          <w:p>
            <w:pPr>
              <w:pStyle w:val="TableContents"/>
              <w:spacing w:before="0" w:after="0"/>
              <w:rPr>
                <w:rFonts w:ascii="ARIAL" w:hAnsi="ARIAL"/>
                <w:sz w:val="19"/>
              </w:rPr>
            </w:pPr>
            <w:r>
              <w:rPr>
                <w:rFonts w:ascii="ARIAL" w:hAnsi="ARIAL"/>
                <w:sz w:val="19"/>
              </w:rPr>
              <w:t>Adjusted Revenue</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4,835</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pPr>
            <w:r>
              <w:rPr/>
              <w:t>$</w:t>
            </w:r>
          </w:p>
        </w:tc>
        <w:tc>
          <w:tcPr>
            <w:tcW w:w="560" w:type="dxa"/>
            <w:tcBorders/>
            <w:shd w:fill="CCDEF1" w:val="clear"/>
            <w:vAlign w:val="center"/>
          </w:tcPr>
          <w:p>
            <w:pPr>
              <w:pStyle w:val="TableContents"/>
              <w:spacing w:before="0" w:after="283"/>
              <w:jc w:val="right"/>
              <w:rPr/>
            </w:pPr>
            <w:r>
              <w:rPr/>
              <w:t>5,372</w:t>
            </w:r>
          </w:p>
        </w:tc>
        <w:tc>
          <w:tcPr>
            <w:tcW w:w="60" w:type="dxa"/>
            <w:tcBorders/>
            <w:shd w:fill="CCDEF1" w:val="clear"/>
            <w:vAlign w:val="center"/>
          </w:tcPr>
          <w:p>
            <w:pPr>
              <w:pStyle w:val="TableContents"/>
              <w:spacing w:before="0" w:after="283"/>
              <w:rPr/>
            </w:pPr>
            <w:r>
              <w:rPr/>
              <w:t> </w:t>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485" w:type="dxa"/>
            <w:tcBorders/>
            <w:shd w:fill="CCDEF1" w:val="clear"/>
            <w:vAlign w:val="center"/>
          </w:tcPr>
          <w:p>
            <w:pPr>
              <w:pStyle w:val="TableContents"/>
              <w:spacing w:before="0" w:after="283"/>
              <w:jc w:val="right"/>
              <w:rPr/>
            </w:pPr>
            <w:r>
              <w:rPr/>
              <w:t>11%</w:t>
            </w:r>
          </w:p>
        </w:tc>
        <w:tc>
          <w:tcPr>
            <w:tcW w:w="75" w:type="dxa"/>
            <w:tcBorders/>
            <w:shd w:fill="CCDEF1" w:val="clear"/>
            <w:vAlign w:val="center"/>
          </w:tcPr>
          <w:p>
            <w:pPr>
              <w:pStyle w:val="TableContents"/>
              <w:spacing w:before="0" w:after="283"/>
              <w:rPr/>
            </w:pPr>
            <w:r>
              <w:rPr/>
              <w:t> </w:t>
            </w:r>
          </w:p>
        </w:tc>
      </w:tr>
      <w:tr>
        <w:trPr/>
        <w:tc>
          <w:tcPr>
            <w:tcW w:w="54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2165" w:type="dxa"/>
            <w:gridSpan w:val="9"/>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5420" w:type="dxa"/>
            <w:tcBorders/>
            <w:shd w:fill="auto" w:val="clear"/>
            <w:vAlign w:val="center"/>
          </w:tcPr>
          <w:p>
            <w:pPr>
              <w:pStyle w:val="TableContents"/>
              <w:spacing w:before="0" w:after="283"/>
              <w:rPr>
                <w:sz w:val="4"/>
                <w:szCs w:val="4"/>
              </w:rPr>
            </w:pPr>
            <w:r>
              <w:rPr>
                <w:sz w:val="4"/>
                <w:szCs w:val="4"/>
              </w:rPr>
            </w:r>
          </w:p>
        </w:tc>
        <w:tc>
          <w:tcPr>
            <w:tcW w:w="880" w:type="dxa"/>
            <w:gridSpan w:val="4"/>
            <w:tcBorders/>
            <w:shd w:fill="auto" w:val="clear"/>
            <w:vAlign w:val="center"/>
          </w:tcPr>
          <w:p>
            <w:pPr>
              <w:pStyle w:val="TableContents"/>
              <w:spacing w:before="0" w:after="283"/>
              <w:rPr>
                <w:sz w:val="4"/>
                <w:szCs w:val="4"/>
              </w:rPr>
            </w:pPr>
            <w:r>
              <w:rPr>
                <w:sz w:val="4"/>
                <w:szCs w:val="4"/>
              </w:rPr>
            </w:r>
          </w:p>
        </w:tc>
        <w:tc>
          <w:tcPr>
            <w:tcW w:w="880"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r>
      <w:tr>
        <w:trPr/>
        <w:tc>
          <w:tcPr>
            <w:tcW w:w="5420" w:type="dxa"/>
            <w:tcBorders/>
            <w:shd w:fill="auto" w:val="clear"/>
            <w:vAlign w:val="center"/>
          </w:tcPr>
          <w:p>
            <w:pPr>
              <w:pStyle w:val="TableContents"/>
              <w:spacing w:before="0" w:after="0"/>
              <w:rPr>
                <w:rFonts w:ascii="ARIAL" w:hAnsi="ARIAL"/>
                <w:b/>
                <w:sz w:val="19"/>
              </w:rPr>
            </w:pPr>
            <w:r>
              <w:rPr>
                <w:rFonts w:ascii="ARIAL" w:hAnsi="ARIAL"/>
                <w:b/>
                <w:sz w:val="19"/>
              </w:rPr>
              <w:t>Components of Adjusted Revenue Growth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420" w:type="dxa"/>
            <w:tcBorders/>
            <w:shd w:fill="CCDEF1" w:val="clear"/>
            <w:vAlign w:val="center"/>
          </w:tcPr>
          <w:p>
            <w:pPr>
              <w:pStyle w:val="TableContents"/>
              <w:spacing w:before="0" w:after="283"/>
              <w:rPr>
                <w:sz w:val="4"/>
                <w:szCs w:val="4"/>
              </w:rPr>
            </w:pPr>
            <w:r>
              <w:rPr>
                <w:sz w:val="4"/>
                <w:szCs w:val="4"/>
              </w:rPr>
            </w:r>
          </w:p>
        </w:tc>
        <w:tc>
          <w:tcPr>
            <w:tcW w:w="880" w:type="dxa"/>
            <w:gridSpan w:val="4"/>
            <w:tcBorders/>
            <w:shd w:fill="CCDEF1" w:val="clear"/>
            <w:vAlign w:val="center"/>
          </w:tcPr>
          <w:p>
            <w:pPr>
              <w:pStyle w:val="TableContents"/>
              <w:spacing w:before="0" w:after="283"/>
              <w:rPr>
                <w:sz w:val="4"/>
                <w:szCs w:val="4"/>
              </w:rPr>
            </w:pPr>
            <w:r>
              <w:rPr>
                <w:sz w:val="4"/>
                <w:szCs w:val="4"/>
              </w:rPr>
            </w:r>
          </w:p>
        </w:tc>
        <w:tc>
          <w:tcPr>
            <w:tcW w:w="880" w:type="dxa"/>
            <w:gridSpan w:val="4"/>
            <w:tcBorders/>
            <w:shd w:fill="CCDEF1" w:val="clear"/>
            <w:vAlign w:val="center"/>
          </w:tcPr>
          <w:p>
            <w:pPr>
              <w:pStyle w:val="TableContents"/>
              <w:spacing w:before="0" w:after="283"/>
              <w:rPr>
                <w:sz w:val="4"/>
                <w:szCs w:val="4"/>
              </w:rPr>
            </w:pPr>
            <w:r>
              <w:rPr>
                <w:sz w:val="4"/>
                <w:szCs w:val="4"/>
              </w:rPr>
            </w:r>
          </w:p>
        </w:tc>
        <w:tc>
          <w:tcPr>
            <w:tcW w:w="740" w:type="dxa"/>
            <w:gridSpan w:val="4"/>
            <w:tcBorders/>
            <w:shd w:fill="CCDEF1" w:val="clear"/>
            <w:vAlign w:val="center"/>
          </w:tcPr>
          <w:p>
            <w:pPr>
              <w:pStyle w:val="TableContents"/>
              <w:spacing w:before="0" w:after="283"/>
              <w:rPr>
                <w:sz w:val="4"/>
                <w:szCs w:val="4"/>
              </w:rPr>
            </w:pPr>
            <w:r>
              <w:rPr>
                <w:sz w:val="4"/>
                <w:szCs w:val="4"/>
              </w:rPr>
            </w:r>
          </w:p>
        </w:tc>
      </w:tr>
      <w:tr>
        <w:trPr/>
        <w:tc>
          <w:tcPr>
            <w:tcW w:w="5420" w:type="dxa"/>
            <w:tcBorders/>
            <w:shd w:fill="CCDEF1" w:val="clear"/>
            <w:vAlign w:val="center"/>
          </w:tcPr>
          <w:p>
            <w:pPr>
              <w:pStyle w:val="TableContents"/>
              <w:spacing w:before="0" w:after="0"/>
              <w:rPr>
                <w:rFonts w:ascii="ARIAL" w:hAnsi="ARIAL"/>
                <w:sz w:val="19"/>
              </w:rPr>
            </w:pPr>
            <w:r>
              <w:rPr>
                <w:rFonts w:ascii="ARIAL" w:hAnsi="ARIAL"/>
                <w:sz w:val="19"/>
              </w:rPr>
              <w:t>Organic</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sz w:val="4"/>
                <w:szCs w:val="4"/>
              </w:rPr>
            </w:pPr>
            <w:r>
              <w:rPr>
                <w:sz w:val="4"/>
                <w:szCs w:val="4"/>
              </w:rPr>
            </w:r>
          </w:p>
        </w:tc>
        <w:tc>
          <w:tcPr>
            <w:tcW w:w="560" w:type="dxa"/>
            <w:tcBorders/>
            <w:shd w:fill="CCDEF1" w:val="clear"/>
            <w:vAlign w:val="center"/>
          </w:tcPr>
          <w:p>
            <w:pPr>
              <w:pStyle w:val="TableContents"/>
              <w:spacing w:before="0" w:after="283"/>
              <w:rPr>
                <w:sz w:val="4"/>
                <w:szCs w:val="4"/>
              </w:rPr>
            </w:pPr>
            <w:r>
              <w:rPr>
                <w:sz w:val="4"/>
                <w:szCs w:val="4"/>
              </w:rPr>
            </w:r>
          </w:p>
        </w:tc>
        <w:tc>
          <w:tcPr>
            <w:tcW w:w="60" w:type="dxa"/>
            <w:tcBorders/>
            <w:shd w:fill="CCDEF1" w:val="clear"/>
            <w:vAlign w:val="center"/>
          </w:tcPr>
          <w:p>
            <w:pPr>
              <w:pStyle w:val="TableContents"/>
              <w:spacing w:before="0" w:after="283"/>
              <w:rPr>
                <w:sz w:val="4"/>
                <w:szCs w:val="4"/>
              </w:rPr>
            </w:pPr>
            <w:r>
              <w:rPr>
                <w:sz w:val="4"/>
                <w:szCs w:val="4"/>
              </w:rPr>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sz w:val="4"/>
                <w:szCs w:val="4"/>
              </w:rPr>
            </w:pPr>
            <w:r>
              <w:rPr>
                <w:sz w:val="4"/>
                <w:szCs w:val="4"/>
              </w:rPr>
            </w:r>
          </w:p>
        </w:tc>
        <w:tc>
          <w:tcPr>
            <w:tcW w:w="560" w:type="dxa"/>
            <w:tcBorders/>
            <w:shd w:fill="CCDEF1" w:val="clear"/>
            <w:vAlign w:val="center"/>
          </w:tcPr>
          <w:p>
            <w:pPr>
              <w:pStyle w:val="TableContents"/>
              <w:spacing w:before="0" w:after="283"/>
              <w:rPr>
                <w:sz w:val="4"/>
                <w:szCs w:val="4"/>
              </w:rPr>
            </w:pPr>
            <w:r>
              <w:rPr>
                <w:sz w:val="4"/>
                <w:szCs w:val="4"/>
              </w:rPr>
            </w:r>
          </w:p>
        </w:tc>
        <w:tc>
          <w:tcPr>
            <w:tcW w:w="60" w:type="dxa"/>
            <w:tcBorders/>
            <w:shd w:fill="CCDEF1" w:val="clear"/>
            <w:vAlign w:val="center"/>
          </w:tcPr>
          <w:p>
            <w:pPr>
              <w:pStyle w:val="TableContents"/>
              <w:spacing w:before="0" w:after="283"/>
              <w:rPr>
                <w:sz w:val="4"/>
                <w:szCs w:val="4"/>
              </w:rPr>
            </w:pPr>
            <w:r>
              <w:rPr>
                <w:sz w:val="4"/>
                <w:szCs w:val="4"/>
              </w:rPr>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485" w:type="dxa"/>
            <w:tcBorders/>
            <w:shd w:fill="CCDEF1" w:val="clear"/>
            <w:vAlign w:val="center"/>
          </w:tcPr>
          <w:p>
            <w:pPr>
              <w:pStyle w:val="TableContents"/>
              <w:spacing w:before="0" w:after="283"/>
              <w:jc w:val="right"/>
              <w:rPr/>
            </w:pPr>
            <w:r>
              <w:rPr/>
              <w:t>9%</w:t>
            </w:r>
          </w:p>
        </w:tc>
        <w:tc>
          <w:tcPr>
            <w:tcW w:w="75" w:type="dxa"/>
            <w:tcBorders/>
            <w:shd w:fill="CCDEF1" w:val="clear"/>
            <w:vAlign w:val="center"/>
          </w:tcPr>
          <w:p>
            <w:pPr>
              <w:pStyle w:val="TableContents"/>
              <w:spacing w:before="0" w:after="283"/>
              <w:rPr/>
            </w:pPr>
            <w:r>
              <w:rPr/>
              <w:t> </w:t>
            </w:r>
          </w:p>
        </w:tc>
      </w:tr>
      <w:tr>
        <w:trPr/>
        <w:tc>
          <w:tcPr>
            <w:tcW w:w="5420" w:type="dxa"/>
            <w:tcBorders/>
            <w:shd w:fill="auto" w:val="clear"/>
            <w:vAlign w:val="center"/>
          </w:tcPr>
          <w:p>
            <w:pPr>
              <w:pStyle w:val="TableContents"/>
              <w:spacing w:before="0" w:after="283"/>
              <w:rPr>
                <w:sz w:val="4"/>
                <w:szCs w:val="4"/>
              </w:rPr>
            </w:pPr>
            <w:r>
              <w:rPr>
                <w:sz w:val="4"/>
                <w:szCs w:val="4"/>
              </w:rPr>
            </w:r>
          </w:p>
        </w:tc>
        <w:tc>
          <w:tcPr>
            <w:tcW w:w="880" w:type="dxa"/>
            <w:gridSpan w:val="4"/>
            <w:tcBorders/>
            <w:shd w:fill="auto" w:val="clear"/>
            <w:vAlign w:val="center"/>
          </w:tcPr>
          <w:p>
            <w:pPr>
              <w:pStyle w:val="TableContents"/>
              <w:spacing w:before="0" w:after="283"/>
              <w:rPr>
                <w:sz w:val="4"/>
                <w:szCs w:val="4"/>
              </w:rPr>
            </w:pPr>
            <w:r>
              <w:rPr>
                <w:sz w:val="4"/>
                <w:szCs w:val="4"/>
              </w:rPr>
            </w:r>
          </w:p>
        </w:tc>
        <w:tc>
          <w:tcPr>
            <w:tcW w:w="880"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r>
      <w:tr>
        <w:trPr/>
        <w:tc>
          <w:tcPr>
            <w:tcW w:w="5420" w:type="dxa"/>
            <w:tcBorders/>
            <w:shd w:fill="auto" w:val="clear"/>
            <w:vAlign w:val="center"/>
          </w:tcPr>
          <w:p>
            <w:pPr>
              <w:pStyle w:val="TableContents"/>
              <w:spacing w:before="0" w:after="0"/>
              <w:rPr>
                <w:rFonts w:ascii="ARIAL" w:hAnsi="ARIAL"/>
                <w:sz w:val="19"/>
              </w:rPr>
            </w:pPr>
            <w:r>
              <w:rPr>
                <w:rFonts w:ascii="ARIAL" w:hAnsi="ARIAL"/>
                <w:sz w:val="19"/>
              </w:rPr>
              <w:t>Acquisitions/Divestitures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85" w:type="dxa"/>
            <w:tcBorders/>
            <w:shd w:fill="auto" w:val="clear"/>
            <w:vAlign w:val="center"/>
          </w:tcPr>
          <w:p>
            <w:pPr>
              <w:pStyle w:val="TableContents"/>
              <w:spacing w:before="0" w:after="283"/>
              <w:jc w:val="right"/>
              <w:rPr/>
            </w:pPr>
            <w:r>
              <w:rPr/>
              <w:t>3%</w:t>
            </w:r>
          </w:p>
        </w:tc>
        <w:tc>
          <w:tcPr>
            <w:tcW w:w="75" w:type="dxa"/>
            <w:tcBorders/>
            <w:shd w:fill="auto" w:val="clear"/>
            <w:vAlign w:val="center"/>
          </w:tcPr>
          <w:p>
            <w:pPr>
              <w:pStyle w:val="TableContents"/>
              <w:spacing w:before="0" w:after="283"/>
              <w:rPr/>
            </w:pPr>
            <w:r>
              <w:rPr/>
              <w:t> </w:t>
            </w:r>
          </w:p>
        </w:tc>
      </w:tr>
      <w:tr>
        <w:trPr/>
        <w:tc>
          <w:tcPr>
            <w:tcW w:w="5420" w:type="dxa"/>
            <w:tcBorders/>
            <w:shd w:fill="CCDEF1" w:val="clear"/>
            <w:vAlign w:val="center"/>
          </w:tcPr>
          <w:p>
            <w:pPr>
              <w:pStyle w:val="TableContents"/>
              <w:spacing w:before="0" w:after="283"/>
              <w:rPr>
                <w:sz w:val="4"/>
                <w:szCs w:val="4"/>
              </w:rPr>
            </w:pPr>
            <w:r>
              <w:rPr>
                <w:sz w:val="4"/>
                <w:szCs w:val="4"/>
              </w:rPr>
            </w:r>
          </w:p>
        </w:tc>
        <w:tc>
          <w:tcPr>
            <w:tcW w:w="880" w:type="dxa"/>
            <w:gridSpan w:val="4"/>
            <w:tcBorders/>
            <w:shd w:fill="CCDEF1" w:val="clear"/>
            <w:vAlign w:val="center"/>
          </w:tcPr>
          <w:p>
            <w:pPr>
              <w:pStyle w:val="TableContents"/>
              <w:spacing w:before="0" w:after="283"/>
              <w:rPr>
                <w:sz w:val="4"/>
                <w:szCs w:val="4"/>
              </w:rPr>
            </w:pPr>
            <w:r>
              <w:rPr>
                <w:sz w:val="4"/>
                <w:szCs w:val="4"/>
              </w:rPr>
            </w:r>
          </w:p>
        </w:tc>
        <w:tc>
          <w:tcPr>
            <w:tcW w:w="880" w:type="dxa"/>
            <w:gridSpan w:val="4"/>
            <w:tcBorders/>
            <w:shd w:fill="CCDEF1" w:val="clear"/>
            <w:vAlign w:val="center"/>
          </w:tcPr>
          <w:p>
            <w:pPr>
              <w:pStyle w:val="TableContents"/>
              <w:spacing w:before="0" w:after="283"/>
              <w:rPr>
                <w:sz w:val="4"/>
                <w:szCs w:val="4"/>
              </w:rPr>
            </w:pPr>
            <w:r>
              <w:rPr>
                <w:sz w:val="4"/>
                <w:szCs w:val="4"/>
              </w:rPr>
            </w:r>
          </w:p>
        </w:tc>
        <w:tc>
          <w:tcPr>
            <w:tcW w:w="740" w:type="dxa"/>
            <w:gridSpan w:val="4"/>
            <w:tcBorders/>
            <w:shd w:fill="CCDEF1" w:val="clear"/>
            <w:vAlign w:val="center"/>
          </w:tcPr>
          <w:p>
            <w:pPr>
              <w:pStyle w:val="TableContents"/>
              <w:spacing w:before="0" w:after="283"/>
              <w:rPr>
                <w:sz w:val="4"/>
                <w:szCs w:val="4"/>
              </w:rPr>
            </w:pPr>
            <w:r>
              <w:rPr>
                <w:sz w:val="4"/>
                <w:szCs w:val="4"/>
              </w:rPr>
            </w:r>
          </w:p>
        </w:tc>
      </w:tr>
      <w:tr>
        <w:trPr/>
        <w:tc>
          <w:tcPr>
            <w:tcW w:w="5420" w:type="dxa"/>
            <w:tcBorders/>
            <w:shd w:fill="CCDEF1" w:val="clear"/>
            <w:vAlign w:val="center"/>
          </w:tcPr>
          <w:p>
            <w:pPr>
              <w:pStyle w:val="TableContents"/>
              <w:spacing w:before="0" w:after="0"/>
              <w:rPr>
                <w:rFonts w:ascii="ARIAL" w:hAnsi="ARIAL"/>
                <w:sz w:val="19"/>
              </w:rPr>
            </w:pPr>
            <w:r>
              <w:rPr>
                <w:rFonts w:ascii="ARIAL" w:hAnsi="ARIAL"/>
                <w:sz w:val="19"/>
              </w:rPr>
              <w:t>Foreign Exchange</w:t>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sz w:val="4"/>
                <w:szCs w:val="4"/>
              </w:rPr>
            </w:pPr>
            <w:r>
              <w:rPr>
                <w:sz w:val="4"/>
                <w:szCs w:val="4"/>
              </w:rPr>
            </w:r>
          </w:p>
        </w:tc>
        <w:tc>
          <w:tcPr>
            <w:tcW w:w="560" w:type="dxa"/>
            <w:tcBorders/>
            <w:shd w:fill="CCDEF1" w:val="clear"/>
            <w:vAlign w:val="center"/>
          </w:tcPr>
          <w:p>
            <w:pPr>
              <w:pStyle w:val="TableContents"/>
              <w:spacing w:before="0" w:after="283"/>
              <w:rPr>
                <w:sz w:val="4"/>
                <w:szCs w:val="4"/>
              </w:rPr>
            </w:pPr>
            <w:r>
              <w:rPr>
                <w:sz w:val="4"/>
                <w:szCs w:val="4"/>
              </w:rPr>
            </w:r>
          </w:p>
        </w:tc>
        <w:tc>
          <w:tcPr>
            <w:tcW w:w="60" w:type="dxa"/>
            <w:tcBorders/>
            <w:shd w:fill="CCDEF1" w:val="clear"/>
            <w:vAlign w:val="center"/>
          </w:tcPr>
          <w:p>
            <w:pPr>
              <w:pStyle w:val="TableContents"/>
              <w:spacing w:before="0" w:after="283"/>
              <w:rPr>
                <w:sz w:val="4"/>
                <w:szCs w:val="4"/>
              </w:rPr>
            </w:pPr>
            <w:r>
              <w:rPr>
                <w:sz w:val="4"/>
                <w:szCs w:val="4"/>
              </w:rPr>
            </w:r>
          </w:p>
        </w:tc>
        <w:tc>
          <w:tcPr>
            <w:tcW w:w="120" w:type="dxa"/>
            <w:tcBorders/>
            <w:shd w:fill="CCDEF1" w:val="clear"/>
            <w:vAlign w:val="center"/>
          </w:tcPr>
          <w:p>
            <w:pPr>
              <w:pStyle w:val="TableContents"/>
              <w:spacing w:before="0" w:after="283"/>
              <w:rPr/>
            </w:pPr>
            <w:r>
              <w:rPr/>
              <w:t>  </w:t>
            </w:r>
          </w:p>
        </w:tc>
        <w:tc>
          <w:tcPr>
            <w:tcW w:w="140" w:type="dxa"/>
            <w:tcBorders/>
            <w:shd w:fill="CCDEF1" w:val="clear"/>
            <w:vAlign w:val="center"/>
          </w:tcPr>
          <w:p>
            <w:pPr>
              <w:pStyle w:val="TableContents"/>
              <w:spacing w:before="0" w:after="283"/>
              <w:rPr>
                <w:sz w:val="4"/>
                <w:szCs w:val="4"/>
              </w:rPr>
            </w:pPr>
            <w:r>
              <w:rPr>
                <w:sz w:val="4"/>
                <w:szCs w:val="4"/>
              </w:rPr>
            </w:r>
          </w:p>
        </w:tc>
        <w:tc>
          <w:tcPr>
            <w:tcW w:w="560" w:type="dxa"/>
            <w:tcBorders/>
            <w:shd w:fill="CCDEF1" w:val="clear"/>
            <w:vAlign w:val="center"/>
          </w:tcPr>
          <w:p>
            <w:pPr>
              <w:pStyle w:val="TableContents"/>
              <w:spacing w:before="0" w:after="283"/>
              <w:rPr>
                <w:sz w:val="4"/>
                <w:szCs w:val="4"/>
              </w:rPr>
            </w:pPr>
            <w:r>
              <w:rPr>
                <w:sz w:val="4"/>
                <w:szCs w:val="4"/>
              </w:rPr>
            </w:r>
          </w:p>
        </w:tc>
        <w:tc>
          <w:tcPr>
            <w:tcW w:w="60" w:type="dxa"/>
            <w:tcBorders/>
            <w:shd w:fill="CCDEF1" w:val="clear"/>
            <w:vAlign w:val="center"/>
          </w:tcPr>
          <w:p>
            <w:pPr>
              <w:pStyle w:val="TableContents"/>
              <w:spacing w:before="0" w:after="283"/>
              <w:rPr>
                <w:sz w:val="4"/>
                <w:szCs w:val="4"/>
              </w:rPr>
            </w:pPr>
            <w:r>
              <w:rPr>
                <w:sz w:val="4"/>
                <w:szCs w:val="4"/>
              </w:rPr>
            </w:r>
          </w:p>
        </w:tc>
        <w:tc>
          <w:tcPr>
            <w:tcW w:w="120" w:type="dxa"/>
            <w:tcBorders/>
            <w:shd w:fill="CCDEF1" w:val="clear"/>
            <w:vAlign w:val="center"/>
          </w:tcPr>
          <w:p>
            <w:pPr>
              <w:pStyle w:val="TableContents"/>
              <w:spacing w:before="0" w:after="283"/>
              <w:rPr/>
            </w:pPr>
            <w:r>
              <w:rPr/>
              <w:t>  </w:t>
            </w:r>
          </w:p>
        </w:tc>
        <w:tc>
          <w:tcPr>
            <w:tcW w:w="60" w:type="dxa"/>
            <w:tcBorders/>
            <w:shd w:fill="CCDEF1" w:val="clear"/>
            <w:vAlign w:val="center"/>
          </w:tcPr>
          <w:p>
            <w:pPr>
              <w:pStyle w:val="TableContents"/>
              <w:spacing w:before="0" w:after="283"/>
              <w:rPr/>
            </w:pPr>
            <w:r>
              <w:rPr/>
              <w:t> </w:t>
            </w:r>
          </w:p>
        </w:tc>
        <w:tc>
          <w:tcPr>
            <w:tcW w:w="485" w:type="dxa"/>
            <w:tcBorders/>
            <w:shd w:fill="CCDEF1" w:val="clear"/>
            <w:vAlign w:val="center"/>
          </w:tcPr>
          <w:p>
            <w:pPr>
              <w:pStyle w:val="TableContents"/>
              <w:spacing w:before="0" w:after="283"/>
              <w:jc w:val="right"/>
              <w:rPr/>
            </w:pPr>
            <w:r>
              <w:rPr/>
              <w:t>(1%)</w:t>
            </w:r>
          </w:p>
        </w:tc>
        <w:tc>
          <w:tcPr>
            <w:tcW w:w="75" w:type="dxa"/>
            <w:tcBorders/>
            <w:shd w:fill="CCDEF1" w:val="clear"/>
            <w:vAlign w:val="center"/>
          </w:tcPr>
          <w:p>
            <w:pPr>
              <w:pStyle w:val="TableContents"/>
              <w:spacing w:before="0" w:after="283"/>
              <w:rPr/>
            </w:pPr>
            <w:r>
              <w:rPr/>
              <w:t> </w:t>
            </w:r>
          </w:p>
        </w:tc>
      </w:tr>
      <w:tr>
        <w:trPr/>
        <w:tc>
          <w:tcPr>
            <w:tcW w:w="54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8" w:space="1" w:color="000000"/>
              </w:pBdr>
              <w:spacing w:before="0" w:after="0"/>
              <w:rPr/>
            </w:pPr>
            <w:r>
              <w:rPr/>
              <w:t> </w:t>
            </w:r>
          </w:p>
        </w:tc>
        <w:tc>
          <w:tcPr>
            <w:tcW w:w="485" w:type="dxa"/>
            <w:tcBorders/>
            <w:shd w:fill="auto" w:val="clear"/>
            <w:vAlign w:val="center"/>
          </w:tcPr>
          <w:p>
            <w:pPr>
              <w:pStyle w:val="TableContents"/>
              <w:pBdr>
                <w:top w:val="single" w:sz="8"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5420" w:type="dxa"/>
            <w:tcBorders/>
            <w:shd w:fill="auto" w:val="clear"/>
            <w:vAlign w:val="center"/>
          </w:tcPr>
          <w:p>
            <w:pPr>
              <w:pStyle w:val="TableContents"/>
              <w:spacing w:before="0" w:after="283"/>
              <w:rPr>
                <w:sz w:val="4"/>
                <w:szCs w:val="4"/>
              </w:rPr>
            </w:pPr>
            <w:r>
              <w:rPr>
                <w:sz w:val="4"/>
                <w:szCs w:val="4"/>
              </w:rPr>
            </w:r>
          </w:p>
        </w:tc>
        <w:tc>
          <w:tcPr>
            <w:tcW w:w="880" w:type="dxa"/>
            <w:gridSpan w:val="4"/>
            <w:tcBorders/>
            <w:shd w:fill="auto" w:val="clear"/>
            <w:vAlign w:val="center"/>
          </w:tcPr>
          <w:p>
            <w:pPr>
              <w:pStyle w:val="TableContents"/>
              <w:spacing w:before="0" w:after="283"/>
              <w:rPr>
                <w:sz w:val="4"/>
                <w:szCs w:val="4"/>
              </w:rPr>
            </w:pPr>
            <w:r>
              <w:rPr>
                <w:sz w:val="4"/>
                <w:szCs w:val="4"/>
              </w:rPr>
            </w:r>
          </w:p>
        </w:tc>
        <w:tc>
          <w:tcPr>
            <w:tcW w:w="880"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r>
      <w:tr>
        <w:trPr/>
        <w:tc>
          <w:tcPr>
            <w:tcW w:w="5420" w:type="dxa"/>
            <w:tcBorders/>
            <w:shd w:fill="auto" w:val="clear"/>
            <w:vAlign w:val="center"/>
          </w:tcPr>
          <w:p>
            <w:pPr>
              <w:pStyle w:val="TableContents"/>
              <w:spacing w:before="0" w:after="0"/>
              <w:rPr>
                <w:rFonts w:ascii="ARIAL" w:hAnsi="ARIAL"/>
                <w:sz w:val="19"/>
              </w:rPr>
            </w:pPr>
            <w:r>
              <w:rPr>
                <w:rFonts w:ascii="ARIAL" w:hAnsi="ARIAL"/>
                <w:sz w:val="19"/>
              </w:rPr>
              <w:t>Total Adjusted Revenue Growth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85" w:type="dxa"/>
            <w:tcBorders/>
            <w:shd w:fill="auto" w:val="clear"/>
            <w:vAlign w:val="center"/>
          </w:tcPr>
          <w:p>
            <w:pPr>
              <w:pStyle w:val="TableContents"/>
              <w:spacing w:before="0" w:after="283"/>
              <w:jc w:val="right"/>
              <w:rPr/>
            </w:pPr>
            <w:r>
              <w:rPr/>
              <w:t>11%</w:t>
            </w:r>
          </w:p>
        </w:tc>
        <w:tc>
          <w:tcPr>
            <w:tcW w:w="75" w:type="dxa"/>
            <w:tcBorders/>
            <w:shd w:fill="auto" w:val="clear"/>
            <w:vAlign w:val="center"/>
          </w:tcPr>
          <w:p>
            <w:pPr>
              <w:pStyle w:val="TableContents"/>
              <w:spacing w:before="0" w:after="283"/>
              <w:rPr/>
            </w:pPr>
            <w:r>
              <w:rPr/>
              <w:t> </w:t>
            </w:r>
          </w:p>
        </w:tc>
      </w:tr>
      <w:tr>
        <w:trPr/>
        <w:tc>
          <w:tcPr>
            <w:tcW w:w="54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double" w:sz="6" w:space="1" w:color="000000"/>
              </w:pBdr>
              <w:spacing w:before="0" w:after="0"/>
              <w:rPr/>
            </w:pPr>
            <w:r>
              <w:rPr/>
              <w:t> </w:t>
            </w:r>
          </w:p>
        </w:tc>
        <w:tc>
          <w:tcPr>
            <w:tcW w:w="485"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ARIAL" w:hAnsi="ARIAL"/>
          <w:sz w:val="19"/>
        </w:rPr>
      </w:pPr>
      <w:r>
        <w:rPr>
          <w:rFonts w:ascii="ARIAL" w:hAnsi="ARIAL"/>
          <w:sz w:val="19"/>
        </w:rPr>
        <w:t xml:space="preserve">Note: Numbers may not foot due to rounding. </w:t>
      </w:r>
    </w:p>
    <w:p>
      <w:pPr>
        <w:pStyle w:val="TextBody"/>
        <w:spacing w:before="0" w:after="0"/>
        <w:jc w:val="left"/>
        <w:rPr/>
      </w:pPr>
      <w:r>
        <w:rPr/>
        <w:t> </w:t>
      </w:r>
    </w:p>
    <w:tbl>
      <w:tblPr>
        <w:tblW w:w="6573"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71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7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1" descr=""/>
                          <pic:cNvPicPr>
                            <a:picLocks noChangeAspect="1" noChangeArrowheads="1"/>
                          </pic:cNvPicPr>
                        </pic:nvPicPr>
                        <pic:blipFill>
                          <a:blip r:embed="rId122"/>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color w:val="005CB9"/>
              </w:rPr>
            </w:pPr>
            <w:r>
              <w:rPr>
                <w:color w:val="005CB9"/>
              </w:rPr>
              <w:t>     </w:t>
            </w:r>
            <w:r>
              <w:rPr>
                <w:b/>
                <w:color w:val="005CB9"/>
              </w:rPr>
              <w:t>A-2</w:t>
            </w:r>
          </w:p>
        </w:tc>
      </w:tr>
    </w:tbl>
    <w:p>
      <w:pPr>
        <w:pStyle w:val="HorizontalLine"/>
        <w:rPr/>
      </w:pPr>
      <w:r>
        <w:br w:type="page"/>
      </w:r>
      <w:r>
        <w:rPr/>
      </w:r>
    </w:p>
    <w:p>
      <w:pPr>
        <w:pStyle w:val="TextBody"/>
        <w:spacing w:before="0" w:after="0"/>
        <w:jc w:val="right"/>
        <w:rPr>
          <w:rFonts w:ascii="ARIAL" w:hAnsi="ARIAL"/>
          <w:color w:val="005CB9"/>
          <w:sz w:val="32"/>
        </w:rPr>
      </w:pPr>
      <w:bookmarkStart w:id="42" w:name="toc356364_101"/>
      <w:bookmarkEnd w:id="42"/>
      <w:r>
        <w:rPr>
          <w:rFonts w:ascii="ARIAL" w:hAnsi="ARIAL"/>
          <w:color w:val="005CB9"/>
          <w:sz w:val="32"/>
        </w:rPr>
        <w:t xml:space="preserve">APPENDIX B </w:t>
      </w:r>
    </w:p>
    <w:p>
      <w:pPr>
        <w:pStyle w:val="TextBody"/>
        <w:spacing w:before="240" w:after="0"/>
        <w:jc w:val="center"/>
        <w:rPr>
          <w:rFonts w:ascii="ARIAL" w:hAnsi="ARIAL"/>
          <w:b/>
          <w:sz w:val="24"/>
        </w:rPr>
      </w:pPr>
      <w:r>
        <w:rPr>
          <w:rFonts w:ascii="ARIAL" w:hAnsi="ARIAL"/>
          <w:b/>
          <w:sz w:val="24"/>
        </w:rPr>
        <w:t xml:space="preserve">CERTIFICATE OF INCORPORATION </w:t>
      </w:r>
    </w:p>
    <w:p>
      <w:pPr>
        <w:pStyle w:val="TextBody"/>
        <w:spacing w:before="80" w:after="0"/>
        <w:jc w:val="center"/>
        <w:rPr>
          <w:rFonts w:ascii="ARIAL" w:hAnsi="ARIAL"/>
          <w:b/>
          <w:sz w:val="24"/>
        </w:rPr>
      </w:pPr>
      <w:r>
        <w:rPr>
          <w:rFonts w:ascii="ARIAL" w:hAnsi="ARIAL"/>
          <w:b/>
          <w:sz w:val="24"/>
        </w:rPr>
        <w:t xml:space="preserve">OF </w:t>
      </w:r>
    </w:p>
    <w:p>
      <w:pPr>
        <w:pStyle w:val="TextBody"/>
        <w:spacing w:before="80" w:after="0"/>
        <w:jc w:val="center"/>
        <w:rPr>
          <w:rFonts w:ascii="ARIAL" w:hAnsi="ARIAL"/>
          <w:b/>
          <w:sz w:val="24"/>
        </w:rPr>
      </w:pPr>
      <w:r>
        <w:rPr>
          <w:rFonts w:ascii="ARIAL" w:hAnsi="ARIAL"/>
          <w:b/>
          <w:sz w:val="24"/>
        </w:rPr>
        <w:t xml:space="preserve">ROPER TECHNOLOGIES, INC. </w:t>
      </w:r>
    </w:p>
    <w:p>
      <w:pPr>
        <w:pStyle w:val="TextBody"/>
        <w:spacing w:before="240" w:after="0"/>
        <w:jc w:val="center"/>
        <w:rPr>
          <w:rFonts w:ascii="ARIAL" w:hAnsi="ARIAL"/>
          <w:b/>
          <w:sz w:val="24"/>
        </w:rPr>
      </w:pPr>
      <w:r>
        <w:rPr>
          <w:rFonts w:ascii="ARIAL" w:hAnsi="ARIAL"/>
          <w:b/>
          <w:sz w:val="24"/>
          <w:u w:val="single"/>
          <w:bdr w:val="double" w:sz="2" w:space="1" w:color="000000"/>
        </w:rPr>
        <w:t xml:space="preserve">AMENDED AND </w:t>
      </w:r>
      <w:r>
        <w:rPr>
          <w:rFonts w:ascii="ARIAL" w:hAnsi="ARIAL"/>
          <w:b/>
          <w:sz w:val="24"/>
        </w:rPr>
        <w:t xml:space="preserve">RESTATED </w:t>
      </w:r>
      <w:r>
        <w:rPr>
          <w:rFonts w:ascii="ARIAL" w:hAnsi="ARIAL"/>
          <w:b/>
          <w:strike/>
          <w:sz w:val="24"/>
        </w:rPr>
        <w:t>AND FILED APRIL 11, 1996</w:t>
      </w:r>
      <w:r>
        <w:rPr>
          <w:rFonts w:ascii="ARIAL" w:hAnsi="ARIAL"/>
          <w:b/>
          <w:sz w:val="24"/>
        </w:rPr>
        <w:t xml:space="preserve"> </w:t>
      </w:r>
    </w:p>
    <w:p>
      <w:pPr>
        <w:pStyle w:val="TextBody"/>
        <w:spacing w:before="240" w:after="0"/>
        <w:jc w:val="center"/>
        <w:rPr>
          <w:rFonts w:ascii="ARIAL" w:hAnsi="ARIAL"/>
          <w:b/>
          <w:sz w:val="24"/>
        </w:rPr>
      </w:pPr>
      <w:r>
        <w:rPr>
          <w:rFonts w:ascii="ARIAL" w:hAnsi="ARIAL"/>
          <w:b/>
          <w:strike/>
          <w:sz w:val="24"/>
        </w:rPr>
        <w:t xml:space="preserve">AMENDED </w:t>
      </w:r>
      <w:r>
        <w:rPr>
          <w:rFonts w:ascii="ARIAL" w:hAnsi="ARIAL"/>
          <w:b/>
          <w:sz w:val="24"/>
        </w:rPr>
        <w:t xml:space="preserve">THROUGH </w:t>
      </w:r>
      <w:r>
        <w:rPr>
          <w:rFonts w:ascii="ARIAL" w:hAnsi="ARIAL"/>
          <w:b/>
          <w:strike/>
          <w:sz w:val="24"/>
        </w:rPr>
        <w:t>APRIL 24</w:t>
      </w:r>
      <w:r>
        <w:rPr>
          <w:rFonts w:ascii="ARIAL" w:hAnsi="ARIAL"/>
          <w:b/>
          <w:sz w:val="24"/>
          <w:u w:val="single"/>
          <w:bdr w:val="double" w:sz="2" w:space="1" w:color="000000"/>
        </w:rPr>
        <w:t>[•]</w:t>
      </w:r>
      <w:r>
        <w:rPr>
          <w:rFonts w:ascii="ARIAL" w:hAnsi="ARIAL"/>
          <w:b/>
          <w:sz w:val="24"/>
        </w:rPr>
        <w:t xml:space="preserve">, </w:t>
      </w:r>
      <w:r>
        <w:rPr>
          <w:rFonts w:ascii="ARIAL" w:hAnsi="ARIAL"/>
          <w:b/>
          <w:strike/>
          <w:sz w:val="24"/>
        </w:rPr>
        <w:t>2015</w:t>
      </w:r>
      <w:r>
        <w:rPr>
          <w:rFonts w:ascii="ARIAL" w:hAnsi="ARIAL"/>
          <w:b/>
          <w:sz w:val="24"/>
          <w:u w:val="single"/>
          <w:bdr w:val="double" w:sz="2" w:space="1" w:color="000000"/>
        </w:rPr>
        <w:t>2023</w:t>
      </w:r>
      <w:r>
        <w:rPr>
          <w:rFonts w:ascii="ARIAL" w:hAnsi="ARIAL"/>
          <w:b/>
          <w:sz w:val="24"/>
        </w:rPr>
        <w:t xml:space="preserve"> </w:t>
      </w:r>
    </w:p>
    <w:p>
      <w:pPr>
        <w:pStyle w:val="TextBody"/>
        <w:spacing w:before="240" w:after="0"/>
        <w:jc w:val="left"/>
        <w:rPr>
          <w:rFonts w:ascii="ARIAL" w:hAnsi="ARIAL"/>
          <w:sz w:val="19"/>
        </w:rPr>
      </w:pPr>
      <w:r>
        <w:rPr>
          <w:rFonts w:ascii="ARIAL" w:hAnsi="ARIAL"/>
          <w:sz w:val="19"/>
        </w:rPr>
        <w:t xml:space="preserve">1    The name of the corporation is: </w:t>
      </w:r>
    </w:p>
    <w:p>
      <w:pPr>
        <w:pStyle w:val="TextBody"/>
        <w:spacing w:before="240" w:after="0"/>
        <w:jc w:val="center"/>
        <w:rPr>
          <w:rFonts w:ascii="ARIAL" w:hAnsi="ARIAL"/>
          <w:b/>
          <w:sz w:val="20"/>
        </w:rPr>
      </w:pPr>
      <w:r>
        <w:rPr>
          <w:rFonts w:ascii="ARIAL" w:hAnsi="ARIAL"/>
          <w:b/>
          <w:sz w:val="20"/>
        </w:rPr>
        <w:t xml:space="preserve">ROPER TECHNOLOGIES, INC. </w:t>
      </w:r>
    </w:p>
    <w:p>
      <w:pPr>
        <w:pStyle w:val="TextBody"/>
        <w:spacing w:before="240" w:after="0"/>
        <w:jc w:val="left"/>
        <w:rPr>
          <w:rFonts w:ascii="ARIAL" w:hAnsi="ARIAL"/>
          <w:sz w:val="19"/>
        </w:rPr>
      </w:pPr>
      <w:r>
        <w:rPr>
          <w:rFonts w:ascii="ARIAL" w:hAnsi="ARIAL"/>
          <w:sz w:val="19"/>
        </w:rPr>
        <w:t xml:space="preserve">2    The address of the corporation’s registered office in the State of Delaware is </w:t>
      </w:r>
      <w:r>
        <w:rPr>
          <w:rFonts w:ascii="ARIAL" w:hAnsi="ARIAL"/>
          <w:strike/>
          <w:sz w:val="19"/>
        </w:rPr>
        <w:t>1013 Centre Road</w:t>
      </w:r>
      <w:r>
        <w:rPr>
          <w:rFonts w:ascii="ARIAL" w:hAnsi="ARIAL"/>
          <w:sz w:val="19"/>
        </w:rPr>
        <w:t xml:space="preserve"> </w:t>
      </w:r>
      <w:r>
        <w:rPr>
          <w:rFonts w:ascii="ARIAL" w:hAnsi="ARIAL"/>
          <w:sz w:val="19"/>
          <w:u w:val="single"/>
          <w:bdr w:val="double" w:sz="2" w:space="1" w:color="000000"/>
        </w:rPr>
        <w:t>251 Little Falls Drive</w:t>
      </w:r>
      <w:r>
        <w:rPr>
          <w:rFonts w:ascii="ARIAL" w:hAnsi="ARIAL"/>
          <w:sz w:val="19"/>
        </w:rPr>
        <w:t xml:space="preserve"> in the City of Wilmington, County of New Castle, </w:t>
      </w:r>
      <w:r>
        <w:rPr>
          <w:rFonts w:ascii="ARIAL" w:hAnsi="ARIAL"/>
          <w:sz w:val="19"/>
          <w:u w:val="single"/>
          <w:bdr w:val="double" w:sz="2" w:space="1" w:color="000000"/>
        </w:rPr>
        <w:t>19808,</w:t>
      </w:r>
      <w:r>
        <w:rPr>
          <w:rFonts w:ascii="ARIAL" w:hAnsi="ARIAL"/>
          <w:sz w:val="19"/>
        </w:rPr>
        <w:t xml:space="preserve"> and the name of the registered agent thereat is The Prentice-Hall Corporation System, Inc. </w:t>
      </w:r>
    </w:p>
    <w:p>
      <w:pPr>
        <w:pStyle w:val="TextBody"/>
        <w:spacing w:before="240" w:after="0"/>
        <w:jc w:val="left"/>
        <w:rPr>
          <w:rFonts w:ascii="ARIAL" w:hAnsi="ARIAL"/>
          <w:sz w:val="19"/>
        </w:rPr>
      </w:pPr>
      <w:r>
        <w:rPr>
          <w:rFonts w:ascii="ARIAL" w:hAnsi="ARIAL"/>
          <w:sz w:val="19"/>
        </w:rPr>
        <w:t xml:space="preserve">3    The nature of the business of the corporation and the purposes to be conducted or promoted by it are as follows: </w:t>
      </w:r>
    </w:p>
    <w:p>
      <w:pPr>
        <w:pStyle w:val="TextBody"/>
        <w:spacing w:before="240" w:after="0"/>
        <w:jc w:val="left"/>
        <w:rPr>
          <w:rFonts w:ascii="ARIAL" w:hAnsi="ARIAL"/>
          <w:sz w:val="19"/>
        </w:rPr>
      </w:pPr>
      <w:r>
        <w:rPr>
          <w:rFonts w:ascii="ARIAL" w:hAnsi="ARIAL"/>
          <w:sz w:val="19"/>
        </w:rPr>
        <w:t xml:space="preserve">(a)    To design, manufacture, purchase, lease, distribute, install, repair, service, sell, import, export and otherwise deal in or with any and all kinds of positive displacement rotary and centrifugal pumps and industrial machinery, and all related supplies, components, equipment and products; </w:t>
      </w:r>
    </w:p>
    <w:p>
      <w:pPr>
        <w:pStyle w:val="TextBody"/>
        <w:spacing w:before="240" w:after="0"/>
        <w:jc w:val="left"/>
        <w:rPr>
          <w:rFonts w:ascii="ARIAL" w:hAnsi="ARIAL"/>
          <w:sz w:val="19"/>
        </w:rPr>
      </w:pPr>
      <w:r>
        <w:rPr>
          <w:rFonts w:ascii="ARIAL" w:hAnsi="ARIAL"/>
          <w:sz w:val="19"/>
        </w:rPr>
        <w:t xml:space="preserve">(b)    To acquire all or any part of the stock or other securities, goodwill, rights, property or assets of any kind and to undertake or assume all or any part of the obligations or liabilities of any corporation, association, partnership, syndicate, entity, or person located in or organized under the laws of any state, territory or possession of the United States of America or any foreign country, and to pay for the same in cash, stock, bonds, debentures, notes, or other securities, secured or unsecured, of this or any other corporation or otherwise in any manner permitted by law, and to conduct in any lawful manner all or any part of any business so acquired; and </w:t>
      </w:r>
    </w:p>
    <w:p>
      <w:pPr>
        <w:pStyle w:val="TextBody"/>
        <w:spacing w:before="240" w:after="0"/>
        <w:jc w:val="left"/>
        <w:rPr>
          <w:rFonts w:ascii="ARIAL" w:hAnsi="ARIAL"/>
          <w:sz w:val="19"/>
        </w:rPr>
      </w:pPr>
      <w:r>
        <w:rPr>
          <w:rFonts w:ascii="ARIAL" w:hAnsi="ARIAL"/>
          <w:sz w:val="19"/>
        </w:rPr>
        <w:t xml:space="preserve">(c)    To engage in any lawful act or activity for which corporations may be organized under the General Corporation Law of the State of Delaware. </w:t>
      </w:r>
    </w:p>
    <w:p>
      <w:pPr>
        <w:pStyle w:val="TextBody"/>
        <w:spacing w:before="240" w:after="0"/>
        <w:jc w:val="left"/>
        <w:rPr>
          <w:rFonts w:ascii="ARIAL" w:hAnsi="ARIAL"/>
          <w:sz w:val="19"/>
        </w:rPr>
      </w:pPr>
      <w:r>
        <w:rPr>
          <w:rFonts w:ascii="ARIAL" w:hAnsi="ARIAL"/>
          <w:sz w:val="19"/>
        </w:rPr>
        <w:t xml:space="preserve">In addition to the general powers conferred by the laws of the State of Delaware and the purposes hereinbefore set forth, the corporation shall also have the following powers: </w:t>
      </w:r>
    </w:p>
    <w:p>
      <w:pPr>
        <w:pStyle w:val="TextBody"/>
        <w:spacing w:before="240" w:after="0"/>
        <w:jc w:val="left"/>
        <w:rPr>
          <w:rFonts w:ascii="ARIAL" w:hAnsi="ARIAL"/>
          <w:sz w:val="19"/>
        </w:rPr>
      </w:pPr>
      <w:r>
        <w:rPr>
          <w:rFonts w:ascii="ARIAL" w:hAnsi="ARIAL"/>
          <w:sz w:val="19"/>
        </w:rPr>
        <w:t xml:space="preserve">(d)    To issue any of the shares of its capital stock of any class or series thereof now or hereafter authorized for such consideration as may be permitted by law and upon such terms and conditions as the Board of Directors may deem proper in its absolute discretion, and the stock so issued shall be fully paid and not liable to any further call or payment thereof; in the absence of actual fraud in the transaction, the judgment of the Board of Directors as to the value of the property or other consideration received for the shares of capital stock shall be conclusive; and </w:t>
      </w:r>
    </w:p>
    <w:p>
      <w:pPr>
        <w:pStyle w:val="TextBody"/>
        <w:spacing w:before="240" w:after="0"/>
        <w:jc w:val="left"/>
        <w:rPr>
          <w:rFonts w:ascii="ARIAL" w:hAnsi="ARIAL"/>
          <w:sz w:val="19"/>
        </w:rPr>
      </w:pPr>
      <w:r>
        <w:rPr>
          <w:rFonts w:ascii="ARIAL" w:hAnsi="ARIAL"/>
          <w:sz w:val="19"/>
        </w:rPr>
        <w:t xml:space="preserve">(e)    To borrow money, make, issue and sell, pledge, or otherwise dispose of checks, drafts, bills of exchange, documents of title, bonds, debentures, notes and other evidence of indebtedness of all kinds, whether unsecured or secured by mortgage, pledge or otherwise of any or all of the assets of the corporation, and without limit as to amount; and generally to mortgage, pledge or sell any stock or other securities or other property held by it, all on such terms and conditions as the Board of Directors. </w:t>
      </w:r>
    </w:p>
    <w:p>
      <w:pPr>
        <w:pStyle w:val="TextBody"/>
        <w:spacing w:before="240" w:after="0"/>
        <w:jc w:val="left"/>
        <w:rPr>
          <w:rFonts w:ascii="ARIAL" w:hAnsi="ARIAL"/>
          <w:sz w:val="19"/>
        </w:rPr>
      </w:pPr>
      <w:r>
        <w:rPr>
          <w:rFonts w:ascii="ARIAL" w:hAnsi="ARIAL"/>
          <w:sz w:val="19"/>
        </w:rPr>
        <w:t xml:space="preserve">4    A. The total number of shares of stock which the corporation shall have authority to issue is three hundred and fifty-one million (351,000,000) shares, divided into two (2) classes as follows: </w:t>
      </w:r>
    </w:p>
    <w:p>
      <w:pPr>
        <w:pStyle w:val="TextBody"/>
        <w:spacing w:before="120" w:after="0"/>
        <w:jc w:val="left"/>
        <w:rPr>
          <w:rFonts w:ascii="ARIAL" w:hAnsi="ARIAL"/>
          <w:sz w:val="19"/>
        </w:rPr>
      </w:pPr>
      <w:r>
        <w:rPr>
          <w:rFonts w:ascii="ARIAL" w:hAnsi="ARIAL"/>
          <w:sz w:val="19"/>
        </w:rPr>
        <w:t xml:space="preserve">(i)    three hundred and fifty million (350,000,000) shares, each to be of the par value of one cent ($0.01), and to be designated as Common Stock; and </w:t>
      </w:r>
    </w:p>
    <w:p>
      <w:pPr>
        <w:pStyle w:val="TextBody"/>
        <w:spacing w:before="0" w:after="0"/>
        <w:jc w:val="left"/>
        <w:rPr/>
      </w:pPr>
      <w:r>
        <w:rPr/>
        <w:t> </w:t>
      </w:r>
    </w:p>
    <w:tbl>
      <w:tblPr>
        <w:tblW w:w="655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6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7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22" descr=""/>
                          <pic:cNvPicPr>
                            <a:picLocks noChangeAspect="1" noChangeArrowheads="1"/>
                          </pic:cNvPicPr>
                        </pic:nvPicPr>
                        <pic:blipFill>
                          <a:blip r:embed="rId123"/>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jc w:val="right"/>
              <w:rPr>
                <w:color w:val="005CB9"/>
              </w:rPr>
            </w:pPr>
            <w:r>
              <w:rPr>
                <w:color w:val="005CB9"/>
              </w:rPr>
              <w:t>     </w:t>
            </w:r>
            <w:r>
              <w:rPr>
                <w:b/>
                <w:color w:val="005CB9"/>
              </w:rPr>
              <w:t>B-1</w:t>
            </w:r>
          </w:p>
        </w:tc>
      </w:tr>
    </w:tbl>
    <w:p>
      <w:pPr>
        <w:pStyle w:val="HorizontalLine"/>
        <w:rPr/>
      </w:pPr>
      <w:r>
        <w:br w:type="page"/>
      </w:r>
      <w:r>
        <w:rPr/>
      </w:r>
    </w:p>
    <w:p>
      <w:pPr>
        <w:pStyle w:val="TextBody"/>
        <w:spacing w:before="0" w:after="0"/>
        <w:jc w:val="left"/>
        <w:rPr>
          <w:rFonts w:ascii="ARIAL" w:hAnsi="ARIAL"/>
          <w:sz w:val="19"/>
        </w:rPr>
      </w:pPr>
      <w:r>
        <w:rPr>
          <w:rFonts w:ascii="ARIAL" w:hAnsi="ARIAL"/>
          <w:sz w:val="19"/>
        </w:rPr>
        <w:t xml:space="preserve">(ii)    one million (1,000,000) shares, each to be of the par value of one cent ($0.01), and to be designated as Preferred Stock. </w:t>
      </w:r>
    </w:p>
    <w:p>
      <w:pPr>
        <w:pStyle w:val="TextBody"/>
        <w:spacing w:before="120" w:after="0"/>
        <w:jc w:val="left"/>
        <w:rPr>
          <w:rFonts w:ascii="ARIAL" w:hAnsi="ARIAL"/>
          <w:sz w:val="19"/>
        </w:rPr>
      </w:pPr>
      <w:r>
        <w:rPr>
          <w:rFonts w:ascii="ARIAL" w:hAnsi="ARIAL"/>
          <w:sz w:val="19"/>
        </w:rPr>
        <w:t xml:space="preserve">B.    Each outstanding share of Common Stock shall entitle the holder thereof to one (1) vote on each matter properly submitted to the stockholders of the corporation for their vote, waiver, release or other action. </w:t>
      </w:r>
    </w:p>
    <w:p>
      <w:pPr>
        <w:pStyle w:val="TextBody"/>
        <w:spacing w:before="240" w:after="0"/>
        <w:jc w:val="left"/>
        <w:rPr>
          <w:rFonts w:ascii="ARIAL" w:hAnsi="ARIAL"/>
          <w:sz w:val="19"/>
        </w:rPr>
      </w:pPr>
      <w:r>
        <w:rPr>
          <w:rFonts w:ascii="ARIAL" w:hAnsi="ARIAL"/>
          <w:sz w:val="19"/>
        </w:rPr>
        <w:t xml:space="preserve">C.    Authority is hereby granted to the Board of Directors of the corporation to adopt, from time to time, a resolution or resolutions providing for the issuance of shares of Preferred Stock in one or more series; and the Board of Directors is hereby expressly granted and vested with the authority to determine and to fix with respect to each series of Preferred Stock any or all of the designations and the powers, preferences and rights, and the qualifications, limitations or restrictions of such Preferred Stock, including, but not limited to, the determination of the following: (i) the distinctive designation of such series of Preferred Stock and the number of shares which shall constitute such series, which number may be increased (except where otherwise provided by the Board of Directors) or decreased (but not below the number of shares thereof then outstanding) from time to time by the Board of Directors; (ii) the rate of dividends, if any, payable on the shares of such series of Preferred Stock, the conditions upon which and the dates when such dividends shall be payable, whether such dividends shall be cumulative (and, if so, from which date or dates), and whether payable in preference to dividends payable on any other class or classes of stock or on any other series of Preferred Stock; (iii) whether or not the shares or such series of Preferred Stock shall have voting powers, and, if voting powers are granted, the extent of such voting powers; (iv) whether or not the shares of such series of Preferred Stock shall be redeemable and, if so, the terms and conditions of such redemption, including, but not limited to, the date or dates upon or after which they shall be redeemable and the amount per share payable in case of redemption, which amount may vary under different conditions and at different redemption dates; (v) whether or not the shares of such series of Preferred Stock shall be entitled to the benefit of a retirement fund or sinking fund, and, if so, the terms and conditions of such fund; (vi) whether or not the shares of such series of Preferred Stock shall be convertible into or exchangeable for shares of any other class or classes of stock of the corporation or of any other series of Preferred Stock and, if made so convertible or exchangeable, the time or times, the conversion price or prices, or the rate or rates of exchange, and the adjustments thereof, it any, at which such conversion or exchange may be made, and any other terms and conditions of such conversion or exchange; (vii) the rights of the holders of the shares of such series of Preferred Stock upon the voluntary or involuntary liquidation, dissolution or winding-up, or merger, consolidation or distribution or sales of assets of the corporation; (viii) the conditions and restrictions, if any, on the payment of dividends or on the making of other distributions on, or the purchase, redemption or other acquisition by the corporation of the Roper Industries, Inc. Common Stock or of any other class of stock or other series of Preferred Stock of the corporation ranking junior to the shares of such series of Preferred Stock as to dividends or on liquidation; (ix) the conditions and restrictions, if any, on the creation of indebtedness of the corporation or any subsidiary or on the authorization or issue of any additional stock of the corporation ranking on a parity with or prior to the shares of such series of Preferred Stock as to dividends or on liquidation; and, (x) any other preferences and relative, participating, optional or other special rights, and qualifications, limitations or restrictions thereof. </w:t>
      </w:r>
    </w:p>
    <w:p>
      <w:pPr>
        <w:pStyle w:val="TextBody"/>
        <w:spacing w:before="240" w:after="0"/>
        <w:jc w:val="left"/>
        <w:rPr>
          <w:rFonts w:ascii="ARIAL" w:hAnsi="ARIAL"/>
          <w:sz w:val="19"/>
        </w:rPr>
      </w:pPr>
      <w:r>
        <w:rPr>
          <w:rFonts w:ascii="ARIAL" w:hAnsi="ARIAL"/>
          <w:sz w:val="19"/>
        </w:rPr>
        <w:t xml:space="preserve">D.    Subject to the foregoing, the authorized shares of stock of any class of the corporation may be issued by the corporation from time to time and for such consideration, not less than the par value thereof, and upon such terms as may be fixed from time to time by the Board of Directors, and any and all shares so issued, the full consideration for which shall have been paid or delivered, shall be deemed fully-paid and non-assessable stock and shall not be liable to any further call or assessment thereon. </w:t>
      </w:r>
    </w:p>
    <w:p>
      <w:pPr>
        <w:pStyle w:val="TextBody"/>
        <w:spacing w:before="240" w:after="0"/>
        <w:jc w:val="left"/>
        <w:rPr>
          <w:rFonts w:ascii="ARIAL" w:hAnsi="ARIAL"/>
          <w:sz w:val="19"/>
        </w:rPr>
      </w:pPr>
      <w:r>
        <w:rPr>
          <w:rFonts w:ascii="ARIAL" w:hAnsi="ARIAL"/>
          <w:sz w:val="19"/>
        </w:rPr>
        <w:t xml:space="preserve">E.    The holders of stock, as such, of any class of the corporation shall have no preemptive or preferential right to purchase or subscribe for any part of the unissued capital stock of the corporation of any class or for any new issue of stock of any class, whether now or hereafter authorized or issued, or to purchase or subscribe for any bonds or other obligations, whether or not convertible into stock of any class of the corporation, now or hereafter authorized or issued other than such, if any, as the Board of Directors of the corporation from time to time may fix pursuant to the authority hereby conferred by the Certificate of Incorporation of the corporation; and the Board of Directors may issue stock of the corporation, or securities or obligations convertible into stock, without offering such issue of stock or such securities or obligations, either in whole or in part, to the stockholders of the corporation. </w:t>
      </w:r>
    </w:p>
    <w:p>
      <w:pPr>
        <w:pStyle w:val="TextBody"/>
        <w:spacing w:before="0" w:after="0"/>
        <w:jc w:val="left"/>
        <w:rPr/>
      </w:pPr>
      <w:r>
        <w:rPr/>
        <w:t> </w:t>
      </w:r>
    </w:p>
    <w:tbl>
      <w:tblPr>
        <w:tblW w:w="6175" w:type="dxa"/>
        <w:jc w:val="left"/>
        <w:tblInd w:w="0" w:type="dxa"/>
        <w:tblCellMar>
          <w:top w:w="0" w:type="dxa"/>
          <w:left w:w="0" w:type="dxa"/>
          <w:bottom w:w="0" w:type="dxa"/>
          <w:right w:w="0" w:type="dxa"/>
        </w:tblCellMar>
      </w:tblPr>
      <w:tblGrid>
        <w:gridCol w:w="395"/>
        <w:gridCol w:w="60"/>
        <w:gridCol w:w="240"/>
        <w:gridCol w:w="60"/>
        <w:gridCol w:w="255"/>
        <w:gridCol w:w="60"/>
        <w:gridCol w:w="5105"/>
      </w:tblGrid>
      <w:tr>
        <w:trPr/>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395" w:type="dxa"/>
            <w:tcBorders/>
            <w:shd w:fill="auto" w:val="clear"/>
            <w:vAlign w:val="center"/>
          </w:tcPr>
          <w:p>
            <w:pPr>
              <w:pStyle w:val="TableContents"/>
              <w:spacing w:before="0" w:after="283"/>
              <w:rPr>
                <w:b/>
                <w:color w:val="005CB9"/>
              </w:rPr>
            </w:pPr>
            <w:r>
              <w:rPr>
                <w:b/>
                <w:color w:val="005CB9"/>
              </w:rPr>
              <w:t>B-2</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7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23" descr=""/>
                          <pic:cNvPicPr>
                            <a:picLocks noChangeAspect="1" noChangeArrowheads="1"/>
                          </pic:cNvPicPr>
                        </pic:nvPicPr>
                        <pic:blipFill>
                          <a:blip r:embed="rId124"/>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p>
      <w:pPr>
        <w:pStyle w:val="TextBody"/>
        <w:spacing w:before="0" w:after="0"/>
        <w:jc w:val="left"/>
        <w:rPr>
          <w:rFonts w:ascii="ARIAL" w:hAnsi="ARIAL"/>
          <w:sz w:val="19"/>
        </w:rPr>
      </w:pPr>
      <w:r>
        <w:rPr>
          <w:rFonts w:ascii="ARIAL" w:hAnsi="ARIAL"/>
          <w:sz w:val="19"/>
        </w:rPr>
        <w:t xml:space="preserve">F.    Subject to any limitations contained in the resolution or resolutions providing for the issue of any series of Preferred Stock, the holders of Common Stock shall be entitled to receive, when and as declared by the Board of Directors out of the assets of the corporation which are by law available therefor, dividends payable in cash, in property or in shares of Common Stock. No dividends, other than dividends payable only in shares of Common Stock of the corporation, shall be paid on Common Stock if cash dividends in full to which all outstanding shares of Preferred Stock of all series shall then be entitled for the then current dividend period and (where such dividends are cumulative) for all past dividend periods shall not have been paid or declared and set apart in full. </w:t>
      </w:r>
    </w:p>
    <w:p>
      <w:pPr>
        <w:pStyle w:val="TextBody"/>
        <w:spacing w:before="240" w:after="0"/>
        <w:jc w:val="left"/>
        <w:rPr>
          <w:rFonts w:ascii="ARIAL" w:hAnsi="ARIAL"/>
          <w:sz w:val="19"/>
        </w:rPr>
      </w:pPr>
      <w:r>
        <w:rPr>
          <w:rFonts w:ascii="ARIAL" w:hAnsi="ARIAL"/>
          <w:sz w:val="19"/>
        </w:rPr>
        <w:t xml:space="preserve">G.    In the event of any voluntary or involuntary liquidation, dissolution or winding-up of the corporation, the holders of Common Stock shall be entitled, after payment or provision for payment of the debts and other liabilities of the corporation and of the amounts to which the holders of the Preferred Stock shall be entitled, to share ratably in the remaining net assets of the corporation. Neither a consolidation nor a merger of the corporation with or into any other corporation; nor a merger of any other corporation with or into the corporation; nor a reorganization of the corporation; nor the purchase or redemption of all or part of the outstanding shares of stock of any class or classes of the corporation; nor the sale or transfer of the property and business of the corporation as, or substantially as, an entity shall be considered a liquidation, dissolution or winding-up of the corporation for purposes of the preceding sentence. </w:t>
      </w:r>
    </w:p>
    <w:p>
      <w:pPr>
        <w:pStyle w:val="TextBody"/>
        <w:spacing w:before="240" w:after="0"/>
        <w:jc w:val="left"/>
        <w:rPr>
          <w:rFonts w:ascii="ARIAL" w:hAnsi="ARIAL"/>
          <w:sz w:val="19"/>
        </w:rPr>
      </w:pPr>
      <w:r>
        <w:rPr>
          <w:rFonts w:ascii="ARIAL" w:hAnsi="ARIAL"/>
          <w:sz w:val="19"/>
        </w:rPr>
        <w:t xml:space="preserve">5    The Board of Directors shall have the power (i) to make, alter or amend the By-laws, subject only to such limitations, if any, as the By-laws of the corporation may from time to time impose; (ii) from time to time to fix and determine and to vary the amount to be reserved as working capital of the corporation, and, before the payment of any dividends or making any distribution or profits, to set aside out of the surplus or net profits of the corporation such sum or sums as the Board may from time to time in its absolute discretion think proper either as additional working capital or as a reserve fund to meet contingencies, or for the repairing or maintaining of any property of the corporation, or for such other corporate purposes as the Board of Directors shall think conducive to the interests of the corporation, subject only to such limitations, if any, as the By-laws of the corporation may from time to time impose; (iii) from time to time, to the extent now or hereafter permitted by the laws of Delaware, to sell, lease, exchange or otherwise dispose of any part of the property and assets of the corporation which the Board of Directors deems it expedient and for the best interests of the corporation to dispose of, or disadvantageous to continue to own, without assent of the stockholders by vote or otherwise; (iv) to issue or cause to be issued from time to time all or any part of the authorized capital stock of the corporation on such terms and for such consideration as the Board of Directors may determine in its discretion without obtaining the approval of the holders of any of the then outstanding capital stock; (v) pursuant to the affirmative vote of the holders of a majority of the shares of stock issued and outstanding having voting power given at a stockholders’ meeting duly called for that purpose, to sell, lease, exchange, or otherwise dispose of all or substantially all of the property and assets of the corporation, including its goodwill and its corporate franchises, upon such terms and conditions as the Board of Directors deems expedient and for the best interest of the corporation; (vi) from time to time to authorize the corporation to borrow money or to pledge the credit of the corporation by guaranty or otherwise, and to issue, sell, pledge, or otherwise deliver or dispose of stock of this or any other corporation, bonds, debentures, notes or other evidences of indebtedness, whether unsecured or secured by mortgage, pledge or other lien of any or all of the assets of the corporation, all on such terms and conditions as the Board of Directors may determine or authorize in its discretion without obtaining the approval of any of the holders of any of the then outstanding capital stock of the corporation and; (vii) to exercise any and all other powers conferred by law or by this certificate or which may be conferred upon the Board of Directors by the corporation through appropriate Bylaw provisions or otherwise. </w:t>
      </w:r>
    </w:p>
    <w:p>
      <w:pPr>
        <w:pStyle w:val="TextBody"/>
        <w:spacing w:before="240" w:after="0"/>
        <w:jc w:val="left"/>
        <w:rPr>
          <w:rFonts w:ascii="ARIAL" w:hAnsi="ARIAL"/>
          <w:sz w:val="19"/>
        </w:rPr>
      </w:pPr>
      <w:r>
        <w:rPr>
          <w:rFonts w:ascii="ARIAL" w:hAnsi="ARIAL"/>
          <w:sz w:val="19"/>
        </w:rPr>
        <w:t xml:space="preserve">6    The Board of Directors, by resolution or resolutions duly adopted by it, may designate one or more committees, each committee to consist of one or more directors of the corporation, which, to the extent provided in the resolution or resolutions or in the By-laws of the corporation, but subject to any limitations specifically imposed by the laws of Delaware, shall have and may exercise all the powers and authority of the Board of Directors in the management of the business and affairs of the corporation and may authorize the seal of the corporation to be affixed to all papers which may require it. </w:t>
      </w:r>
    </w:p>
    <w:p>
      <w:pPr>
        <w:pStyle w:val="TextBody"/>
        <w:spacing w:before="240" w:after="0"/>
        <w:jc w:val="left"/>
        <w:rPr>
          <w:rFonts w:ascii="ARIAL" w:hAnsi="ARIAL"/>
          <w:sz w:val="19"/>
        </w:rPr>
      </w:pPr>
      <w:r>
        <w:rPr>
          <w:rFonts w:ascii="ARIAL" w:hAnsi="ARIAL"/>
          <w:sz w:val="19"/>
        </w:rPr>
        <w:t xml:space="preserve">7    No contract, act or transaction of the corporation with any person, firm or corporation shall be affected or invalidated by reason of the fact that any director or officer of the corporation is a party to or is interested in such contract, act or transaction, or in any way connected with such person, firm or corporation, provided </w:t>
      </w:r>
    </w:p>
    <w:p>
      <w:pPr>
        <w:pStyle w:val="TextBody"/>
        <w:spacing w:before="0" w:after="0"/>
        <w:jc w:val="left"/>
        <w:rPr/>
      </w:pPr>
      <w:r>
        <w:rPr/>
        <w:t> </w:t>
      </w:r>
    </w:p>
    <w:tbl>
      <w:tblPr>
        <w:tblW w:w="655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6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7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24" descr=""/>
                          <pic:cNvPicPr>
                            <a:picLocks noChangeAspect="1" noChangeArrowheads="1"/>
                          </pic:cNvPicPr>
                        </pic:nvPicPr>
                        <pic:blipFill>
                          <a:blip r:embed="rId125"/>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jc w:val="right"/>
              <w:rPr>
                <w:color w:val="005CB9"/>
              </w:rPr>
            </w:pPr>
            <w:r>
              <w:rPr>
                <w:color w:val="005CB9"/>
              </w:rPr>
              <w:t>     </w:t>
            </w:r>
            <w:r>
              <w:rPr>
                <w:b/>
                <w:color w:val="005CB9"/>
              </w:rPr>
              <w:t>B-3</w:t>
            </w:r>
          </w:p>
        </w:tc>
      </w:tr>
    </w:tbl>
    <w:p>
      <w:pPr>
        <w:pStyle w:val="HorizontalLine"/>
        <w:rPr/>
      </w:pPr>
      <w:r>
        <w:br w:type="page"/>
      </w:r>
      <w:r>
        <w:rPr/>
      </w:r>
    </w:p>
    <w:p>
      <w:pPr>
        <w:pStyle w:val="TextBody"/>
        <w:spacing w:before="0" w:after="0"/>
        <w:jc w:val="left"/>
        <w:rPr>
          <w:rFonts w:ascii="ARIAL" w:hAnsi="ARIAL"/>
          <w:sz w:val="19"/>
        </w:rPr>
      </w:pPr>
      <w:r>
        <w:rPr>
          <w:rFonts w:ascii="ARIAL" w:hAnsi="ARIAL"/>
          <w:sz w:val="19"/>
        </w:rPr>
        <w:t xml:space="preserve">that such interest or connection shall have been disclosed or known to the corporation. Any director of the corporation having any such interest or connection may, nevertheless, be counted in determining the existence of a quorum at any meeting of the Board of Directors or a committee which shall authorize any such contract, act or transaction and may vote thereon with full force and effect. No such officer or director nor any such person, firm or corporation in or with which such director or officer is connected shall be liable to account to the corporation for any profit realized from or through any such contract, act or transaction. </w:t>
      </w:r>
    </w:p>
    <w:p>
      <w:pPr>
        <w:pStyle w:val="TextBody"/>
        <w:spacing w:before="240" w:after="0"/>
        <w:jc w:val="left"/>
        <w:rPr>
          <w:rFonts w:ascii="ARIAL" w:hAnsi="ARIAL"/>
          <w:sz w:val="19"/>
        </w:rPr>
      </w:pPr>
      <w:r>
        <w:rPr>
          <w:rFonts w:ascii="ARIAL" w:hAnsi="ARIAL"/>
          <w:sz w:val="19"/>
        </w:rPr>
        <w:t xml:space="preserve">8    (i) Except as otherwise provided in this Certificate of Incorporation or the General Corporation Law of the State of Delaware, the business and affairs of the corporation shall be managed by or under the direction of a Board of Directors consisting of such number of members as may be fixed, subject to the rights of the holders of any series of preferred stock then outstanding, from time to time, by the affirmative vote of the majority of the members of the Board of Directors of the corporation, but not less than the minimum number authorized by the State of Delaware. </w:t>
      </w:r>
    </w:p>
    <w:p>
      <w:pPr>
        <w:pStyle w:val="TextBody"/>
        <w:spacing w:before="120" w:after="0"/>
        <w:jc w:val="left"/>
        <w:rPr>
          <w:rFonts w:ascii="ARIAL" w:hAnsi="ARIAL"/>
          <w:sz w:val="19"/>
        </w:rPr>
      </w:pPr>
      <w:r>
        <w:rPr>
          <w:rFonts w:ascii="ARIAL" w:hAnsi="ARIAL"/>
          <w:sz w:val="19"/>
        </w:rPr>
        <w:t xml:space="preserve">(ii)    Subject to the rights of the holders of any series of preferred stock then outstanding: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45"/>
        <w:gridCol w:w="9885"/>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left"/>
              <w:rPr/>
            </w:pPr>
            <w:r>
              <w:rPr/>
              <w:t> </w:t>
            </w:r>
            <w:r>
              <w:rPr/>
              <w:t>a.</w:t>
            </w:r>
          </w:p>
        </w:tc>
        <w:tc>
          <w:tcPr>
            <w:tcW w:w="9885" w:type="dxa"/>
            <w:tcBorders/>
            <w:shd w:fill="auto" w:val="clear"/>
            <w:vAlign w:val="center"/>
          </w:tcPr>
          <w:p>
            <w:pPr>
              <w:pStyle w:val="TableContents"/>
              <w:spacing w:before="0" w:after="0"/>
              <w:jc w:val="left"/>
              <w:rPr>
                <w:rFonts w:ascii="ARIAL" w:hAnsi="ARIAL"/>
                <w:sz w:val="19"/>
              </w:rPr>
            </w:pPr>
            <w:r>
              <w:rPr>
                <w:rFonts w:ascii="ARIAL" w:hAnsi="ARIAL"/>
                <w:sz w:val="19"/>
              </w:rPr>
              <w:t xml:space="preserve">Until the election of directors at the 2016 Annual Meeting of Stockholders, the Board of Directors shall be divided into three classes of directors, as nearly equal in number as possible. Subject to Sections (ii)(b)-(d) and (iii)-(iv) of this Article 8, each class of directors shall be elected for a three-year term and the terms of each class shall be staggered so that only one class of directors will be elected at each annual meeting of stockholders.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60"/>
        <w:gridCol w:w="9870"/>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pPr>
            <w:r>
              <w:rPr/>
              <w:t> </w:t>
            </w:r>
            <w:r>
              <w:rPr/>
              <w:t>b.</w:t>
            </w:r>
          </w:p>
        </w:tc>
        <w:tc>
          <w:tcPr>
            <w:tcW w:w="9870" w:type="dxa"/>
            <w:tcBorders/>
            <w:shd w:fill="auto" w:val="clear"/>
            <w:vAlign w:val="center"/>
          </w:tcPr>
          <w:p>
            <w:pPr>
              <w:pStyle w:val="TableContents"/>
              <w:spacing w:before="0" w:after="0"/>
              <w:jc w:val="left"/>
              <w:rPr>
                <w:rFonts w:ascii="ARIAL" w:hAnsi="ARIAL"/>
                <w:sz w:val="19"/>
              </w:rPr>
            </w:pPr>
            <w:r>
              <w:rPr>
                <w:rFonts w:ascii="ARIAL" w:hAnsi="ARIAL"/>
                <w:sz w:val="19"/>
              </w:rPr>
              <w:t xml:space="preserve">Each director serving as a director immediately following the 2013 Annual Meeting of Stockholders, or elected or appointed thereafter, shall hold office until the term for which they were elected or appointed expires and their successor is duly elected and qualified, or until their earlier death, resignation or removal from office.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45"/>
        <w:gridCol w:w="9885"/>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left"/>
              <w:rPr/>
            </w:pPr>
            <w:r>
              <w:rPr/>
              <w:t> </w:t>
            </w:r>
            <w:r>
              <w:rPr/>
              <w:t>c.</w:t>
            </w:r>
          </w:p>
        </w:tc>
        <w:tc>
          <w:tcPr>
            <w:tcW w:w="9885" w:type="dxa"/>
            <w:tcBorders/>
            <w:shd w:fill="auto" w:val="clear"/>
            <w:vAlign w:val="center"/>
          </w:tcPr>
          <w:p>
            <w:pPr>
              <w:pStyle w:val="TableContents"/>
              <w:spacing w:before="0" w:after="0"/>
              <w:jc w:val="left"/>
              <w:rPr>
                <w:rFonts w:ascii="ARIAL" w:hAnsi="ARIAL"/>
                <w:sz w:val="19"/>
              </w:rPr>
            </w:pPr>
            <w:r>
              <w:rPr>
                <w:rFonts w:ascii="ARIAL" w:hAnsi="ARIAL"/>
                <w:sz w:val="19"/>
              </w:rPr>
              <w:t xml:space="preserve">At each annual meeting of stockholders commencing with the 2014 Annual Meeting of Stockholders, successors to the class of directors whose terms expire at that annual meeting of stockholders shall be elected for a one-year term.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60"/>
        <w:gridCol w:w="9870"/>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pPr>
            <w:r>
              <w:rPr/>
              <w:t> </w:t>
            </w:r>
            <w:r>
              <w:rPr/>
              <w:t>d.</w:t>
            </w:r>
          </w:p>
        </w:tc>
        <w:tc>
          <w:tcPr>
            <w:tcW w:w="9870" w:type="dxa"/>
            <w:tcBorders/>
            <w:shd w:fill="auto" w:val="clear"/>
            <w:vAlign w:val="center"/>
          </w:tcPr>
          <w:p>
            <w:pPr>
              <w:pStyle w:val="TableContents"/>
              <w:spacing w:before="0" w:after="0"/>
              <w:jc w:val="left"/>
              <w:rPr>
                <w:rFonts w:ascii="ARIAL" w:hAnsi="ARIAL"/>
                <w:sz w:val="19"/>
              </w:rPr>
            </w:pPr>
            <w:r>
              <w:rPr>
                <w:rFonts w:ascii="ARIAL" w:hAnsi="ARIAL"/>
                <w:sz w:val="19"/>
              </w:rPr>
              <w:t xml:space="preserve">From and after the election of directors at the 2016 Annual Meeting of Stockholders, the Board of Directors shall cease to be classified and all directors shall be elected for one-year terms expiring at the next annual meeting of stockholders. </w:t>
            </w:r>
          </w:p>
        </w:tc>
      </w:tr>
    </w:tbl>
    <w:p>
      <w:pPr>
        <w:pStyle w:val="TextBody"/>
        <w:spacing w:before="120" w:after="0"/>
        <w:jc w:val="left"/>
        <w:rPr>
          <w:rFonts w:ascii="ARIAL" w:hAnsi="ARIAL"/>
          <w:sz w:val="19"/>
        </w:rPr>
      </w:pPr>
      <w:r>
        <w:rPr>
          <w:rFonts w:ascii="ARIAL" w:hAnsi="ARIAL"/>
          <w:sz w:val="19"/>
        </w:rPr>
        <w:t xml:space="preserve">(iii)    Subject to the rights of the holders of any series of preferred stock then outstanding: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45"/>
        <w:gridCol w:w="9885"/>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left"/>
              <w:rPr/>
            </w:pPr>
            <w:r>
              <w:rPr/>
              <w:t> </w:t>
            </w:r>
            <w:r>
              <w:rPr/>
              <w:t>a.</w:t>
            </w:r>
          </w:p>
        </w:tc>
        <w:tc>
          <w:tcPr>
            <w:tcW w:w="9885" w:type="dxa"/>
            <w:tcBorders/>
            <w:shd w:fill="auto" w:val="clear"/>
            <w:vAlign w:val="center"/>
          </w:tcPr>
          <w:p>
            <w:pPr>
              <w:pStyle w:val="TableContents"/>
              <w:spacing w:before="0" w:after="0"/>
              <w:jc w:val="left"/>
              <w:rPr>
                <w:rFonts w:ascii="ARIAL" w:hAnsi="ARIAL"/>
                <w:sz w:val="19"/>
              </w:rPr>
            </w:pPr>
            <w:r>
              <w:rPr>
                <w:rFonts w:ascii="ARIAL" w:hAnsi="ARIAL"/>
                <w:sz w:val="19"/>
              </w:rPr>
              <w:t xml:space="preserve">Until the 2016 Annual Meeting of Stockholders, any director, or the entire Board of Directors, may be removed from office at any time, but only for cause and only by the affirmative vote of the holders of at least a majority of the voting power of all of the shares of the corporation entitled to vote for the election of directors. For purposes of this Article 8, cause for removal shall be construed to exist only if the director whose removal is proposed has been convicted of a felony by a court of competent jurisdiction or has been adjudged by a court of competent jurisdiction to be liable for negligence or misconduct in the performance of his duty to the corporation in a matter of substantial importance to the corporation.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00"/>
        <w:gridCol w:w="993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b.</w:t>
            </w:r>
          </w:p>
        </w:tc>
        <w:tc>
          <w:tcPr>
            <w:tcW w:w="9930" w:type="dxa"/>
            <w:tcBorders/>
            <w:shd w:fill="auto" w:val="clear"/>
            <w:vAlign w:val="center"/>
          </w:tcPr>
          <w:p>
            <w:pPr>
              <w:pStyle w:val="TableContents"/>
              <w:spacing w:before="0" w:after="0"/>
              <w:jc w:val="left"/>
              <w:rPr>
                <w:rFonts w:ascii="ARIAL" w:hAnsi="ARIAL"/>
                <w:sz w:val="19"/>
              </w:rPr>
            </w:pPr>
            <w:r>
              <w:rPr>
                <w:rFonts w:ascii="ARIAL" w:hAnsi="ARIAL"/>
                <w:sz w:val="19"/>
              </w:rPr>
              <w:t xml:space="preserve">From and after the 2016 Annual Meeting of Stockholders, any director, or the entire Board of Directors, may be removed from office at any time, with or without cause, only by the affirmative vote of the holders of at least a majority of the voting power of all of the shares of the corporation entitled to vote for the election of directors. </w:t>
            </w:r>
          </w:p>
        </w:tc>
      </w:tr>
    </w:tbl>
    <w:p>
      <w:pPr>
        <w:pStyle w:val="TextBody"/>
        <w:spacing w:before="120" w:after="0"/>
        <w:jc w:val="left"/>
        <w:rPr>
          <w:rFonts w:ascii="ARIAL" w:hAnsi="ARIAL"/>
          <w:sz w:val="19"/>
        </w:rPr>
      </w:pPr>
      <w:r>
        <w:rPr>
          <w:rFonts w:ascii="ARIAL" w:hAnsi="ARIAL"/>
          <w:sz w:val="19"/>
        </w:rPr>
        <w:t xml:space="preserve">(iv)    Subject to the rights of the holders of any series of preferred stock then outstanding: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45"/>
        <w:gridCol w:w="9885"/>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left"/>
              <w:rPr/>
            </w:pPr>
            <w:r>
              <w:rPr/>
              <w:t> </w:t>
            </w:r>
            <w:r>
              <w:rPr/>
              <w:t>a.</w:t>
            </w:r>
          </w:p>
        </w:tc>
        <w:tc>
          <w:tcPr>
            <w:tcW w:w="9885" w:type="dxa"/>
            <w:tcBorders/>
            <w:shd w:fill="auto" w:val="clear"/>
            <w:vAlign w:val="center"/>
          </w:tcPr>
          <w:p>
            <w:pPr>
              <w:pStyle w:val="TableContents"/>
              <w:spacing w:before="0" w:after="0"/>
              <w:jc w:val="left"/>
              <w:rPr>
                <w:rFonts w:ascii="ARIAL" w:hAnsi="ARIAL"/>
                <w:sz w:val="19"/>
              </w:rPr>
            </w:pPr>
            <w:r>
              <w:rPr>
                <w:rFonts w:ascii="ARIAL" w:hAnsi="ARIAL"/>
                <w:sz w:val="19"/>
              </w:rPr>
              <w:t xml:space="preserve">Newly created directorships resulting from any increase in the authorized number of directors or any vacancies in the Board of Directors resulting from death, resignation, retirement, disqualification, removal from office or other cause shall be filled by a majority vote of the directors then in office.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60"/>
        <w:gridCol w:w="9870"/>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pPr>
            <w:r>
              <w:rPr/>
              <w:t> </w:t>
            </w:r>
            <w:r>
              <w:rPr/>
              <w:t>b.</w:t>
            </w:r>
          </w:p>
        </w:tc>
        <w:tc>
          <w:tcPr>
            <w:tcW w:w="9870" w:type="dxa"/>
            <w:tcBorders/>
            <w:shd w:fill="auto" w:val="clear"/>
            <w:vAlign w:val="center"/>
          </w:tcPr>
          <w:p>
            <w:pPr>
              <w:pStyle w:val="TableContents"/>
              <w:spacing w:before="0" w:after="0"/>
              <w:jc w:val="left"/>
              <w:rPr>
                <w:rFonts w:ascii="ARIAL" w:hAnsi="ARIAL"/>
                <w:sz w:val="19"/>
              </w:rPr>
            </w:pPr>
            <w:r>
              <w:rPr>
                <w:rFonts w:ascii="ARIAL" w:hAnsi="ARIAL"/>
                <w:sz w:val="19"/>
              </w:rPr>
              <w:t xml:space="preserve">Until the election of directors at the 2016 Annual Meeting of Stockholders, each director chosen to fill a vacancy in the Board of Directors shall receive the classification of the vacant directorship to which he or she has been appointed or, if it is a newly created directorship, shall receive the classification that at least a majority of the directors then in office designate and shall hold office until the first meeting of stockholders held after his or her appointment for the purpose of electing directors of that classification, and until his or her successor is duly elected and qualified or until his or her earlier death, resignation or removal from office. </w:t>
            </w:r>
          </w:p>
        </w:tc>
      </w:tr>
    </w:tbl>
    <w:p>
      <w:pPr>
        <w:pStyle w:val="TextBody"/>
        <w:spacing w:before="0" w:after="0"/>
        <w:jc w:val="left"/>
        <w:rPr/>
      </w:pPr>
      <w:r>
        <w:rPr/>
        <w:t> </w:t>
      </w:r>
    </w:p>
    <w:tbl>
      <w:tblPr>
        <w:tblW w:w="6175" w:type="dxa"/>
        <w:jc w:val="left"/>
        <w:tblInd w:w="0" w:type="dxa"/>
        <w:tblCellMar>
          <w:top w:w="0" w:type="dxa"/>
          <w:left w:w="0" w:type="dxa"/>
          <w:bottom w:w="0" w:type="dxa"/>
          <w:right w:w="0" w:type="dxa"/>
        </w:tblCellMar>
      </w:tblPr>
      <w:tblGrid>
        <w:gridCol w:w="395"/>
        <w:gridCol w:w="60"/>
        <w:gridCol w:w="240"/>
        <w:gridCol w:w="60"/>
        <w:gridCol w:w="255"/>
        <w:gridCol w:w="60"/>
        <w:gridCol w:w="5105"/>
      </w:tblGrid>
      <w:tr>
        <w:trPr/>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395" w:type="dxa"/>
            <w:tcBorders/>
            <w:shd w:fill="auto" w:val="clear"/>
            <w:vAlign w:val="center"/>
          </w:tcPr>
          <w:p>
            <w:pPr>
              <w:pStyle w:val="TableContents"/>
              <w:spacing w:before="0" w:after="283"/>
              <w:rPr>
                <w:b/>
                <w:color w:val="005CB9"/>
              </w:rPr>
            </w:pPr>
            <w:r>
              <w:rPr>
                <w:b/>
                <w:color w:val="005CB9"/>
              </w:rPr>
              <w:t>B-4</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7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25" descr=""/>
                          <pic:cNvPicPr>
                            <a:picLocks noChangeAspect="1" noChangeArrowheads="1"/>
                          </pic:cNvPicPr>
                        </pic:nvPicPr>
                        <pic:blipFill>
                          <a:blip r:embed="rId126"/>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color w:val="005CB9"/>
              </w:rPr>
            </w:pPr>
            <w:r>
              <w:rPr>
                <w:color w:val="005CB9"/>
              </w:rPr>
              <w:t>    </w:t>
            </w:r>
            <w:r>
              <w:rPr>
                <w:b/>
                <w:color w:val="005CB9"/>
              </w:rPr>
              <w:t>Roper Technologies, Inc. 2023 Proxy Statement</w:t>
            </w:r>
          </w:p>
        </w:tc>
      </w:tr>
    </w:tbl>
    <w:p>
      <w:pPr>
        <w:pStyle w:val="HorizontalLine"/>
        <w:rPr/>
      </w:pPr>
      <w:r>
        <w:br w:type="page"/>
      </w:r>
      <w:r>
        <w:rPr/>
      </w:r>
    </w:p>
    <w:tbl>
      <w:tblPr>
        <w:tblW w:w="10205" w:type="dxa"/>
        <w:jc w:val="left"/>
        <w:tblInd w:w="0" w:type="dxa"/>
        <w:tblCellMar>
          <w:top w:w="0" w:type="dxa"/>
          <w:left w:w="0" w:type="dxa"/>
          <w:bottom w:w="0" w:type="dxa"/>
          <w:right w:w="0" w:type="dxa"/>
        </w:tblCellMar>
      </w:tblPr>
      <w:tblGrid>
        <w:gridCol w:w="75"/>
        <w:gridCol w:w="245"/>
        <w:gridCol w:w="9885"/>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left"/>
              <w:rPr/>
            </w:pPr>
            <w:r>
              <w:rPr/>
              <w:t> </w:t>
            </w:r>
            <w:r>
              <w:rPr/>
              <w:t>c.</w:t>
            </w:r>
          </w:p>
        </w:tc>
        <w:tc>
          <w:tcPr>
            <w:tcW w:w="9885" w:type="dxa"/>
            <w:tcBorders/>
            <w:shd w:fill="auto" w:val="clear"/>
            <w:vAlign w:val="center"/>
          </w:tcPr>
          <w:p>
            <w:pPr>
              <w:pStyle w:val="TableContents"/>
              <w:spacing w:before="0" w:after="0"/>
              <w:jc w:val="left"/>
              <w:rPr>
                <w:rFonts w:ascii="ARIAL" w:hAnsi="ARIAL"/>
                <w:sz w:val="19"/>
              </w:rPr>
            </w:pPr>
            <w:r>
              <w:rPr>
                <w:rFonts w:ascii="ARIAL" w:hAnsi="ARIAL"/>
                <w:sz w:val="19"/>
              </w:rPr>
              <w:t xml:space="preserve">From and after the 2016 Annual Meeting of Stockholders, each director chosen to fill a vacancy in the Board of Directors shall hold office until the first meeting of stockholders held after his or her appointment for the purpose of electing directors and until his or her successor is duly elected and qualified or until his or her earlier death, resignation or removal from office. </w:t>
            </w:r>
          </w:p>
        </w:tc>
      </w:tr>
    </w:tbl>
    <w:p>
      <w:pPr>
        <w:pStyle w:val="TextBody"/>
        <w:spacing w:before="240" w:after="0"/>
        <w:jc w:val="left"/>
        <w:rPr>
          <w:rFonts w:ascii="ARIAL" w:hAnsi="ARIAL"/>
          <w:sz w:val="19"/>
        </w:rPr>
      </w:pPr>
      <w:r>
        <w:rPr>
          <w:rFonts w:ascii="ARIAL" w:hAnsi="ARIAL"/>
          <w:sz w:val="19"/>
        </w:rPr>
        <w:t xml:space="preserve">9    The corporation reserves the right to amend, alter, change or repeal any provision contained in this Certificate of Incorporation or any amendment thereto in the manner now or hereafter prescribed by the laws of the State of Delaware, and all rights conferred on the stockholders hereunder are granted subject to that reservation. </w:t>
      </w:r>
    </w:p>
    <w:p>
      <w:pPr>
        <w:pStyle w:val="TextBody"/>
        <w:spacing w:before="240" w:after="0"/>
        <w:jc w:val="left"/>
        <w:rPr>
          <w:rFonts w:ascii="ARIAL" w:hAnsi="ARIAL"/>
          <w:sz w:val="19"/>
        </w:rPr>
      </w:pPr>
      <w:r>
        <w:rPr>
          <w:rFonts w:ascii="ARIAL" w:hAnsi="ARIAL"/>
          <w:sz w:val="19"/>
        </w:rPr>
        <w:t xml:space="preserve">10    The duration of the corporation shall be perpetual. </w:t>
      </w:r>
    </w:p>
    <w:p>
      <w:pPr>
        <w:pStyle w:val="TextBody"/>
        <w:spacing w:before="240" w:after="0"/>
        <w:jc w:val="left"/>
        <w:rPr>
          <w:rFonts w:ascii="ARIAL" w:hAnsi="ARIAL"/>
          <w:sz w:val="19"/>
        </w:rPr>
      </w:pPr>
      <w:r>
        <w:rPr>
          <w:rFonts w:ascii="ARIAL" w:hAnsi="ARIAL"/>
          <w:sz w:val="19"/>
        </w:rPr>
        <w:t>11    </w:t>
      </w:r>
      <w:r>
        <w:rPr>
          <w:rFonts w:ascii="ARIAL" w:hAnsi="ARIAL"/>
          <w:strike/>
          <w:sz w:val="19"/>
        </w:rPr>
        <w:t>A</w:t>
      </w:r>
      <w:r>
        <w:rPr>
          <w:rFonts w:ascii="ARIAL" w:hAnsi="ARIAL"/>
          <w:sz w:val="19"/>
          <w:u w:val="single"/>
          <w:bdr w:val="double" w:sz="2" w:space="1" w:color="000000"/>
        </w:rPr>
        <w:t>No</w:t>
      </w:r>
      <w:r>
        <w:rPr>
          <w:rFonts w:ascii="ARIAL" w:hAnsi="ARIAL"/>
          <w:sz w:val="19"/>
        </w:rPr>
        <w:t xml:space="preserve"> director </w:t>
      </w:r>
      <w:r>
        <w:rPr>
          <w:rFonts w:ascii="ARIAL" w:hAnsi="ARIAL"/>
          <w:sz w:val="19"/>
          <w:u w:val="single"/>
          <w:bdr w:val="double" w:sz="2" w:space="1" w:color="000000"/>
        </w:rPr>
        <w:t>or officer</w:t>
      </w:r>
      <w:r>
        <w:rPr>
          <w:rFonts w:ascii="ARIAL" w:hAnsi="ARIAL"/>
          <w:sz w:val="19"/>
        </w:rPr>
        <w:t xml:space="preserve"> of the corporation shall </w:t>
      </w:r>
      <w:r>
        <w:rPr>
          <w:rFonts w:ascii="ARIAL" w:hAnsi="ARIAL"/>
          <w:strike/>
          <w:sz w:val="19"/>
        </w:rPr>
        <w:t>not</w:t>
      </w:r>
      <w:r>
        <w:rPr>
          <w:rFonts w:ascii="ARIAL" w:hAnsi="ARIAL"/>
          <w:sz w:val="19"/>
        </w:rPr>
        <w:t xml:space="preserve"> be personally liable to the corporation or its stockholders for monetary damages for breach of fiduciary duty as a director </w:t>
      </w:r>
      <w:r>
        <w:rPr>
          <w:rFonts w:ascii="ARIAL" w:hAnsi="ARIAL"/>
          <w:sz w:val="19"/>
          <w:u w:val="single"/>
          <w:bdr w:val="double" w:sz="2" w:space="1" w:color="000000"/>
        </w:rPr>
        <w:t>or officer</w:t>
      </w:r>
      <w:r>
        <w:rPr>
          <w:rFonts w:ascii="ARIAL" w:hAnsi="ARIAL"/>
          <w:sz w:val="19"/>
        </w:rPr>
        <w:t xml:space="preserve">, except for liability (i) for any breach of the director’s </w:t>
      </w:r>
      <w:r>
        <w:rPr>
          <w:rFonts w:ascii="ARIAL" w:hAnsi="ARIAL"/>
          <w:sz w:val="19"/>
          <w:u w:val="single"/>
          <w:bdr w:val="double" w:sz="2" w:space="1" w:color="000000"/>
        </w:rPr>
        <w:t xml:space="preserve">or officer’s </w:t>
      </w:r>
      <w:r>
        <w:rPr>
          <w:rFonts w:ascii="ARIAL" w:hAnsi="ARIAL"/>
          <w:sz w:val="19"/>
        </w:rPr>
        <w:t>duty of loyalty to the corporation or its stockholders, (ii) for acts or omissions not in good faith or which involve intentional misconduct or a knowing violation of law, (iii) </w:t>
      </w:r>
      <w:r>
        <w:rPr>
          <w:rFonts w:ascii="ARIAL" w:hAnsi="ARIAL"/>
          <w:sz w:val="19"/>
          <w:u w:val="single"/>
          <w:bdr w:val="double" w:sz="2" w:space="1" w:color="000000"/>
        </w:rPr>
        <w:t>with respect to directors,</w:t>
      </w:r>
      <w:r>
        <w:rPr>
          <w:rFonts w:ascii="ARIAL" w:hAnsi="ARIAL"/>
          <w:sz w:val="19"/>
        </w:rPr>
        <w:t xml:space="preserve"> under Section 174 of the Delaware General Corporation Law as the same exists or hereafter may be amended </w:t>
      </w:r>
      <w:r>
        <w:rPr>
          <w:rFonts w:ascii="ARIAL" w:hAnsi="ARIAL"/>
          <w:strike/>
          <w:sz w:val="19"/>
        </w:rPr>
        <w:t>or</w:t>
      </w:r>
      <w:r>
        <w:rPr>
          <w:rFonts w:ascii="ARIAL" w:hAnsi="ARIAL"/>
          <w:sz w:val="19"/>
          <w:u w:val="single"/>
          <w:bdr w:val="double" w:sz="2" w:space="1" w:color="000000"/>
        </w:rPr>
        <w:t>,</w:t>
      </w:r>
      <w:r>
        <w:rPr>
          <w:rFonts w:ascii="ARIAL" w:hAnsi="ARIAL"/>
          <w:sz w:val="19"/>
        </w:rPr>
        <w:t xml:space="preserve"> (iv) for any transaction from which the director </w:t>
      </w:r>
      <w:r>
        <w:rPr>
          <w:rFonts w:ascii="ARIAL" w:hAnsi="ARIAL"/>
          <w:sz w:val="19"/>
          <w:u w:val="single"/>
          <w:bdr w:val="double" w:sz="2" w:space="1" w:color="000000"/>
        </w:rPr>
        <w:t>or officer</w:t>
      </w:r>
      <w:r>
        <w:rPr>
          <w:rFonts w:ascii="ARIAL" w:hAnsi="ARIAL"/>
          <w:sz w:val="19"/>
        </w:rPr>
        <w:t xml:space="preserve"> derived an improper personal benefit</w:t>
      </w:r>
      <w:r>
        <w:rPr>
          <w:rFonts w:ascii="ARIAL" w:hAnsi="ARIAL"/>
          <w:sz w:val="19"/>
          <w:u w:val="single"/>
          <w:bdr w:val="double" w:sz="2" w:space="1" w:color="000000"/>
        </w:rPr>
        <w:t>, or (v) with respect to officers, in any action by or in the right of the corporation</w:t>
      </w:r>
      <w:r>
        <w:rPr>
          <w:rFonts w:ascii="ARIAL" w:hAnsi="ARIAL"/>
          <w:sz w:val="19"/>
        </w:rPr>
        <w:t xml:space="preserve">. If the Delaware General Corporation Law hereafter is amended to authorize the further elimination or limitation of the liability of directors </w:t>
      </w:r>
      <w:r>
        <w:rPr>
          <w:rFonts w:ascii="ARIAL" w:hAnsi="ARIAL"/>
          <w:sz w:val="19"/>
          <w:u w:val="single"/>
          <w:bdr w:val="double" w:sz="2" w:space="1" w:color="000000"/>
        </w:rPr>
        <w:t>or officers</w:t>
      </w:r>
      <w:r>
        <w:rPr>
          <w:rFonts w:ascii="ARIAL" w:hAnsi="ARIAL"/>
          <w:sz w:val="19"/>
        </w:rPr>
        <w:t xml:space="preserve">, then, in addition to the limitation on personal liability provided herein, the liability of a director </w:t>
      </w:r>
      <w:r>
        <w:rPr>
          <w:rFonts w:ascii="ARIAL" w:hAnsi="ARIAL"/>
          <w:sz w:val="19"/>
          <w:u w:val="single"/>
          <w:bdr w:val="double" w:sz="2" w:space="1" w:color="000000"/>
        </w:rPr>
        <w:t>or officer</w:t>
      </w:r>
      <w:r>
        <w:rPr>
          <w:rFonts w:ascii="ARIAL" w:hAnsi="ARIAL"/>
          <w:sz w:val="19"/>
        </w:rPr>
        <w:t xml:space="preserve"> of the corporation shall be limited to the fullest extent permitted by the amended Delaware General Corporation Law. Any repeal or modification of this paragraph by the stockholders of the corporation shall be prospective only, and shall not adversely affect any limitation on the personal liability of a director </w:t>
      </w:r>
      <w:r>
        <w:rPr>
          <w:rFonts w:ascii="ARIAL" w:hAnsi="ARIAL"/>
          <w:sz w:val="19"/>
          <w:u w:val="single"/>
          <w:bdr w:val="double" w:sz="2" w:space="1" w:color="000000"/>
        </w:rPr>
        <w:t>or officer</w:t>
      </w:r>
      <w:r>
        <w:rPr>
          <w:rFonts w:ascii="ARIAL" w:hAnsi="ARIAL"/>
          <w:sz w:val="19"/>
        </w:rPr>
        <w:t xml:space="preserve"> of the corporation existing at the time of such repeal or modification. </w:t>
      </w:r>
      <w:r>
        <w:rPr>
          <w:rFonts w:ascii="ARIAL" w:hAnsi="ARIAL"/>
          <w:sz w:val="19"/>
          <w:u w:val="single"/>
          <w:bdr w:val="double" w:sz="2" w:space="1" w:color="000000"/>
        </w:rPr>
        <w:t>For purposes of this Article Eleventh, “officer” shall have the meaning provided in Section 102(b)(7) of the Delaware General Corporation Law as the same exists or hereafter may be amended.</w:t>
      </w:r>
      <w:r>
        <w:rPr>
          <w:rFonts w:ascii="ARIAL" w:hAnsi="ARIAL"/>
          <w:sz w:val="19"/>
        </w:rPr>
        <w:t xml:space="preserve"> </w:t>
      </w:r>
    </w:p>
    <w:p>
      <w:pPr>
        <w:pStyle w:val="TextBody"/>
        <w:spacing w:before="240" w:after="0"/>
        <w:jc w:val="left"/>
        <w:rPr>
          <w:rFonts w:ascii="ARIAL" w:hAnsi="ARIAL"/>
          <w:sz w:val="19"/>
        </w:rPr>
      </w:pPr>
      <w:r>
        <w:rPr>
          <w:rFonts w:ascii="ARIAL" w:hAnsi="ARIAL"/>
          <w:sz w:val="19"/>
        </w:rPr>
        <w:t xml:space="preserve">12    No action required to be taken or which may be taken at any annual or special meeting of stockholders of the corporation may be taken without a meeting, and the power of stockholders of the corporation to take any such action by means of a consent or consents in writing, without a meeting, is specifically denied. </w:t>
      </w:r>
    </w:p>
    <w:p>
      <w:pPr>
        <w:pStyle w:val="TextBody"/>
        <w:spacing w:before="0" w:after="0"/>
        <w:jc w:val="left"/>
        <w:rPr/>
      </w:pPr>
      <w:r>
        <w:rPr/>
        <w:t> </w:t>
      </w:r>
    </w:p>
    <w:tbl>
      <w:tblPr>
        <w:tblW w:w="6558" w:type="dxa"/>
        <w:jc w:val="left"/>
        <w:tblInd w:w="0" w:type="dxa"/>
        <w:tblCellMar>
          <w:top w:w="0" w:type="dxa"/>
          <w:left w:w="0" w:type="dxa"/>
          <w:bottom w:w="0" w:type="dxa"/>
          <w:right w:w="0" w:type="dxa"/>
        </w:tblCellMar>
      </w:tblPr>
      <w:tblGrid>
        <w:gridCol w:w="38"/>
        <w:gridCol w:w="60"/>
        <w:gridCol w:w="255"/>
        <w:gridCol w:w="60"/>
        <w:gridCol w:w="5090"/>
        <w:gridCol w:w="60"/>
        <w:gridCol w:w="240"/>
        <w:gridCol w:w="60"/>
        <w:gridCol w:w="69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pPr>
            <w:r>
              <w:rPr/>
              <w:t> </w:t>
            </w:r>
          </w:p>
          <w:p>
            <w:pPr>
              <w:pStyle w:val="TableContents"/>
              <w:spacing w:before="0" w:after="20"/>
              <w:rPr>
                <w:color w:val="005CB9"/>
              </w:rPr>
            </w:pPr>
            <w:r>
              <w:rPr>
                <w:color w:val="005CB9"/>
              </w:rPr>
              <w:t xml:space="preserve">  </w:t>
            </w:r>
            <w:r>
              <w:rPr>
                <w:color w:val="005CB9"/>
              </w:rPr>
              <w:drawing>
                <wp:inline distT="0" distB="0" distL="0" distR="0">
                  <wp:extent cx="47625" cy="19050"/>
                  <wp:effectExtent l="0" t="0" r="0" b="0"/>
                  <wp:docPr id="17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26" descr=""/>
                          <pic:cNvPicPr>
                            <a:picLocks noChangeAspect="1" noChangeArrowheads="1"/>
                          </pic:cNvPicPr>
                        </pic:nvPicPr>
                        <pic:blipFill>
                          <a:blip r:embed="rId127"/>
                          <a:stretch>
                            <a:fillRect/>
                          </a:stretch>
                        </pic:blipFill>
                        <pic:spPr bwMode="auto">
                          <a:xfrm>
                            <a:off x="0" y="0"/>
                            <a:ext cx="47625" cy="19050"/>
                          </a:xfrm>
                          <a:prstGeom prst="rect">
                            <a:avLst/>
                          </a:prstGeom>
                        </pic:spPr>
                      </pic:pic>
                    </a:graphicData>
                  </a:graphic>
                </wp:inline>
              </w:drawing>
            </w:r>
            <w:r>
              <w:rPr>
                <w:color w:val="005CB9"/>
              </w:rPr>
              <w:t xml:space="preserve"> </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right"/>
              <w:rPr>
                <w:color w:val="005CB9"/>
              </w:rPr>
            </w:pPr>
            <w:r>
              <w:rPr>
                <w:color w:val="005CB9"/>
              </w:rPr>
              <w:t>    </w:t>
            </w:r>
            <w:r>
              <w:rPr>
                <w:b/>
                <w:color w:val="005CB9"/>
              </w:rPr>
              <w:t>Roper Technologies, Inc. 2023 Proxy Statement</w:t>
            </w:r>
          </w:p>
        </w:tc>
        <w:tc>
          <w:tcPr>
            <w:tcW w:w="60" w:type="dxa"/>
            <w:tcBorders/>
            <w:shd w:fill="auto" w:val="clear"/>
            <w:vAlign w:val="center"/>
          </w:tcPr>
          <w:p>
            <w:pPr>
              <w:pStyle w:val="TableContents"/>
              <w:spacing w:before="0" w:after="283"/>
              <w:rPr/>
            </w:pPr>
            <w:r>
              <w:rPr/>
              <w:t> </w:t>
            </w:r>
          </w:p>
        </w:tc>
        <w:tc>
          <w:tcPr>
            <w:tcW w:w="240" w:type="dxa"/>
            <w:tcBorders>
              <w:right w:val="single" w:sz="6" w:space="0" w:color="005CB9"/>
            </w:tcBorders>
            <w:shd w:fill="auto" w:val="clear"/>
            <w:tcMar>
              <w:right w:w="28" w:type="dxa"/>
            </w:tcMar>
            <w:vAlign w:val="center"/>
          </w:tcPr>
          <w:p>
            <w:pPr>
              <w:pStyle w:val="TableContents"/>
              <w:spacing w:before="0" w:after="283"/>
              <w:rPr>
                <w:color w:val="005CB9"/>
              </w:rPr>
            </w:pPr>
            <w:r>
              <w:rPr>
                <w:color w:val="005CB9"/>
              </w:rPr>
              <w:t>    </w:t>
            </w:r>
          </w:p>
        </w:tc>
        <w:tc>
          <w:tcPr>
            <w:tcW w:w="60"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jc w:val="right"/>
              <w:rPr>
                <w:color w:val="005CB9"/>
              </w:rPr>
            </w:pPr>
            <w:r>
              <w:rPr>
                <w:color w:val="005CB9"/>
              </w:rPr>
              <w:t>     </w:t>
            </w:r>
            <w:r>
              <w:rPr>
                <w:b/>
                <w:color w:val="005CB9"/>
              </w:rPr>
              <w:t>B-5</w:t>
            </w:r>
          </w:p>
        </w:tc>
      </w:tr>
    </w:tbl>
    <w:p>
      <w:pPr>
        <w:pStyle w:val="HorizontalLine"/>
        <w:rPr/>
      </w:pPr>
      <w:r>
        <w:br w:type="page"/>
      </w:r>
      <w:r>
        <w:rPr/>
      </w:r>
    </w:p>
    <w:tbl>
      <w:tblPr>
        <w:tblW w:w="8713" w:type="dxa"/>
        <w:jc w:val="left"/>
        <w:tblInd w:w="0" w:type="dxa"/>
        <w:tblCellMar>
          <w:top w:w="0" w:type="dxa"/>
          <w:left w:w="0" w:type="dxa"/>
          <w:bottom w:w="0" w:type="dxa"/>
          <w:right w:w="0" w:type="dxa"/>
        </w:tblCellMar>
      </w:tblPr>
      <w:tblGrid>
        <w:gridCol w:w="2145"/>
        <w:gridCol w:w="120"/>
        <w:gridCol w:w="23"/>
        <w:gridCol w:w="120"/>
        <w:gridCol w:w="795"/>
        <w:gridCol w:w="120"/>
        <w:gridCol w:w="5390"/>
      </w:tblGrid>
      <w:tr>
        <w:trPr/>
        <w:tc>
          <w:tcPr>
            <w:tcW w:w="2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390" w:type="dxa"/>
            <w:tcBorders/>
            <w:shd w:fill="auto" w:val="clear"/>
            <w:vAlign w:val="center"/>
          </w:tcPr>
          <w:p>
            <w:pPr>
              <w:pStyle w:val="TableContents"/>
              <w:spacing w:before="0" w:after="283"/>
              <w:rPr>
                <w:sz w:val="4"/>
                <w:szCs w:val="4"/>
              </w:rPr>
            </w:pPr>
            <w:r>
              <w:rPr>
                <w:sz w:val="4"/>
                <w:szCs w:val="4"/>
              </w:rPr>
            </w:r>
          </w:p>
        </w:tc>
      </w:tr>
      <w:tr>
        <w:trPr/>
        <w:tc>
          <w:tcPr>
            <w:tcW w:w="2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05" w:type="dxa"/>
            <w:gridSpan w:val="3"/>
            <w:tcBorders/>
            <w:shd w:fill="auto" w:val="clear"/>
            <w:vAlign w:val="center"/>
          </w:tcPr>
          <w:p>
            <w:pPr>
              <w:pStyle w:val="TableContents"/>
              <w:spacing w:before="0" w:after="283"/>
              <w:jc w:val="center"/>
              <w:rPr>
                <w:b/>
              </w:rPr>
            </w:pPr>
            <w:r>
              <w:rPr>
                <w:b/>
              </w:rPr>
              <w:t>YOUR VOTE IS IMPORTANT! PLEASE VOTE BY:</w:t>
            </w:r>
          </w:p>
        </w:tc>
      </w:tr>
      <w:tr>
        <w:trPr/>
        <w:tc>
          <w:tcPr>
            <w:tcW w:w="2145" w:type="dxa"/>
            <w:tcBorders/>
            <w:shd w:fill="auto" w:val="clear"/>
            <w:vAlign w:val="center"/>
          </w:tcPr>
          <w:p>
            <w:pPr>
              <w:pStyle w:val="TableContents"/>
              <w:spacing w:before="0" w:after="0"/>
              <w:rPr/>
            </w:pPr>
            <w:r>
              <w:rPr/>
              <w:drawing>
                <wp:inline distT="0" distB="0" distL="0" distR="0">
                  <wp:extent cx="1314450" cy="552450"/>
                  <wp:effectExtent l="0" t="0" r="0" b="0"/>
                  <wp:docPr id="18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27" descr=""/>
                          <pic:cNvPicPr>
                            <a:picLocks noChangeAspect="1" noChangeArrowheads="1"/>
                          </pic:cNvPicPr>
                        </pic:nvPicPr>
                        <pic:blipFill>
                          <a:blip r:embed="rId128"/>
                          <a:stretch>
                            <a:fillRect/>
                          </a:stretch>
                        </pic:blipFill>
                        <pic:spPr bwMode="auto">
                          <a:xfrm>
                            <a:off x="0" y="0"/>
                            <a:ext cx="1314450" cy="552450"/>
                          </a:xfrm>
                          <a:prstGeom prst="rect">
                            <a:avLst/>
                          </a:prstGeom>
                        </pic:spPr>
                      </pic:pic>
                    </a:graphicData>
                  </a:graphic>
                </wp:inline>
              </w:drawing>
            </w:r>
            <w:r>
              <w:rPr/>
              <w:t xml:space="preserve"> </w:t>
            </w:r>
          </w:p>
          <w:p>
            <w:pPr>
              <w:pStyle w:val="TableContents"/>
              <w:spacing w:before="0" w:after="20"/>
              <w:rPr>
                <w:rFonts w:ascii="Times New Roman" w:hAnsi="Times New Roman"/>
                <w:sz w:val="12"/>
              </w:rPr>
            </w:pPr>
            <w:r>
              <w:rPr>
                <w:rFonts w:ascii="Times New Roman" w:hAnsi="Times New Roman"/>
                <w:sz w:val="12"/>
              </w:rPr>
              <w:t>P.O. BOX 8016, CARY, NC 27512-9903</w:t>
            </w:r>
          </w:p>
        </w:tc>
        <w:tc>
          <w:tcPr>
            <w:tcW w:w="12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79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center"/>
              <w:rPr/>
            </w:pPr>
            <w:r>
              <w:rPr/>
              <w:drawing>
                <wp:inline distT="0" distB="0" distL="0" distR="0">
                  <wp:extent cx="428625" cy="266700"/>
                  <wp:effectExtent l="0" t="0" r="0" b="0"/>
                  <wp:docPr id="18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28" descr=""/>
                          <pic:cNvPicPr>
                            <a:picLocks noChangeAspect="1" noChangeArrowheads="1"/>
                          </pic:cNvPicPr>
                        </pic:nvPicPr>
                        <pic:blipFill>
                          <a:blip r:embed="rId129"/>
                          <a:stretch>
                            <a:fillRect/>
                          </a:stretch>
                        </pic:blipFill>
                        <pic:spPr bwMode="auto">
                          <a:xfrm>
                            <a:off x="0" y="0"/>
                            <a:ext cx="428625" cy="266700"/>
                          </a:xfrm>
                          <a:prstGeom prst="rect">
                            <a:avLst/>
                          </a:prstGeom>
                        </pic:spPr>
                      </pic:pic>
                    </a:graphicData>
                  </a:graphic>
                </wp:inline>
              </w:drawing>
            </w:r>
            <w:r>
              <w:rPr/>
              <w:t xml:space="preserve"> </w:t>
            </w:r>
          </w:p>
        </w:tc>
        <w:tc>
          <w:tcPr>
            <w:tcW w:w="120" w:type="dxa"/>
            <w:tcBorders>
              <w:top w:val="single" w:sz="6" w:space="0" w:color="000000"/>
            </w:tcBorders>
            <w:shd w:fill="auto" w:val="clear"/>
            <w:tcMar>
              <w:top w:w="28" w:type="dxa"/>
            </w:tcMar>
            <w:vAlign w:val="center"/>
          </w:tcPr>
          <w:p>
            <w:pPr>
              <w:pStyle w:val="TableContents"/>
              <w:spacing w:before="0" w:after="283"/>
              <w:rPr/>
            </w:pPr>
            <w:r>
              <w:rPr/>
              <w:t>  </w:t>
            </w:r>
          </w:p>
        </w:tc>
        <w:tc>
          <w:tcPr>
            <w:tcW w:w="5390" w:type="dxa"/>
            <w:tcBorders>
              <w:top w:val="single" w:sz="6" w:space="0" w:color="000000"/>
              <w:right w:val="single" w:sz="6" w:space="0" w:color="000000"/>
            </w:tcBorders>
            <w:shd w:fill="auto" w:val="clear"/>
            <w:tcMar>
              <w:top w:w="28" w:type="dxa"/>
              <w:right w:w="40" w:type="dxa"/>
            </w:tcMar>
            <w:vAlign w:val="center"/>
          </w:tcPr>
          <w:p>
            <w:pPr>
              <w:pStyle w:val="TableContents"/>
              <w:spacing w:before="0" w:after="0"/>
              <w:rPr/>
            </w:pPr>
            <w:r>
              <w:rPr/>
              <w:t>  </w:t>
            </w:r>
            <w:r>
              <w:rPr>
                <w:rFonts w:ascii="Times New Roman" w:hAnsi="Times New Roman"/>
                <w:b/>
                <w:sz w:val="18"/>
              </w:rPr>
              <w:t>INTERNET</w:t>
            </w:r>
          </w:p>
          <w:p>
            <w:pPr>
              <w:pStyle w:val="TableContents"/>
              <w:spacing w:before="0" w:after="0"/>
              <w:rPr/>
            </w:pPr>
            <w:r>
              <w:rPr/>
              <w:t> </w:t>
            </w:r>
          </w:p>
          <w:p>
            <w:pPr>
              <w:pStyle w:val="TableContents"/>
              <w:spacing w:before="0" w:after="0"/>
              <w:rPr/>
            </w:pPr>
            <w:r>
              <w:rPr/>
              <w:t>  </w:t>
            </w:r>
            <w:r>
              <w:rPr>
                <w:rFonts w:ascii="Times New Roman" w:hAnsi="Times New Roman"/>
                <w:sz w:val="16"/>
              </w:rPr>
              <w:t xml:space="preserve">Go To: </w:t>
            </w:r>
            <w:r>
              <w:rPr>
                <w:rFonts w:ascii="Times New Roman" w:hAnsi="Times New Roman"/>
                <w:b/>
                <w:sz w:val="16"/>
              </w:rPr>
              <w:t xml:space="preserve">www.proxypush.com/ROP </w:t>
            </w:r>
          </w:p>
          <w:p>
            <w:pPr>
              <w:pStyle w:val="TableContents"/>
              <w:spacing w:before="0" w:after="0"/>
              <w:rPr/>
            </w:pPr>
            <w:r>
              <w:rPr/>
              <w:t> </w:t>
            </w:r>
          </w:p>
          <w:p>
            <w:pPr>
              <w:pStyle w:val="TableContents"/>
              <w:spacing w:before="0" w:after="0"/>
              <w:rPr/>
            </w:pPr>
            <w:r>
              <w:rPr/>
              <w:t>•  </w:t>
            </w:r>
            <w:r>
              <w:rPr>
                <w:rFonts w:ascii="Times New Roman" w:hAnsi="Times New Roman"/>
                <w:sz w:val="16"/>
              </w:rPr>
              <w:t>Cast your vote online</w:t>
            </w:r>
          </w:p>
          <w:p>
            <w:pPr>
              <w:pStyle w:val="TableContents"/>
              <w:spacing w:before="0" w:after="0"/>
              <w:rPr/>
            </w:pPr>
            <w:r>
              <w:rPr/>
              <w:t> </w:t>
            </w:r>
          </w:p>
          <w:p>
            <w:pPr>
              <w:pStyle w:val="TableContents"/>
              <w:spacing w:before="0" w:after="0"/>
              <w:rPr/>
            </w:pPr>
            <w:r>
              <w:rPr/>
              <w:t>•  </w:t>
            </w:r>
            <w:r>
              <w:rPr>
                <w:rFonts w:ascii="Times New Roman" w:hAnsi="Times New Roman"/>
                <w:b/>
                <w:sz w:val="16"/>
              </w:rPr>
              <w:t>Have your Proxy Card ready</w:t>
            </w:r>
          </w:p>
          <w:p>
            <w:pPr>
              <w:pStyle w:val="TableContents"/>
              <w:spacing w:before="0" w:after="0"/>
              <w:rPr/>
            </w:pPr>
            <w:r>
              <w:rPr/>
              <w:t> </w:t>
            </w:r>
          </w:p>
          <w:p>
            <w:pPr>
              <w:pStyle w:val="TableContents"/>
              <w:spacing w:before="0" w:after="0"/>
              <w:rPr/>
            </w:pPr>
            <w:r>
              <w:rPr/>
              <w:t>•  </w:t>
            </w:r>
            <w:r>
              <w:rPr>
                <w:rFonts w:ascii="Times New Roman" w:hAnsi="Times New Roman"/>
                <w:sz w:val="16"/>
              </w:rPr>
              <w:t>Follow the simple instructions to record your vote</w:t>
            </w:r>
          </w:p>
          <w:p>
            <w:pPr>
              <w:pStyle w:val="TableContents"/>
              <w:spacing w:before="0" w:after="20"/>
              <w:rPr/>
            </w:pPr>
            <w:r>
              <w:rPr/>
              <w:t> </w:t>
            </w:r>
          </w:p>
        </w:tc>
      </w:tr>
      <w:tr>
        <w:trPr/>
        <w:tc>
          <w:tcPr>
            <w:tcW w:w="2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795" w:type="dxa"/>
            <w:tcBorders>
              <w:bottom w:val="single" w:sz="6" w:space="0" w:color="000000"/>
            </w:tcBorders>
            <w:shd w:fill="auto" w:val="clear"/>
            <w:tcMar>
              <w:bottom w:w="28" w:type="dxa"/>
            </w:tcMar>
            <w:vAlign w:val="center"/>
          </w:tcPr>
          <w:p>
            <w:pPr>
              <w:pStyle w:val="TableContents"/>
              <w:spacing w:before="0" w:after="283"/>
              <w:jc w:val="center"/>
              <w:rPr/>
            </w:pPr>
            <w:r>
              <w:rPr/>
              <w:drawing>
                <wp:inline distT="0" distB="0" distL="0" distR="0">
                  <wp:extent cx="190500" cy="352425"/>
                  <wp:effectExtent l="0" t="0" r="0" b="0"/>
                  <wp:docPr id="18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29" descr=""/>
                          <pic:cNvPicPr>
                            <a:picLocks noChangeAspect="1" noChangeArrowheads="1"/>
                          </pic:cNvPicPr>
                        </pic:nvPicPr>
                        <pic:blipFill>
                          <a:blip r:embed="rId130"/>
                          <a:stretch>
                            <a:fillRect/>
                          </a:stretch>
                        </pic:blipFill>
                        <pic:spPr bwMode="auto">
                          <a:xfrm>
                            <a:off x="0" y="0"/>
                            <a:ext cx="190500" cy="352425"/>
                          </a:xfrm>
                          <a:prstGeom prst="rect">
                            <a:avLst/>
                          </a:prstGeom>
                        </pic:spPr>
                      </pic:pic>
                    </a:graphicData>
                  </a:graphic>
                </wp:inline>
              </w:drawing>
            </w:r>
            <w:r>
              <w:rPr/>
              <w:t xml:space="preserve"> </w:t>
            </w:r>
          </w:p>
        </w:tc>
        <w:tc>
          <w:tcPr>
            <w:tcW w:w="12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5390" w:type="dxa"/>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0"/>
              <w:rPr/>
            </w:pPr>
            <w:r>
              <w:rPr/>
              <w:t>  </w:t>
            </w:r>
            <w:r>
              <w:rPr>
                <w:rFonts w:ascii="Times New Roman" w:hAnsi="Times New Roman"/>
                <w:b/>
                <w:sz w:val="18"/>
              </w:rPr>
              <w:t>PHONE</w:t>
            </w:r>
            <w:r>
              <w:rPr>
                <w:rFonts w:ascii="Times New Roman" w:hAnsi="Times New Roman"/>
                <w:sz w:val="18"/>
              </w:rPr>
              <w:t xml:space="preserve"> Call </w:t>
            </w:r>
            <w:r>
              <w:rPr>
                <w:rFonts w:ascii="Times New Roman" w:hAnsi="Times New Roman"/>
                <w:b/>
                <w:sz w:val="18"/>
              </w:rPr>
              <w:t>1-866-829-5176</w:t>
            </w:r>
          </w:p>
          <w:p>
            <w:pPr>
              <w:pStyle w:val="TableContents"/>
              <w:spacing w:before="0" w:after="0"/>
              <w:rPr/>
            </w:pPr>
            <w:r>
              <w:rPr/>
              <w:t> </w:t>
            </w:r>
          </w:p>
          <w:p>
            <w:pPr>
              <w:pStyle w:val="TableContents"/>
              <w:spacing w:before="0" w:after="0"/>
              <w:rPr/>
            </w:pPr>
            <w:r>
              <w:rPr/>
              <w:t>•  </w:t>
            </w:r>
            <w:r>
              <w:rPr>
                <w:rFonts w:ascii="Times New Roman" w:hAnsi="Times New Roman"/>
                <w:sz w:val="16"/>
              </w:rPr>
              <w:t>Use any touch-tone telephone</w:t>
            </w:r>
          </w:p>
          <w:p>
            <w:pPr>
              <w:pStyle w:val="TableContents"/>
              <w:spacing w:before="0" w:after="0"/>
              <w:rPr/>
            </w:pPr>
            <w:r>
              <w:rPr/>
              <w:t> </w:t>
            </w:r>
          </w:p>
          <w:p>
            <w:pPr>
              <w:pStyle w:val="TableContents"/>
              <w:spacing w:before="0" w:after="0"/>
              <w:rPr/>
            </w:pPr>
            <w:r>
              <w:rPr/>
              <w:t>•  </w:t>
            </w:r>
            <w:r>
              <w:rPr>
                <w:rFonts w:ascii="Times New Roman" w:hAnsi="Times New Roman"/>
                <w:b/>
                <w:sz w:val="16"/>
              </w:rPr>
              <w:t>Have your Proxy Card ready</w:t>
            </w:r>
          </w:p>
          <w:p>
            <w:pPr>
              <w:pStyle w:val="TableContents"/>
              <w:spacing w:before="0" w:after="0"/>
              <w:rPr/>
            </w:pPr>
            <w:r>
              <w:rPr/>
              <w:t> </w:t>
            </w:r>
          </w:p>
          <w:p>
            <w:pPr>
              <w:pStyle w:val="TableContents"/>
              <w:spacing w:before="0" w:after="0"/>
              <w:rPr/>
            </w:pPr>
            <w:r>
              <w:rPr/>
              <w:t>•  </w:t>
            </w:r>
            <w:r>
              <w:rPr>
                <w:rFonts w:ascii="Times New Roman" w:hAnsi="Times New Roman"/>
                <w:sz w:val="16"/>
              </w:rPr>
              <w:t>Follow the simple recorded instructions</w:t>
            </w:r>
          </w:p>
          <w:p>
            <w:pPr>
              <w:pStyle w:val="TableContents"/>
              <w:spacing w:before="0" w:after="20"/>
              <w:rPr/>
            </w:pPr>
            <w:r>
              <w:rPr/>
              <w:t> </w:t>
            </w:r>
          </w:p>
        </w:tc>
      </w:tr>
      <w:tr>
        <w:trPr/>
        <w:tc>
          <w:tcPr>
            <w:tcW w:w="2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795" w:type="dxa"/>
            <w:tcBorders>
              <w:bottom w:val="single" w:sz="6" w:space="0" w:color="000000"/>
            </w:tcBorders>
            <w:shd w:fill="auto" w:val="clear"/>
            <w:tcMar>
              <w:bottom w:w="28" w:type="dxa"/>
            </w:tcMar>
            <w:vAlign w:val="center"/>
          </w:tcPr>
          <w:p>
            <w:pPr>
              <w:pStyle w:val="TableContents"/>
              <w:spacing w:before="0" w:after="283"/>
              <w:jc w:val="center"/>
              <w:rPr/>
            </w:pPr>
            <w:r>
              <w:rPr/>
              <w:drawing>
                <wp:inline distT="0" distB="0" distL="0" distR="0">
                  <wp:extent cx="466725" cy="314325"/>
                  <wp:effectExtent l="0" t="0" r="0" b="0"/>
                  <wp:docPr id="18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30" descr=""/>
                          <pic:cNvPicPr>
                            <a:picLocks noChangeAspect="1" noChangeArrowheads="1"/>
                          </pic:cNvPicPr>
                        </pic:nvPicPr>
                        <pic:blipFill>
                          <a:blip r:embed="rId131"/>
                          <a:stretch>
                            <a:fillRect/>
                          </a:stretch>
                        </pic:blipFill>
                        <pic:spPr bwMode="auto">
                          <a:xfrm>
                            <a:off x="0" y="0"/>
                            <a:ext cx="466725" cy="314325"/>
                          </a:xfrm>
                          <a:prstGeom prst="rect">
                            <a:avLst/>
                          </a:prstGeom>
                        </pic:spPr>
                      </pic:pic>
                    </a:graphicData>
                  </a:graphic>
                </wp:inline>
              </w:drawing>
            </w:r>
            <w:r>
              <w:rPr/>
              <w:t xml:space="preserve">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5390"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0"/>
              <w:rPr/>
            </w:pPr>
            <w:r>
              <w:rPr/>
              <w:t>  </w:t>
            </w:r>
            <w:r>
              <w:rPr>
                <w:rFonts w:ascii="Times New Roman" w:hAnsi="Times New Roman"/>
                <w:b/>
                <w:sz w:val="18"/>
              </w:rPr>
              <w:t>MAIL</w:t>
            </w:r>
          </w:p>
          <w:p>
            <w:pPr>
              <w:pStyle w:val="TableContents"/>
              <w:spacing w:before="0" w:after="0"/>
              <w:rPr/>
            </w:pPr>
            <w:r>
              <w:rPr/>
              <w:t> </w:t>
            </w:r>
          </w:p>
          <w:p>
            <w:pPr>
              <w:pStyle w:val="TableContents"/>
              <w:spacing w:before="0" w:after="0"/>
              <w:rPr/>
            </w:pPr>
            <w:r>
              <w:rPr/>
              <w:t>•  </w:t>
            </w:r>
            <w:r>
              <w:rPr>
                <w:rFonts w:ascii="Times New Roman" w:hAnsi="Times New Roman"/>
                <w:sz w:val="16"/>
              </w:rPr>
              <w:t>Mark, sign and date your Proxy Card</w:t>
            </w:r>
          </w:p>
          <w:p>
            <w:pPr>
              <w:pStyle w:val="TableContents"/>
              <w:spacing w:before="0" w:after="0"/>
              <w:rPr/>
            </w:pPr>
            <w:r>
              <w:rPr/>
              <w:t> </w:t>
            </w:r>
          </w:p>
          <w:p>
            <w:pPr>
              <w:pStyle w:val="TableContents"/>
              <w:spacing w:before="0" w:after="0"/>
              <w:rPr/>
            </w:pPr>
            <w:r>
              <w:rPr/>
              <w:t>•  </w:t>
            </w:r>
            <w:r>
              <w:rPr>
                <w:rFonts w:ascii="Times New Roman" w:hAnsi="Times New Roman"/>
                <w:sz w:val="16"/>
              </w:rPr>
              <w:t>Fold and return your Proxy Card in the postage-paid envelope provided</w:t>
            </w:r>
          </w:p>
          <w:p>
            <w:pPr>
              <w:pStyle w:val="TableContents"/>
              <w:spacing w:before="0" w:after="20"/>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4063" w:type="dxa"/>
        <w:jc w:val="left"/>
        <w:tblInd w:w="0" w:type="dxa"/>
        <w:tblCellMar>
          <w:top w:w="0" w:type="dxa"/>
          <w:left w:w="0" w:type="dxa"/>
          <w:bottom w:w="0" w:type="dxa"/>
          <w:right w:w="0" w:type="dxa"/>
        </w:tblCellMar>
      </w:tblPr>
      <w:tblGrid>
        <w:gridCol w:w="3725"/>
        <w:gridCol w:w="120"/>
        <w:gridCol w:w="60"/>
        <w:gridCol w:w="120"/>
        <w:gridCol w:w="38"/>
      </w:tblGrid>
      <w:tr>
        <w:trPr/>
        <w:tc>
          <w:tcPr>
            <w:tcW w:w="37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725" w:type="dxa"/>
            <w:tcBorders/>
            <w:shd w:fill="auto" w:val="clear"/>
            <w:vAlign w:val="center"/>
          </w:tcPr>
          <w:p>
            <w:pPr>
              <w:pStyle w:val="TableContents"/>
              <w:spacing w:before="0" w:after="0"/>
              <w:rPr>
                <w:rFonts w:ascii="Times New Roman" w:hAnsi="Times New Roman"/>
                <w:b/>
                <w:sz w:val="34"/>
              </w:rPr>
            </w:pPr>
            <w:r>
              <w:rPr>
                <w:rFonts w:ascii="Times New Roman" w:hAnsi="Times New Roman"/>
                <w:b/>
                <w:sz w:val="34"/>
              </w:rPr>
              <w:t>Roper Technologies, Inc.</w:t>
            </w:r>
          </w:p>
          <w:p>
            <w:pPr>
              <w:pStyle w:val="TableContents"/>
              <w:spacing w:before="0" w:after="20"/>
              <w:rPr/>
            </w:pPr>
            <w:r>
              <w:rPr/>
              <w:t> </w:t>
            </w:r>
          </w:p>
        </w:tc>
        <w:tc>
          <w:tcPr>
            <w:tcW w:w="120" w:type="dxa"/>
            <w:tcBorders>
              <w:top w:val="single" w:sz="6" w:space="0" w:color="000000"/>
              <w:left w:val="single" w:sz="6" w:space="0" w:color="000000"/>
              <w:bottom w:val="single" w:sz="6" w:space="0" w:color="000000"/>
            </w:tcBorders>
            <w:shd w:fill="E5E5E5" w:val="clear"/>
            <w:tcMar>
              <w:top w:w="28" w:type="dxa"/>
              <w:left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right w:val="single" w:sz="6" w:space="0" w:color="000000"/>
            </w:tcBorders>
            <w:shd w:fill="E5E5E5" w:val="clear"/>
            <w:tcMar>
              <w:top w:w="28" w:type="dxa"/>
              <w:bottom w:w="28" w:type="dxa"/>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3725" w:type="dxa"/>
            <w:tcBorders/>
            <w:shd w:fill="auto" w:val="clear"/>
            <w:vAlign w:val="center"/>
          </w:tcPr>
          <w:p>
            <w:pPr>
              <w:pStyle w:val="TableContents"/>
              <w:spacing w:before="0" w:after="0"/>
              <w:rPr>
                <w:rFonts w:ascii="Times New Roman" w:hAnsi="Times New Roman"/>
                <w:b/>
                <w:sz w:val="22"/>
              </w:rPr>
            </w:pPr>
            <w:r>
              <w:rPr>
                <w:rFonts w:ascii="Times New Roman" w:hAnsi="Times New Roman"/>
                <w:b/>
                <w:sz w:val="22"/>
              </w:rPr>
              <w:t>Annual Meeting of Shareholders</w:t>
            </w:r>
          </w:p>
          <w:p>
            <w:pPr>
              <w:pStyle w:val="TableContents"/>
              <w:spacing w:before="0" w:after="0"/>
              <w:rPr/>
            </w:pPr>
            <w:r>
              <w:rPr/>
              <w:t> </w:t>
            </w:r>
          </w:p>
          <w:p>
            <w:pPr>
              <w:pStyle w:val="TableContents"/>
              <w:spacing w:before="0" w:after="0"/>
              <w:rPr>
                <w:rFonts w:ascii="Times New Roman" w:hAnsi="Times New Roman"/>
                <w:sz w:val="18"/>
              </w:rPr>
            </w:pPr>
            <w:r>
              <w:rPr>
                <w:rFonts w:ascii="Times New Roman" w:hAnsi="Times New Roman"/>
                <w:sz w:val="18"/>
              </w:rPr>
              <w:t>For Shareholders of record as of April 19, 2023</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5800" w:type="dxa"/>
        <w:jc w:val="left"/>
        <w:tblInd w:w="0" w:type="dxa"/>
        <w:tblCellMar>
          <w:top w:w="0" w:type="dxa"/>
          <w:left w:w="0" w:type="dxa"/>
          <w:bottom w:w="0" w:type="dxa"/>
          <w:right w:w="0" w:type="dxa"/>
        </w:tblCellMar>
      </w:tblPr>
      <w:tblGrid>
        <w:gridCol w:w="950"/>
        <w:gridCol w:w="120"/>
        <w:gridCol w:w="4730"/>
      </w:tblGrid>
      <w:tr>
        <w:trPr/>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730" w:type="dxa"/>
            <w:tcBorders/>
            <w:shd w:fill="auto" w:val="clear"/>
            <w:vAlign w:val="center"/>
          </w:tcPr>
          <w:p>
            <w:pPr>
              <w:pStyle w:val="TableContents"/>
              <w:spacing w:before="0" w:after="283"/>
              <w:rPr>
                <w:sz w:val="4"/>
                <w:szCs w:val="4"/>
              </w:rPr>
            </w:pPr>
            <w:r>
              <w:rPr>
                <w:sz w:val="4"/>
                <w:szCs w:val="4"/>
              </w:rPr>
            </w:r>
          </w:p>
        </w:tc>
      </w:tr>
      <w:tr>
        <w:trPr/>
        <w:tc>
          <w:tcPr>
            <w:tcW w:w="950" w:type="dxa"/>
            <w:tcBorders/>
            <w:shd w:fill="auto" w:val="clear"/>
            <w:vAlign w:val="center"/>
          </w:tcPr>
          <w:p>
            <w:pPr>
              <w:pStyle w:val="TableContents"/>
              <w:spacing w:before="0" w:after="283"/>
              <w:rPr>
                <w:b/>
              </w:rPr>
            </w:pPr>
            <w:r>
              <w:rPr>
                <w:b/>
              </w:rPr>
              <w:t>TIME:</w:t>
            </w:r>
          </w:p>
        </w:tc>
        <w:tc>
          <w:tcPr>
            <w:tcW w:w="120" w:type="dxa"/>
            <w:tcBorders/>
            <w:shd w:fill="auto" w:val="clear"/>
            <w:vAlign w:val="center"/>
          </w:tcPr>
          <w:p>
            <w:pPr>
              <w:pStyle w:val="TableContents"/>
              <w:spacing w:before="0" w:after="283"/>
              <w:rPr/>
            </w:pPr>
            <w:r>
              <w:rPr/>
              <w:t>  </w:t>
            </w:r>
          </w:p>
        </w:tc>
        <w:tc>
          <w:tcPr>
            <w:tcW w:w="4730" w:type="dxa"/>
            <w:tcBorders/>
            <w:shd w:fill="auto" w:val="clear"/>
            <w:vAlign w:val="center"/>
          </w:tcPr>
          <w:p>
            <w:pPr>
              <w:pStyle w:val="TableContents"/>
              <w:spacing w:before="0" w:after="283"/>
              <w:rPr/>
            </w:pPr>
            <w:r>
              <w:rPr/>
              <w:t>Tuesday, June 13, 2023 10:00 AM, Eastern Time</w:t>
            </w:r>
          </w:p>
        </w:tc>
      </w:tr>
      <w:tr>
        <w:trPr/>
        <w:tc>
          <w:tcPr>
            <w:tcW w:w="950" w:type="dxa"/>
            <w:tcBorders/>
            <w:shd w:fill="auto" w:val="clear"/>
            <w:vAlign w:val="center"/>
          </w:tcPr>
          <w:p>
            <w:pPr>
              <w:pStyle w:val="TableContents"/>
              <w:spacing w:before="0" w:after="283"/>
              <w:rPr>
                <w:b/>
              </w:rPr>
            </w:pPr>
            <w:r>
              <w:rPr>
                <w:b/>
              </w:rPr>
              <w:t>PLACE:</w:t>
            </w:r>
          </w:p>
        </w:tc>
        <w:tc>
          <w:tcPr>
            <w:tcW w:w="120" w:type="dxa"/>
            <w:tcBorders/>
            <w:shd w:fill="auto" w:val="clear"/>
            <w:vAlign w:val="center"/>
          </w:tcPr>
          <w:p>
            <w:pPr>
              <w:pStyle w:val="TableContents"/>
              <w:spacing w:before="0" w:after="283"/>
              <w:rPr/>
            </w:pPr>
            <w:r>
              <w:rPr/>
              <w:t>  </w:t>
            </w:r>
          </w:p>
        </w:tc>
        <w:tc>
          <w:tcPr>
            <w:tcW w:w="4730" w:type="dxa"/>
            <w:tcBorders/>
            <w:shd w:fill="auto" w:val="clear"/>
            <w:vAlign w:val="center"/>
          </w:tcPr>
          <w:p>
            <w:pPr>
              <w:pStyle w:val="TableContents"/>
              <w:spacing w:before="0" w:after="283"/>
              <w:rPr/>
            </w:pPr>
            <w:r>
              <w:rPr/>
              <w:t>The Westin Sarasota</w:t>
            </w:r>
          </w:p>
        </w:tc>
      </w:tr>
      <w:tr>
        <w:trPr/>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730" w:type="dxa"/>
            <w:tcBorders/>
            <w:shd w:fill="auto" w:val="clear"/>
            <w:vAlign w:val="center"/>
          </w:tcPr>
          <w:p>
            <w:pPr>
              <w:pStyle w:val="TableContents"/>
              <w:spacing w:before="0" w:after="283"/>
              <w:rPr/>
            </w:pPr>
            <w:r>
              <w:rPr/>
              <w:t>100 Marina View Drive, Sarasota, Florida 34236</w:t>
            </w:r>
          </w:p>
        </w:tc>
      </w:tr>
    </w:tbl>
    <w:p>
      <w:pPr>
        <w:pStyle w:val="TextBody"/>
        <w:spacing w:before="480" w:after="0"/>
        <w:jc w:val="center"/>
        <w:rPr>
          <w:rFonts w:ascii="Times New Roman" w:hAnsi="Times New Roman"/>
          <w:b/>
          <w:sz w:val="20"/>
        </w:rPr>
      </w:pPr>
      <w:r>
        <w:rPr>
          <w:rFonts w:ascii="Times New Roman" w:hAnsi="Times New Roman"/>
          <w:b/>
          <w:sz w:val="20"/>
        </w:rPr>
        <w:t xml:space="preserve">This proxy is being solicited on behalf of the Board of Directors </w:t>
      </w:r>
    </w:p>
    <w:p>
      <w:pPr>
        <w:pStyle w:val="TextBody"/>
        <w:spacing w:before="240" w:after="0"/>
        <w:jc w:val="left"/>
        <w:rPr>
          <w:rFonts w:ascii="Times New Roman" w:hAnsi="Times New Roman"/>
          <w:sz w:val="16"/>
        </w:rPr>
      </w:pPr>
      <w:r>
        <w:rPr>
          <w:rFonts w:ascii="Times New Roman" w:hAnsi="Times New Roman"/>
          <w:sz w:val="16"/>
        </w:rPr>
        <w:t xml:space="preserve">The undersigned hereby appoints Michael R. Peterson and John K. Stipancich (the “Named Proxies”), and each or either of them, as the true and lawful attorneys of the undersigned, with full power of substitution and revocation, and authorizes them, and each of them, to vote all the shares of capital stock of Roper Technologies,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p>
    <w:p>
      <w:pPr>
        <w:pStyle w:val="TextBody"/>
        <w:spacing w:before="240" w:after="0"/>
        <w:jc w:val="left"/>
        <w:rPr>
          <w:rFonts w:ascii="Times New Roman" w:hAnsi="Times New Roman"/>
          <w:sz w:val="16"/>
        </w:rPr>
      </w:pPr>
      <w:r>
        <w:rPr>
          <w:rFonts w:ascii="Times New Roman" w:hAnsi="Times New Roman"/>
          <w:sz w:val="16"/>
        </w:rPr>
        <w:t xml:space="preserve">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spacing w:before="240" w:after="0"/>
        <w:jc w:val="left"/>
        <w:rPr>
          <w:rFonts w:ascii="Times New Roman" w:hAnsi="Times New Roman"/>
          <w:sz w:val="16"/>
        </w:rPr>
      </w:pPr>
      <w:r>
        <w:rPr>
          <w:rFonts w:ascii="Times New Roman" w:hAnsi="Times New Roman"/>
          <w:sz w:val="16"/>
        </w:rPr>
        <w:t xml:space="preserve">If you hold shares in any Employee Stock Purchase Plan, or 401(k) savings plan of the Company (the “Plans”), then this proxy card, when signed and returned, or your telephone or Internet proxy, will constitute voting instructions on matters properly coming before the Annual Meeting and at any adjournments or postponements thereof in accordance with the instructions given herein to the trustee for shares held in any of the Plans. Shares in each of the Plans for which voting instructions are not received by 11:59 PM, Eastern Time on June 8, 2023, or if no choice is specified, will be voted by an independent fiduciary. </w:t>
      </w:r>
    </w:p>
    <w:p>
      <w:pPr>
        <w:pStyle w:val="TextBody"/>
        <w:spacing w:before="240" w:after="0"/>
        <w:jc w:val="left"/>
        <w:rPr>
          <w:rFonts w:ascii="Times New Roman" w:hAnsi="Times New Roman"/>
          <w:sz w:val="16"/>
        </w:rPr>
      </w:pPr>
      <w:r>
        <w:rPr>
          <w:rFonts w:ascii="Times New Roman" w:hAnsi="Times New Roman"/>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spacing w:before="720" w:after="0"/>
        <w:jc w:val="center"/>
        <w:rPr>
          <w:rFonts w:ascii="Times New Roman" w:hAnsi="Times New Roman"/>
          <w:sz w:val="16"/>
        </w:rPr>
      </w:pPr>
      <w:r>
        <w:rPr>
          <w:rFonts w:ascii="Times New Roman" w:hAnsi="Times New Roman"/>
          <w:sz w:val="16"/>
        </w:rPr>
        <w:t xml:space="preserve">PLEASE BE SURE TO SIGN AND DATE THIS PROXY CARD AND MARK ON THE REVERSE SIDE </w:t>
      </w:r>
    </w:p>
    <w:p>
      <w:pPr>
        <w:pStyle w:val="TextBody"/>
        <w:spacing w:before="0" w:after="0"/>
        <w:jc w:val="left"/>
        <w:rPr/>
      </w:pPr>
      <w:r>
        <w:rPr/>
        <w:t> </w:t>
      </w:r>
      <w:r>
        <w:br w:type="page"/>
      </w:r>
    </w:p>
    <w:p>
      <w:pPr>
        <w:pStyle w:val="HorizontalLine"/>
        <w:rPr/>
      </w:pPr>
      <w:r>
        <w:rPr/>
      </w:r>
    </w:p>
    <w:p>
      <w:pPr>
        <w:pStyle w:val="TextBody"/>
        <w:spacing w:before="0" w:after="0"/>
        <w:jc w:val="center"/>
        <w:rPr>
          <w:rFonts w:ascii="Times New Roman" w:hAnsi="Times New Roman"/>
          <w:b/>
          <w:sz w:val="36"/>
        </w:rPr>
      </w:pPr>
      <w:r>
        <w:rPr>
          <w:rFonts w:ascii="Times New Roman" w:hAnsi="Times New Roman"/>
          <w:b/>
          <w:sz w:val="36"/>
        </w:rPr>
        <w:t xml:space="preserve">Roper Technologies, Inc. </w:t>
      </w:r>
    </w:p>
    <w:p>
      <w:pPr>
        <w:pStyle w:val="TextBody"/>
        <w:spacing w:before="0" w:after="0"/>
        <w:jc w:val="center"/>
        <w:rPr>
          <w:rFonts w:ascii="Times New Roman" w:hAnsi="Times New Roman"/>
          <w:b/>
          <w:sz w:val="24"/>
        </w:rPr>
      </w:pPr>
      <w:r>
        <w:rPr>
          <w:rFonts w:ascii="Times New Roman" w:hAnsi="Times New Roman"/>
          <w:b/>
          <w:sz w:val="24"/>
        </w:rPr>
        <w:t xml:space="preserve">Annual Meeting of Shareholders </w:t>
      </w:r>
    </w:p>
    <w:p>
      <w:pPr>
        <w:pStyle w:val="TextBody"/>
        <w:spacing w:before="0" w:after="0"/>
        <w:jc w:val="left"/>
        <w:rPr/>
      </w:pPr>
      <w:r>
        <w:rPr/>
        <w:t> </w:t>
      </w:r>
    </w:p>
    <w:tbl>
      <w:tblPr>
        <w:tblW w:w="3005" w:type="dxa"/>
        <w:jc w:val="left"/>
        <w:tblInd w:w="0" w:type="dxa"/>
        <w:tblCellMar>
          <w:top w:w="0" w:type="dxa"/>
          <w:left w:w="0" w:type="dxa"/>
          <w:bottom w:w="0" w:type="dxa"/>
          <w:right w:w="0" w:type="dxa"/>
        </w:tblCellMar>
      </w:tblPr>
      <w:tblGrid>
        <w:gridCol w:w="2510"/>
        <w:gridCol w:w="60"/>
        <w:gridCol w:w="435"/>
      </w:tblGrid>
      <w:tr>
        <w:trPr/>
        <w:tc>
          <w:tcPr>
            <w:tcW w:w="25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r>
      <w:tr>
        <w:trPr/>
        <w:tc>
          <w:tcPr>
            <w:tcW w:w="2510" w:type="dxa"/>
            <w:tcBorders/>
            <w:shd w:fill="auto" w:val="clear"/>
            <w:vAlign w:val="center"/>
          </w:tcPr>
          <w:p>
            <w:pPr>
              <w:pStyle w:val="TableContents"/>
              <w:spacing w:before="0" w:after="283"/>
              <w:rPr>
                <w:b/>
                <w:sz w:val="16"/>
              </w:rPr>
            </w:pPr>
            <w:r>
              <w:rPr>
                <w:b/>
                <w:sz w:val="16"/>
              </w:rPr>
              <w:t>Please make your marks like this: </w:t>
            </w:r>
          </w:p>
        </w:tc>
        <w:tc>
          <w:tcPr>
            <w:tcW w:w="60" w:type="dxa"/>
            <w:tcBorders/>
            <w:shd w:fill="auto" w:val="clear"/>
            <w:vAlign w:val="center"/>
          </w:tcPr>
          <w:p>
            <w:pPr>
              <w:pStyle w:val="TableContents"/>
              <w:spacing w:before="0" w:after="283"/>
              <w:rPr/>
            </w:pPr>
            <w:r>
              <w:rPr/>
              <w:t> </w:t>
            </w:r>
          </w:p>
        </w:tc>
        <w:tc>
          <w:tcPr>
            <w:tcW w:w="435" w:type="dxa"/>
            <w:tcBorders/>
            <w:shd w:fill="auto" w:val="clear"/>
            <w:vAlign w:val="center"/>
          </w:tcPr>
          <w:p>
            <w:pPr>
              <w:pStyle w:val="TableContents"/>
              <w:spacing w:before="0" w:after="283"/>
              <w:rPr/>
            </w:pPr>
            <w:r>
              <w:rPr/>
              <w:drawing>
                <wp:inline distT="0" distB="0" distL="0" distR="0">
                  <wp:extent cx="228600" cy="228600"/>
                  <wp:effectExtent l="0" t="0" r="0" b="0"/>
                  <wp:docPr id="18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31" descr=""/>
                          <pic:cNvPicPr>
                            <a:picLocks noChangeAspect="1" noChangeArrowheads="1"/>
                          </pic:cNvPicPr>
                        </pic:nvPicPr>
                        <pic:blipFill>
                          <a:blip r:embed="rId132"/>
                          <a:stretch>
                            <a:fillRect/>
                          </a:stretch>
                        </pic:blipFill>
                        <pic:spPr bwMode="auto">
                          <a:xfrm>
                            <a:off x="0" y="0"/>
                            <a:ext cx="228600" cy="228600"/>
                          </a:xfrm>
                          <a:prstGeom prst="rect">
                            <a:avLst/>
                          </a:prstGeom>
                        </pic:spPr>
                      </pic:pic>
                    </a:graphicData>
                  </a:graphic>
                </wp:inline>
              </w:drawing>
            </w:r>
            <w:r>
              <w:rPr/>
              <w:t xml:space="preserve"> </w:t>
            </w:r>
          </w:p>
        </w:tc>
      </w:tr>
    </w:tbl>
    <w:p>
      <w:pPr>
        <w:pStyle w:val="TextBody"/>
        <w:spacing w:before="240" w:after="0"/>
        <w:jc w:val="left"/>
        <w:rPr>
          <w:rFonts w:ascii="Times New Roman" w:hAnsi="Times New Roman"/>
          <w:b/>
          <w:sz w:val="16"/>
        </w:rPr>
      </w:pPr>
      <w:r>
        <w:rPr>
          <w:rFonts w:ascii="Times New Roman" w:hAnsi="Times New Roman"/>
          <w:b/>
          <w:sz w:val="16"/>
        </w:rPr>
        <w:t xml:space="preserve">THE BOARD OF DIRECTORS RECOMMENDS A VOTE: </w:t>
      </w:r>
    </w:p>
    <w:p>
      <w:pPr>
        <w:pStyle w:val="TextBody"/>
        <w:spacing w:before="120" w:after="0"/>
        <w:jc w:val="left"/>
        <w:rPr>
          <w:rFonts w:ascii="Times New Roman" w:hAnsi="Times New Roman"/>
          <w:sz w:val="16"/>
        </w:rPr>
      </w:pPr>
      <w:r>
        <w:rPr>
          <w:rFonts w:ascii="Times New Roman" w:hAnsi="Times New Roman"/>
          <w:b/>
          <w:sz w:val="16"/>
        </w:rPr>
        <w:t>FOR</w:t>
      </w:r>
      <w:r>
        <w:rPr>
          <w:rFonts w:ascii="Times New Roman" w:hAnsi="Times New Roman"/>
          <w:sz w:val="16"/>
        </w:rPr>
        <w:t xml:space="preserve"> ON PROPOSALS 1, 2, 4 AND 5 </w:t>
      </w:r>
    </w:p>
    <w:p>
      <w:pPr>
        <w:pStyle w:val="TextBody"/>
        <w:spacing w:before="0" w:after="0"/>
        <w:jc w:val="left"/>
        <w:rPr>
          <w:rFonts w:ascii="Times New Roman" w:hAnsi="Times New Roman"/>
          <w:sz w:val="16"/>
        </w:rPr>
      </w:pPr>
      <w:r>
        <w:rPr>
          <w:rFonts w:ascii="Times New Roman" w:hAnsi="Times New Roman"/>
          <w:sz w:val="16"/>
        </w:rPr>
        <w:t xml:space="preserve">THE BOARD RECOMMENDS THAT AN ADVISORY VOTE ON THE COMPENSATION FOR NAMED EXECUTIVE OFFICERS BE HELD EVERY 1 YEAR.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37"/>
        <w:gridCol w:w="60"/>
        <w:gridCol w:w="3667"/>
        <w:gridCol w:w="120"/>
        <w:gridCol w:w="530"/>
        <w:gridCol w:w="120"/>
        <w:gridCol w:w="1130"/>
        <w:gridCol w:w="120"/>
        <w:gridCol w:w="1115"/>
        <w:gridCol w:w="120"/>
        <w:gridCol w:w="1115"/>
        <w:gridCol w:w="120"/>
        <w:gridCol w:w="1851"/>
      </w:tblGrid>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b/>
              </w:rPr>
            </w:pPr>
            <w:r>
              <w:rPr>
                <w:b/>
              </w:rPr>
              <w:t>PROPOSAL</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65" w:type="dxa"/>
            <w:gridSpan w:val="3"/>
            <w:tcBorders/>
            <w:shd w:fill="auto" w:val="clear"/>
            <w:vAlign w:val="center"/>
          </w:tcPr>
          <w:p>
            <w:pPr>
              <w:pStyle w:val="TableContents"/>
              <w:spacing w:before="0" w:after="283"/>
              <w:jc w:val="center"/>
              <w:rPr>
                <w:b/>
              </w:rPr>
            </w:pPr>
            <w:r>
              <w:rPr>
                <w:b/>
              </w:rPr>
              <w:t>YOUR VOTE</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center"/>
              <w:rPr>
                <w:b/>
              </w:rPr>
            </w:pPr>
            <w:r>
              <w:rPr>
                <w:b/>
              </w:rPr>
              <w:t>BOARD OF</w:t>
              <w:br/>
              <w:t>DIRECTORS</w:t>
              <w:br/>
              <w:t>RECOMMENDS</w:t>
            </w:r>
          </w:p>
        </w:tc>
      </w:tr>
      <w:tr>
        <w:trPr/>
        <w:tc>
          <w:tcPr>
            <w:tcW w:w="137" w:type="dxa"/>
            <w:tcBorders/>
            <w:shd w:fill="auto" w:val="clear"/>
            <w:vAlign w:val="center"/>
          </w:tcPr>
          <w:p>
            <w:pPr>
              <w:pStyle w:val="TableContents"/>
              <w:spacing w:before="0" w:after="283"/>
              <w:rPr>
                <w:sz w:val="4"/>
                <w:szCs w:val="4"/>
              </w:rPr>
            </w:pPr>
            <w:r>
              <w:rPr>
                <w:sz w:val="4"/>
                <w:szCs w:val="4"/>
              </w:rPr>
            </w:r>
          </w:p>
        </w:tc>
        <w:tc>
          <w:tcPr>
            <w:tcW w:w="3727"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1235" w:type="dxa"/>
            <w:gridSpan w:val="2"/>
            <w:tcBorders/>
            <w:shd w:fill="auto" w:val="clear"/>
            <w:vAlign w:val="center"/>
          </w:tcPr>
          <w:p>
            <w:pPr>
              <w:pStyle w:val="TableContents"/>
              <w:spacing w:before="0" w:after="283"/>
              <w:rPr>
                <w:sz w:val="4"/>
                <w:szCs w:val="4"/>
              </w:rPr>
            </w:pPr>
            <w:r>
              <w:rPr>
                <w:sz w:val="4"/>
                <w:szCs w:val="4"/>
              </w:rPr>
            </w:r>
          </w:p>
        </w:tc>
        <w:tc>
          <w:tcPr>
            <w:tcW w:w="1235" w:type="dxa"/>
            <w:gridSpan w:val="2"/>
            <w:tcBorders/>
            <w:shd w:fill="auto" w:val="clear"/>
            <w:vAlign w:val="center"/>
          </w:tcPr>
          <w:p>
            <w:pPr>
              <w:pStyle w:val="TableContents"/>
              <w:spacing w:before="0" w:after="283"/>
              <w:rPr>
                <w:sz w:val="4"/>
                <w:szCs w:val="4"/>
              </w:rPr>
            </w:pPr>
            <w:r>
              <w:rPr>
                <w:sz w:val="4"/>
                <w:szCs w:val="4"/>
              </w:rPr>
            </w:r>
          </w:p>
        </w:tc>
        <w:tc>
          <w:tcPr>
            <w:tcW w:w="1971" w:type="dxa"/>
            <w:gridSpan w:val="2"/>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16"/>
              </w:rPr>
            </w:pPr>
            <w:r>
              <w:rPr>
                <w:sz w:val="16"/>
              </w:rPr>
              <w:t>1.</w:t>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Election of nine directos for a one-year term</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center"/>
              <w:rPr/>
            </w:pPr>
            <w:r>
              <w:rPr/>
              <w:drawing>
                <wp:inline distT="0" distB="0" distL="0" distR="0">
                  <wp:extent cx="371475" cy="428625"/>
                  <wp:effectExtent l="0" t="0" r="0" b="0"/>
                  <wp:docPr id="18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32" descr=""/>
                          <pic:cNvPicPr>
                            <a:picLocks noChangeAspect="1" noChangeArrowheads="1"/>
                          </pic:cNvPicPr>
                        </pic:nvPicPr>
                        <pic:blipFill>
                          <a:blip r:embed="rId133"/>
                          <a:stretch>
                            <a:fillRect/>
                          </a:stretch>
                        </pic:blipFill>
                        <pic:spPr bwMode="auto">
                          <a:xfrm>
                            <a:off x="0" y="0"/>
                            <a:ext cx="371475" cy="428625"/>
                          </a:xfrm>
                          <a:prstGeom prst="rect">
                            <a:avLst/>
                          </a:prstGeom>
                        </pic:spPr>
                      </pic:pic>
                    </a:graphicData>
                  </a:graphic>
                </wp:inline>
              </w:drawing>
            </w:r>
            <w:r>
              <w:rPr/>
              <w:t xml:space="preserve"> </w:t>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b/>
                <w:sz w:val="12"/>
              </w:rPr>
            </w:pPr>
            <w:r>
              <w:rPr>
                <w:b/>
                <w:sz w:val="12"/>
              </w:rPr>
              <w:t>FOR</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b/>
                <w:sz w:val="12"/>
              </w:rPr>
            </w:pPr>
            <w:r>
              <w:rPr>
                <w:b/>
                <w:sz w:val="12"/>
              </w:rPr>
              <w:t>AGAINST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b/>
                <w:sz w:val="12"/>
              </w:rPr>
            </w:pPr>
            <w:r>
              <w:rPr>
                <w:b/>
                <w:sz w:val="12"/>
              </w:rPr>
              <w:t>ABSTAIN</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1.01 Shellye L. Archambeau</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center"/>
              <w:rPr>
                <w:b/>
                <w:sz w:val="16"/>
              </w:rPr>
            </w:pPr>
            <w:r>
              <w:rPr>
                <w:b/>
                <w:sz w:val="16"/>
              </w:rPr>
              <w:t>FOR</w:t>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1.02 Amy Woods Brinkley</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center"/>
              <w:rPr>
                <w:b/>
                <w:sz w:val="16"/>
              </w:rPr>
            </w:pPr>
            <w:r>
              <w:rPr>
                <w:b/>
                <w:sz w:val="16"/>
              </w:rPr>
              <w:t>FOR</w:t>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1.03 Irene M. Esteves</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center"/>
              <w:rPr>
                <w:b/>
                <w:sz w:val="16"/>
              </w:rPr>
            </w:pPr>
            <w:r>
              <w:rPr>
                <w:b/>
                <w:sz w:val="16"/>
              </w:rPr>
              <w:t>FOR</w:t>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1.04 L. Neil Hunn</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center"/>
              <w:rPr>
                <w:b/>
                <w:sz w:val="16"/>
              </w:rPr>
            </w:pPr>
            <w:r>
              <w:rPr>
                <w:b/>
                <w:sz w:val="16"/>
              </w:rPr>
              <w:t>FOR</w:t>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1.05 Robert D. Johnson</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center"/>
              <w:rPr>
                <w:b/>
                <w:sz w:val="16"/>
              </w:rPr>
            </w:pPr>
            <w:r>
              <w:rPr>
                <w:b/>
                <w:sz w:val="16"/>
              </w:rPr>
              <w:t>FOR</w:t>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1.06 Thomas P. Joyce, Jr.</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center"/>
              <w:rPr>
                <w:b/>
                <w:sz w:val="16"/>
              </w:rPr>
            </w:pPr>
            <w:r>
              <w:rPr>
                <w:b/>
                <w:sz w:val="16"/>
              </w:rPr>
              <w:t>FOR</w:t>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1.07 Laura G. Thatcher</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center"/>
              <w:rPr>
                <w:b/>
                <w:sz w:val="16"/>
              </w:rPr>
            </w:pPr>
            <w:r>
              <w:rPr>
                <w:b/>
                <w:sz w:val="16"/>
              </w:rPr>
              <w:t>FOR</w:t>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1.08 Richard F. Wallman</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center"/>
              <w:rPr>
                <w:b/>
                <w:sz w:val="16"/>
              </w:rPr>
            </w:pPr>
            <w:r>
              <w:rPr>
                <w:b/>
                <w:sz w:val="16"/>
              </w:rPr>
              <w:t>FOR</w:t>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1.09 Christopher Wright</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center"/>
              <w:rPr>
                <w:b/>
                <w:sz w:val="16"/>
              </w:rPr>
            </w:pPr>
            <w:r>
              <w:rPr>
                <w:b/>
                <w:sz w:val="16"/>
              </w:rPr>
              <w:t>FOR</w:t>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b/>
                <w:sz w:val="12"/>
              </w:rPr>
            </w:pPr>
            <w:r>
              <w:rPr>
                <w:b/>
                <w:sz w:val="12"/>
              </w:rPr>
              <w:t>FOR</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b/>
                <w:sz w:val="12"/>
              </w:rPr>
            </w:pPr>
            <w:r>
              <w:rPr>
                <w:b/>
                <w:sz w:val="12"/>
              </w:rPr>
              <w:t>AGAINST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b/>
                <w:sz w:val="12"/>
              </w:rPr>
            </w:pPr>
            <w:r>
              <w:rPr>
                <w:b/>
                <w:sz w:val="12"/>
              </w:rPr>
              <w:t>ABSTAIN</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16"/>
              </w:rPr>
            </w:pPr>
            <w:r>
              <w:rPr>
                <w:sz w:val="16"/>
              </w:rPr>
              <w:t>2.</w:t>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Advisory vote to approve the compensation of our named executive officers.</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center"/>
              <w:rPr>
                <w:b/>
                <w:sz w:val="16"/>
              </w:rPr>
            </w:pPr>
            <w:r>
              <w:rPr>
                <w:b/>
                <w:sz w:val="16"/>
              </w:rPr>
              <w:t>FOR</w:t>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b/>
              </w:rPr>
            </w:pPr>
            <w:r>
              <w:rPr>
                <w:b/>
              </w:rPr>
              <w:t>1YR</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b/>
              </w:rPr>
            </w:pPr>
            <w:r>
              <w:rPr>
                <w:b/>
              </w:rPr>
              <w:t>2YR</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b/>
              </w:rPr>
            </w:pPr>
            <w:r>
              <w:rPr>
                <w:b/>
              </w:rPr>
              <w:t>3YR</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b/>
              </w:rPr>
            </w:pPr>
            <w:r>
              <w:rPr>
                <w:b/>
              </w:rPr>
              <w:t>ABSTAIN</w:t>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16"/>
              </w:rPr>
            </w:pPr>
            <w:r>
              <w:rPr>
                <w:sz w:val="16"/>
              </w:rPr>
              <w:t>3.</w:t>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To select, on an advisory basis, the frequency of the shareholder vote on the</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center"/>
              <w:rPr>
                <w:b/>
                <w:sz w:val="16"/>
              </w:rPr>
            </w:pPr>
            <w:r>
              <w:rPr>
                <w:b/>
                <w:sz w:val="16"/>
              </w:rPr>
              <w:t>1 YEAR</w:t>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compensation of our named executive officers.</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b/>
              </w:rPr>
            </w:pPr>
            <w:r>
              <w:rPr>
                <w:b/>
              </w:rPr>
              <w:t>FOR</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b/>
              </w:rPr>
            </w:pPr>
            <w:r>
              <w:rPr>
                <w:b/>
              </w:rPr>
              <w:t>AGAINST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b/>
              </w:rPr>
            </w:pPr>
            <w:r>
              <w:rPr>
                <w:b/>
              </w:rPr>
              <w:t>ABSTAIN</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r>
        <w:trPr/>
        <w:tc>
          <w:tcPr>
            <w:tcW w:w="137" w:type="dxa"/>
            <w:tcBorders/>
            <w:shd w:fill="auto" w:val="clear"/>
            <w:vAlign w:val="center"/>
          </w:tcPr>
          <w:p>
            <w:pPr>
              <w:pStyle w:val="TableContents"/>
              <w:spacing w:before="0" w:after="283"/>
              <w:rPr>
                <w:sz w:val="16"/>
              </w:rPr>
            </w:pPr>
            <w:r>
              <w:rPr>
                <w:sz w:val="16"/>
              </w:rPr>
              <w:t>4.</w:t>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Ratification of the appointment of PricewaterhouseCoopers LLP as our independent registered public accounting firm for 2023.</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center"/>
              <w:rPr>
                <w:b/>
                <w:sz w:val="16"/>
              </w:rPr>
            </w:pPr>
            <w:r>
              <w:rPr>
                <w:b/>
                <w:sz w:val="16"/>
              </w:rPr>
              <w:t>FOR</w:t>
            </w:r>
          </w:p>
        </w:tc>
      </w:tr>
      <w:tr>
        <w:trPr/>
        <w:tc>
          <w:tcPr>
            <w:tcW w:w="137" w:type="dxa"/>
            <w:tcBorders/>
            <w:shd w:fill="auto" w:val="clear"/>
            <w:vAlign w:val="center"/>
          </w:tcPr>
          <w:p>
            <w:pPr>
              <w:pStyle w:val="TableContents"/>
              <w:spacing w:before="0" w:after="283"/>
              <w:rPr>
                <w:sz w:val="16"/>
              </w:rPr>
            </w:pPr>
            <w:r>
              <w:rPr>
                <w:sz w:val="16"/>
              </w:rPr>
              <w:t>5.</w:t>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Approve an amendment to and restatement of our Restated Certificate of Incorporation to permit the exculpation of officers.</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center"/>
              <w:rPr>
                <w:b/>
                <w:sz w:val="16"/>
              </w:rPr>
            </w:pPr>
            <w:r>
              <w:rPr>
                <w:b/>
                <w:sz w:val="16"/>
              </w:rPr>
              <w:t>FOR</w:t>
            </w:r>
          </w:p>
        </w:tc>
      </w:tr>
      <w:tr>
        <w:trPr/>
        <w:tc>
          <w:tcPr>
            <w:tcW w:w="137" w:type="dxa"/>
            <w:tcBorders/>
            <w:shd w:fill="auto" w:val="clear"/>
            <w:vAlign w:val="center"/>
          </w:tcPr>
          <w:p>
            <w:pPr>
              <w:pStyle w:val="TableContents"/>
              <w:spacing w:before="0" w:after="283"/>
              <w:rPr>
                <w:sz w:val="16"/>
              </w:rPr>
            </w:pPr>
            <w:r>
              <w:rPr>
                <w:sz w:val="16"/>
              </w:rPr>
              <w:t>6.</w:t>
            </w:r>
          </w:p>
        </w:tc>
        <w:tc>
          <w:tcPr>
            <w:tcW w:w="60" w:type="dxa"/>
            <w:tcBorders/>
            <w:shd w:fill="auto" w:val="clear"/>
            <w:vAlign w:val="center"/>
          </w:tcPr>
          <w:p>
            <w:pPr>
              <w:pStyle w:val="TableContents"/>
              <w:spacing w:before="0" w:after="283"/>
              <w:rPr/>
            </w:pPr>
            <w:r>
              <w:rPr/>
              <w:t> </w:t>
            </w:r>
          </w:p>
        </w:tc>
        <w:tc>
          <w:tcPr>
            <w:tcW w:w="3667" w:type="dxa"/>
            <w:tcBorders/>
            <w:shd w:fill="auto" w:val="clear"/>
            <w:vAlign w:val="center"/>
          </w:tcPr>
          <w:p>
            <w:pPr>
              <w:pStyle w:val="TableContents"/>
              <w:spacing w:before="0" w:after="283"/>
              <w:rPr>
                <w:sz w:val="16"/>
              </w:rPr>
            </w:pPr>
            <w:r>
              <w:rPr>
                <w:sz w:val="16"/>
              </w:rPr>
              <w:t>Transact any other business that may be properly brought before the annual meeting.</w:t>
            </w:r>
          </w:p>
        </w:tc>
        <w:tc>
          <w:tcPr>
            <w:tcW w:w="12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left"/>
        <w:rPr/>
      </w:pPr>
      <w:r>
        <w:rPr/>
        <w:t> </w:t>
      </w:r>
    </w:p>
    <w:tbl>
      <w:tblPr>
        <w:tblW w:w="5600" w:type="dxa"/>
        <w:jc w:val="left"/>
        <w:tblInd w:w="0" w:type="dxa"/>
        <w:tblCellMar>
          <w:top w:w="0" w:type="dxa"/>
          <w:left w:w="0" w:type="dxa"/>
          <w:bottom w:w="0" w:type="dxa"/>
          <w:right w:w="0" w:type="dxa"/>
        </w:tblCellMar>
      </w:tblPr>
      <w:tblGrid>
        <w:gridCol w:w="75"/>
        <w:gridCol w:w="390"/>
        <w:gridCol w:w="5135"/>
      </w:tblGrid>
      <w:tr>
        <w:trPr/>
        <w:tc>
          <w:tcPr>
            <w:tcW w:w="75"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jc w:val="left"/>
              <w:rPr/>
            </w:pPr>
            <w:r>
              <w:rPr/>
              <w:drawing>
                <wp:inline distT="0" distB="0" distL="0" distR="0">
                  <wp:extent cx="209550" cy="209550"/>
                  <wp:effectExtent l="0" t="0" r="0" b="0"/>
                  <wp:docPr id="18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33" descr=""/>
                          <pic:cNvPicPr>
                            <a:picLocks noChangeAspect="1" noChangeArrowheads="1"/>
                          </pic:cNvPicPr>
                        </pic:nvPicPr>
                        <pic:blipFill>
                          <a:blip r:embed="rId134"/>
                          <a:stretch>
                            <a:fillRect/>
                          </a:stretch>
                        </pic:blipFill>
                        <pic:spPr bwMode="auto">
                          <a:xfrm>
                            <a:off x="0" y="0"/>
                            <a:ext cx="209550" cy="209550"/>
                          </a:xfrm>
                          <a:prstGeom prst="rect">
                            <a:avLst/>
                          </a:prstGeom>
                        </pic:spPr>
                      </pic:pic>
                    </a:graphicData>
                  </a:graphic>
                </wp:inline>
              </w:drawing>
            </w:r>
            <w:r>
              <w:rPr/>
              <w:t xml:space="preserve"> </w:t>
            </w:r>
          </w:p>
        </w:tc>
        <w:tc>
          <w:tcPr>
            <w:tcW w:w="51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Check here if you would like to attend the meeting in person.</w:t>
            </w:r>
            <w:r>
              <w:rPr>
                <w:rFonts w:ascii="Times New Roman" w:hAnsi="Times New Roman"/>
                <w:sz w:val="20"/>
              </w:rPr>
              <w:t xml:space="preserve"> </w:t>
            </w:r>
          </w:p>
        </w:tc>
      </w:tr>
    </w:tbl>
    <w:p>
      <w:pPr>
        <w:pStyle w:val="TextBody"/>
        <w:spacing w:before="240" w:after="0"/>
        <w:jc w:val="left"/>
        <w:rPr>
          <w:rFonts w:ascii="Times New Roman" w:hAnsi="Times New Roman"/>
          <w:sz w:val="16"/>
        </w:rPr>
      </w:pPr>
      <w:r>
        <w:rPr>
          <w:rFonts w:ascii="Times New Roman" w:hAnsi="Times New Roman"/>
          <w:sz w:val="16"/>
        </w:rPr>
        <w:t xml:space="preserve">Authorized Signatures - Must be completed for your instructions to be executed. </w:t>
      </w:r>
    </w:p>
    <w:p>
      <w:pPr>
        <w:pStyle w:val="TextBody"/>
        <w:spacing w:before="0" w:after="0"/>
        <w:jc w:val="left"/>
        <w:rPr>
          <w:rFonts w:ascii="Times New Roman" w:hAnsi="Times New Roman"/>
          <w:sz w:val="16"/>
        </w:rPr>
      </w:pPr>
      <w:r>
        <w:rPr>
          <w:rFonts w:ascii="Times New Roman" w:hAnsi="Times New Roman"/>
          <w:sz w:val="16"/>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spacing w:before="0" w:after="0"/>
        <w:jc w:val="left"/>
        <w:rPr/>
      </w:pPr>
      <w:r>
        <w:rPr/>
        <w:t> </w:t>
      </w:r>
    </w:p>
    <w:tbl>
      <w:tblPr>
        <w:tblW w:w="6808" w:type="dxa"/>
        <w:jc w:val="left"/>
        <w:tblInd w:w="0" w:type="dxa"/>
        <w:tblCellMar>
          <w:top w:w="0" w:type="dxa"/>
          <w:left w:w="0" w:type="dxa"/>
          <w:bottom w:w="0" w:type="dxa"/>
          <w:right w:w="0" w:type="dxa"/>
        </w:tblCellMar>
      </w:tblPr>
      <w:tblGrid>
        <w:gridCol w:w="3200"/>
        <w:gridCol w:w="60"/>
        <w:gridCol w:w="470"/>
        <w:gridCol w:w="60"/>
        <w:gridCol w:w="23"/>
        <w:gridCol w:w="60"/>
        <w:gridCol w:w="2390"/>
        <w:gridCol w:w="60"/>
        <w:gridCol w:w="485"/>
      </w:tblGrid>
      <w:tr>
        <w:trPr/>
        <w:tc>
          <w:tcPr>
            <w:tcW w:w="32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3730" w:type="dxa"/>
            <w:gridSpan w:val="3"/>
            <w:tcBorders/>
            <w:shd w:fill="auto" w:val="clear"/>
            <w:vAlign w:val="center"/>
          </w:tcPr>
          <w:p>
            <w:pPr>
              <w:pStyle w:val="TableContents"/>
              <w:pBdr>
                <w:bottom w:val="single" w:sz="2" w:space="1" w:color="000000"/>
              </w:pBdr>
              <w:spacing w:before="0" w:after="20"/>
              <w:rPr/>
            </w:pPr>
            <w:r>
              <w:rPr/>
              <w:t> </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935" w:type="dxa"/>
            <w:gridSpan w:val="3"/>
            <w:tcBorders/>
            <w:shd w:fill="auto" w:val="clear"/>
            <w:vAlign w:val="center"/>
          </w:tcPr>
          <w:p>
            <w:pPr>
              <w:pStyle w:val="TableContents"/>
              <w:pBdr>
                <w:bottom w:val="single" w:sz="2" w:space="1" w:color="000000"/>
              </w:pBdr>
              <w:spacing w:before="0" w:after="20"/>
              <w:rPr/>
            </w:pPr>
            <w:r>
              <w:rPr/>
              <w:t> </w:t>
            </w:r>
          </w:p>
        </w:tc>
      </w:tr>
      <w:tr>
        <w:trPr/>
        <w:tc>
          <w:tcPr>
            <w:tcW w:w="3200" w:type="dxa"/>
            <w:tcBorders/>
            <w:shd w:fill="auto" w:val="clear"/>
            <w:vAlign w:val="center"/>
          </w:tcPr>
          <w:p>
            <w:pPr>
              <w:pStyle w:val="TableContents"/>
              <w:spacing w:before="0" w:after="283"/>
              <w:rPr/>
            </w:pPr>
            <w:r>
              <w:rPr/>
              <w:t>Signature (and Title if applicable)</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Date</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pPr>
            <w:r>
              <w:rPr/>
              <w:t>Signature (if held jointly)</w:t>
            </w:r>
          </w:p>
        </w:tc>
        <w:tc>
          <w:tcPr>
            <w:tcW w:w="60" w:type="dxa"/>
            <w:tcBorders/>
            <w:shd w:fill="auto" w:val="clear"/>
            <w:vAlign w:val="center"/>
          </w:tcPr>
          <w:p>
            <w:pPr>
              <w:pStyle w:val="TableContents"/>
              <w:spacing w:before="0" w:after="283"/>
              <w:rPr/>
            </w:pPr>
            <w:r>
              <w:rPr/>
              <w:t> </w:t>
            </w:r>
          </w:p>
        </w:tc>
        <w:tc>
          <w:tcPr>
            <w:tcW w:w="485" w:type="dxa"/>
            <w:tcBorders/>
            <w:shd w:fill="auto" w:val="clear"/>
            <w:vAlign w:val="center"/>
          </w:tcPr>
          <w:p>
            <w:pPr>
              <w:pStyle w:val="TableContents"/>
              <w:spacing w:before="0" w:after="283"/>
              <w:rPr/>
            </w:pPr>
            <w:r>
              <w:rPr/>
              <w:t>Date</w:t>
            </w:r>
          </w:p>
        </w:tc>
      </w:tr>
    </w:tbl>
    <w:p>
      <w:pPr>
        <w:pStyle w:val="TextBody"/>
        <w:spacing w:before="0" w:after="283"/>
        <w:rPr/>
      </w:pPr>
      <w:r>
        <w:br w:type="page"/>
      </w: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arial">
    <w:charset w:val="00"/>
    <w:family w:val="auto"/>
    <w:pitch w:val="default"/>
  </w:font>
  <w:font w:name="WINGDINGS">
    <w:charset w:val="00"/>
    <w:family w:val="auto"/>
    <w:pitch w:val="default"/>
  </w:font>
  <w:font w:name="SYMBOL">
    <w:charset w:val="00"/>
    <w:family w:val="auto"/>
    <w:pitch w:val="default"/>
  </w:font>
  <w:font w:name="WINGDINGS 2">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fontTable" Target="fontTable.xml"/><Relationship Id="rId1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82</Pages>
  <Words>34997</Words>
  <CharactersWithSpaces>233603</CharactersWithSpaces>
  <Paragraphs>8591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