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December 19,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ROPER TECHNOLOGIES,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300" w:type="dxa"/>
        <w:tblCellMar>
          <w:top w:w="0" w:type="dxa"/>
          <w:left w:w="0" w:type="dxa"/>
          <w:bottom w:w="0" w:type="dxa"/>
          <w:right w:w="0" w:type="dxa"/>
        </w:tblCellMar>
      </w:tblPr>
      <w:tr>
        <w:trPr>
          <w:trHeight w:val="212"/>
        </w:trPr>
        <w:tc>
          <w:tcPr>
            <w:tcW w:w="6620" w:type="dxa"/>
            <w:vAlign w:val="bottom"/>
          </w:tcPr>
          <w:p>
            <w:pPr>
              <w:jc w:val="center"/>
              <w:ind w:left="2139"/>
              <w:spacing w:after="0"/>
              <w:rPr>
                <w:sz w:val="20"/>
                <w:szCs w:val="20"/>
                <w:color w:val="auto"/>
              </w:rPr>
            </w:pPr>
            <w:r>
              <w:rPr>
                <w:rFonts w:ascii="Arial" w:cs="Arial" w:eastAsia="Arial" w:hAnsi="Arial"/>
                <w:sz w:val="18"/>
                <w:szCs w:val="18"/>
                <w:b w:val="1"/>
                <w:bCs w:val="1"/>
                <w:color w:val="auto"/>
                <w:w w:val="91"/>
              </w:rPr>
              <w:t>Delaware</w:t>
            </w:r>
          </w:p>
        </w:tc>
        <w:tc>
          <w:tcPr>
            <w:tcW w:w="1300" w:type="dxa"/>
            <w:vAlign w:val="bottom"/>
          </w:tcPr>
          <w:p>
            <w:pPr>
              <w:spacing w:after="0"/>
              <w:rPr>
                <w:sz w:val="18"/>
                <w:szCs w:val="18"/>
                <w:color w:val="auto"/>
              </w:rPr>
            </w:pPr>
          </w:p>
        </w:tc>
      </w:tr>
      <w:tr>
        <w:trPr>
          <w:trHeight w:val="186"/>
        </w:trPr>
        <w:tc>
          <w:tcPr>
            <w:tcW w:w="6620" w:type="dxa"/>
            <w:vAlign w:val="bottom"/>
          </w:tcPr>
          <w:p>
            <w:pPr>
              <w:jc w:val="center"/>
              <w:ind w:left="2119"/>
              <w:spacing w:after="0"/>
              <w:rPr>
                <w:sz w:val="20"/>
                <w:szCs w:val="20"/>
                <w:color w:val="auto"/>
              </w:rPr>
            </w:pPr>
            <w:r>
              <w:rPr>
                <w:rFonts w:ascii="Arial" w:cs="Arial" w:eastAsia="Arial" w:hAnsi="Arial"/>
                <w:sz w:val="14"/>
                <w:szCs w:val="14"/>
                <w:b w:val="1"/>
                <w:bCs w:val="1"/>
                <w:color w:val="auto"/>
                <w:w w:val="94"/>
              </w:rPr>
              <w:t>(State or Other Jurisdiction of Incorporation)</w:t>
            </w:r>
          </w:p>
        </w:tc>
        <w:tc>
          <w:tcPr>
            <w:tcW w:w="1300" w:type="dxa"/>
            <w:vAlign w:val="bottom"/>
          </w:tcPr>
          <w:p>
            <w:pPr>
              <w:spacing w:after="0"/>
              <w:rPr>
                <w:sz w:val="16"/>
                <w:szCs w:val="16"/>
                <w:color w:val="auto"/>
              </w:rPr>
            </w:pPr>
          </w:p>
        </w:tc>
      </w:tr>
      <w:tr>
        <w:trPr>
          <w:trHeight w:val="421"/>
        </w:trPr>
        <w:tc>
          <w:tcPr>
            <w:tcW w:w="6620" w:type="dxa"/>
            <w:vAlign w:val="bottom"/>
          </w:tcPr>
          <w:p>
            <w:pPr>
              <w:jc w:val="center"/>
              <w:ind w:right="3339"/>
              <w:spacing w:after="0"/>
              <w:rPr>
                <w:sz w:val="20"/>
                <w:szCs w:val="20"/>
                <w:color w:val="auto"/>
              </w:rPr>
            </w:pPr>
            <w:r>
              <w:rPr>
                <w:rFonts w:ascii="Arial" w:cs="Arial" w:eastAsia="Arial" w:hAnsi="Arial"/>
                <w:sz w:val="18"/>
                <w:szCs w:val="18"/>
                <w:b w:val="1"/>
                <w:bCs w:val="1"/>
                <w:color w:val="auto"/>
                <w:w w:val="90"/>
              </w:rPr>
              <w:t>1-12273</w:t>
            </w:r>
          </w:p>
        </w:tc>
        <w:tc>
          <w:tcPr>
            <w:tcW w:w="1300" w:type="dxa"/>
            <w:vAlign w:val="bottom"/>
          </w:tcPr>
          <w:p>
            <w:pPr>
              <w:jc w:val="right"/>
              <w:ind w:right="61"/>
              <w:spacing w:after="0"/>
              <w:rPr>
                <w:sz w:val="20"/>
                <w:szCs w:val="20"/>
                <w:color w:val="auto"/>
              </w:rPr>
            </w:pPr>
            <w:r>
              <w:rPr>
                <w:rFonts w:ascii="Arial" w:cs="Arial" w:eastAsia="Arial" w:hAnsi="Arial"/>
                <w:sz w:val="18"/>
                <w:szCs w:val="18"/>
                <w:b w:val="1"/>
                <w:bCs w:val="1"/>
                <w:color w:val="auto"/>
              </w:rPr>
              <w:t>51-0263969</w:t>
            </w:r>
          </w:p>
        </w:tc>
      </w:tr>
      <w:tr>
        <w:trPr>
          <w:trHeight w:val="149"/>
        </w:trPr>
        <w:tc>
          <w:tcPr>
            <w:tcW w:w="6620" w:type="dxa"/>
            <w:vAlign w:val="bottom"/>
          </w:tcPr>
          <w:p>
            <w:pPr>
              <w:jc w:val="center"/>
              <w:ind w:right="3359"/>
              <w:spacing w:after="0" w:line="149" w:lineRule="exact"/>
              <w:rPr>
                <w:sz w:val="20"/>
                <w:szCs w:val="20"/>
                <w:color w:val="auto"/>
              </w:rPr>
            </w:pPr>
            <w:r>
              <w:rPr>
                <w:rFonts w:ascii="Arial" w:cs="Arial" w:eastAsia="Arial" w:hAnsi="Arial"/>
                <w:sz w:val="14"/>
                <w:szCs w:val="14"/>
                <w:b w:val="1"/>
                <w:bCs w:val="1"/>
                <w:color w:val="auto"/>
                <w:w w:val="92"/>
              </w:rPr>
              <w:t>(Commission</w:t>
            </w:r>
          </w:p>
        </w:tc>
        <w:tc>
          <w:tcPr>
            <w:tcW w:w="1300" w:type="dxa"/>
            <w:vAlign w:val="bottom"/>
          </w:tcPr>
          <w:p>
            <w:pPr>
              <w:jc w:val="center"/>
              <w:ind w:left="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6620" w:type="dxa"/>
            <w:vAlign w:val="bottom"/>
          </w:tcPr>
          <w:p>
            <w:pPr>
              <w:jc w:val="center"/>
              <w:ind w:right="3359"/>
              <w:spacing w:after="0"/>
              <w:rPr>
                <w:sz w:val="20"/>
                <w:szCs w:val="20"/>
                <w:color w:val="auto"/>
              </w:rPr>
            </w:pPr>
            <w:r>
              <w:rPr>
                <w:rFonts w:ascii="Arial" w:cs="Arial" w:eastAsia="Arial" w:hAnsi="Arial"/>
                <w:sz w:val="14"/>
                <w:szCs w:val="14"/>
                <w:b w:val="1"/>
                <w:bCs w:val="1"/>
                <w:color w:val="auto"/>
                <w:w w:val="95"/>
              </w:rPr>
              <w:t>File Number)</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620" w:type="dxa"/>
            <w:vAlign w:val="bottom"/>
          </w:tcPr>
          <w:p>
            <w:pPr>
              <w:jc w:val="center"/>
              <w:ind w:right="3339"/>
              <w:spacing w:after="0"/>
              <w:rPr>
                <w:sz w:val="20"/>
                <w:szCs w:val="20"/>
                <w:color w:val="auto"/>
              </w:rPr>
            </w:pPr>
            <w:r>
              <w:rPr>
                <w:rFonts w:ascii="Arial" w:cs="Arial" w:eastAsia="Arial" w:hAnsi="Arial"/>
                <w:sz w:val="18"/>
                <w:szCs w:val="18"/>
                <w:b w:val="1"/>
                <w:bCs w:val="1"/>
                <w:color w:val="auto"/>
                <w:w w:val="90"/>
              </w:rPr>
              <w:t>6901 Professional PKWY. East, Suite 200,</w:t>
            </w:r>
          </w:p>
        </w:tc>
        <w:tc>
          <w:tcPr>
            <w:tcW w:w="1300" w:type="dxa"/>
            <w:vAlign w:val="bottom"/>
          </w:tcPr>
          <w:p>
            <w:pPr>
              <w:spacing w:after="0"/>
              <w:rPr>
                <w:sz w:val="24"/>
                <w:szCs w:val="24"/>
                <w:color w:val="auto"/>
              </w:rPr>
            </w:pPr>
          </w:p>
        </w:tc>
      </w:tr>
      <w:tr>
        <w:trPr>
          <w:trHeight w:val="225"/>
        </w:trPr>
        <w:tc>
          <w:tcPr>
            <w:tcW w:w="66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1"/>
              </w:rPr>
              <w:t>Sarasota, Florida</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34240</w:t>
            </w:r>
          </w:p>
        </w:tc>
      </w:tr>
      <w:tr>
        <w:trPr>
          <w:trHeight w:val="186"/>
        </w:trPr>
        <w:tc>
          <w:tcPr>
            <w:tcW w:w="6620" w:type="dxa"/>
            <w:vAlign w:val="bottom"/>
          </w:tcPr>
          <w:p>
            <w:pPr>
              <w:jc w:val="center"/>
              <w:ind w:right="33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2"/>
              </w:rPr>
              <w:t>(Zip code)</w:t>
            </w:r>
          </w:p>
        </w:tc>
      </w:tr>
      <w:tr>
        <w:trPr>
          <w:trHeight w:val="394"/>
        </w:trPr>
        <w:tc>
          <w:tcPr>
            <w:tcW w:w="6620" w:type="dxa"/>
            <w:vAlign w:val="bottom"/>
          </w:tcPr>
          <w:p>
            <w:pPr>
              <w:jc w:val="center"/>
              <w:ind w:left="2139"/>
              <w:spacing w:after="0"/>
              <w:rPr>
                <w:sz w:val="20"/>
                <w:szCs w:val="20"/>
                <w:color w:val="auto"/>
              </w:rPr>
            </w:pPr>
            <w:r>
              <w:rPr>
                <w:rFonts w:ascii="Arial" w:cs="Arial" w:eastAsia="Arial" w:hAnsi="Arial"/>
                <w:sz w:val="18"/>
                <w:szCs w:val="18"/>
                <w:b w:val="1"/>
                <w:bCs w:val="1"/>
                <w:color w:val="auto"/>
                <w:w w:val="90"/>
              </w:rPr>
              <w:t>(941) 556-2601</w:t>
            </w:r>
          </w:p>
        </w:tc>
        <w:tc>
          <w:tcPr>
            <w:tcW w:w="1300" w:type="dxa"/>
            <w:vAlign w:val="bottom"/>
          </w:tcPr>
          <w:p>
            <w:pPr>
              <w:spacing w:after="0"/>
              <w:rPr>
                <w:sz w:val="24"/>
                <w:szCs w:val="24"/>
                <w:color w:val="auto"/>
              </w:rPr>
            </w:pPr>
          </w:p>
        </w:tc>
      </w:tr>
      <w:tr>
        <w:trPr>
          <w:trHeight w:val="186"/>
        </w:trPr>
        <w:tc>
          <w:tcPr>
            <w:tcW w:w="6620" w:type="dxa"/>
            <w:vAlign w:val="bottom"/>
          </w:tcPr>
          <w:p>
            <w:pPr>
              <w:jc w:val="center"/>
              <w:ind w:left="21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6"/>
                <w:szCs w:val="16"/>
                <w:color w:val="auto"/>
              </w:rPr>
            </w:pPr>
          </w:p>
        </w:tc>
      </w:tr>
      <w:tr>
        <w:trPr>
          <w:trHeight w:val="394"/>
        </w:trPr>
        <w:tc>
          <w:tcPr>
            <w:tcW w:w="6620" w:type="dxa"/>
            <w:vAlign w:val="bottom"/>
          </w:tcPr>
          <w:p>
            <w:pPr>
              <w:jc w:val="center"/>
              <w:ind w:left="2139"/>
              <w:spacing w:after="0"/>
              <w:rPr>
                <w:sz w:val="20"/>
                <w:szCs w:val="20"/>
                <w:color w:val="auto"/>
              </w:rPr>
            </w:pPr>
            <w:r>
              <w:rPr>
                <w:rFonts w:ascii="Arial" w:cs="Arial" w:eastAsia="Arial" w:hAnsi="Arial"/>
                <w:sz w:val="18"/>
                <w:szCs w:val="18"/>
                <w:b w:val="1"/>
                <w:bCs w:val="1"/>
                <w:color w:val="auto"/>
                <w:w w:val="92"/>
              </w:rPr>
              <w:t>Not Applicable</w:t>
            </w:r>
          </w:p>
        </w:tc>
        <w:tc>
          <w:tcPr>
            <w:tcW w:w="1300" w:type="dxa"/>
            <w:vAlign w:val="bottom"/>
          </w:tcPr>
          <w:p>
            <w:pPr>
              <w:spacing w:after="0"/>
              <w:rPr>
                <w:sz w:val="24"/>
                <w:szCs w:val="24"/>
                <w:color w:val="auto"/>
              </w:rPr>
            </w:pPr>
          </w:p>
        </w:tc>
      </w:tr>
      <w:tr>
        <w:trPr>
          <w:trHeight w:val="186"/>
        </w:trPr>
        <w:tc>
          <w:tcPr>
            <w:tcW w:w="6620" w:type="dxa"/>
            <w:vAlign w:val="bottom"/>
          </w:tcPr>
          <w:p>
            <w:pPr>
              <w:jc w:val="center"/>
              <w:ind w:left="21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December 19, 2016, Roper Technologies, Inc. (the “Company”) consummated the issuance and sale of $500,000,000 principal amount of its 2.800% Senior Notes due 2021 (the “2021 Notes”) and $700,000,000 principal amount of its 3.800% Senior Notes due 2026 (the “2026 Notes”, together with the 2021 Notes, the “Notes”) pursuant to an underwriting agreement dated December 8, 2016 between the Company and J.P. Morgan Securities LLC, Merrill Lynch, Pierce, Fenner &amp; Smith Incorporated and Wells Fargo Securities, LLC, as representatives of the several underwriters named therein. The Notes have been issued pursuant to an Indenture dated as of August 4, 2008 (the “Indenture”) between the Company and Wells Fargo Bank, National Association, as trustee.</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Notes have been offered pursuant to the Company’s Registration Statement on Form S-3ASR dated November 24, 2015 (Reg. No. 333-208200), including the prospectus contained therein (the “Registration Statement”), and a related preliminary prospectus supplement dated December 8, 2016 and a final prospectus supplement dated December 8, 2016.</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material terms and conditions of the Notes are set forth in the Officer’s Certificate filed herewith as Exhibit 4.1 and incorporated by reference herein and in the Indenture filed as Exhibit 4.2 to the Company Quarterly Report on Form 10-Q filed with the Securities and Exchange Commission on November 7, 2008.</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 w:type="dxa"/>
            <w:vAlign w:val="bottom"/>
          </w:tcPr>
          <w:p>
            <w:pPr>
              <w:spacing w:after="0"/>
              <w:rPr>
                <w:sz w:val="20"/>
                <w:szCs w:val="20"/>
                <w:color w:val="auto"/>
              </w:rPr>
            </w:pPr>
          </w:p>
        </w:tc>
        <w:tc>
          <w:tcPr>
            <w:tcW w:w="6260" w:type="dxa"/>
            <w:vAlign w:val="bottom"/>
            <w:gridSpan w:val="2"/>
          </w:tcPr>
          <w:p>
            <w:pPr>
              <w:ind w:left="3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432"/>
        </w:trPr>
        <w:tc>
          <w:tcPr>
            <w:tcW w:w="7300" w:type="dxa"/>
            <w:vAlign w:val="bottom"/>
            <w:gridSpan w:val="5"/>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373"/>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67"/>
        </w:trPr>
        <w:tc>
          <w:tcPr>
            <w:tcW w:w="940" w:type="dxa"/>
            <w:vAlign w:val="bottom"/>
            <w:gridSpan w:val="2"/>
          </w:tcPr>
          <w:p>
            <w:pPr>
              <w:spacing w:after="0" w:line="147" w:lineRule="exact"/>
              <w:rPr>
                <w:sz w:val="20"/>
                <w:szCs w:val="20"/>
                <w:color w:val="auto"/>
              </w:rPr>
            </w:pPr>
            <w:r>
              <w:rPr>
                <w:rFonts w:ascii="Arial" w:cs="Arial" w:eastAsia="Arial" w:hAnsi="Arial"/>
                <w:sz w:val="14"/>
                <w:szCs w:val="14"/>
                <w:color w:val="auto"/>
              </w:rPr>
              <w:t>Number</w:t>
            </w:r>
          </w:p>
        </w:tc>
        <w:tc>
          <w:tcPr>
            <w:tcW w:w="6360" w:type="dxa"/>
            <w:vAlign w:val="bottom"/>
            <w:gridSpan w:val="3"/>
          </w:tcPr>
          <w:p>
            <w:pPr>
              <w:ind w:left="100"/>
              <w:spacing w:after="0" w:line="147" w:lineRule="exact"/>
              <w:rPr>
                <w:sz w:val="20"/>
                <w:szCs w:val="20"/>
                <w:color w:val="auto"/>
              </w:rPr>
            </w:pPr>
            <w:r>
              <w:rPr>
                <w:rFonts w:ascii="Arial" w:cs="Arial" w:eastAsia="Arial" w:hAnsi="Arial"/>
                <w:sz w:val="14"/>
                <w:szCs w:val="14"/>
                <w:color w:val="auto"/>
              </w:rPr>
              <w:t>Description</w:t>
            </w: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305"/>
        </w:trPr>
        <w:tc>
          <w:tcPr>
            <w:tcW w:w="48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6360" w:type="dxa"/>
            <w:vAlign w:val="bottom"/>
            <w:gridSpan w:val="3"/>
          </w:tcPr>
          <w:p>
            <w:pPr>
              <w:ind w:left="100"/>
              <w:spacing w:after="0"/>
              <w:rPr>
                <w:sz w:val="20"/>
                <w:szCs w:val="20"/>
                <w:color w:val="auto"/>
              </w:rPr>
            </w:pPr>
            <w:r>
              <w:rPr>
                <w:rFonts w:ascii="Arial" w:cs="Arial" w:eastAsia="Arial" w:hAnsi="Arial"/>
                <w:sz w:val="18"/>
                <w:szCs w:val="18"/>
                <w:color w:val="auto"/>
                <w:w w:val="91"/>
              </w:rPr>
              <w:t>Officer’s Certificate setting forth the terms of the Notes (with forms of Notes attached)</w:t>
            </w:r>
          </w:p>
        </w:tc>
      </w:tr>
      <w:tr>
        <w:trPr>
          <w:trHeight w:val="324"/>
        </w:trPr>
        <w:tc>
          <w:tcPr>
            <w:tcW w:w="48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6360" w:type="dxa"/>
            <w:vAlign w:val="bottom"/>
            <w:gridSpan w:val="3"/>
          </w:tcPr>
          <w:p>
            <w:pPr>
              <w:ind w:left="100"/>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480" w:type="dxa"/>
            <w:vAlign w:val="bottom"/>
          </w:tcPr>
          <w:p>
            <w:pPr>
              <w:jc w:val="right"/>
              <w:ind w:right="74"/>
              <w:spacing w:after="0"/>
              <w:rPr>
                <w:sz w:val="20"/>
                <w:szCs w:val="20"/>
                <w:color w:val="auto"/>
              </w:rPr>
            </w:pPr>
            <w:r>
              <w:rPr>
                <w:rFonts w:ascii="Arial" w:cs="Arial" w:eastAsia="Arial" w:hAnsi="Arial"/>
                <w:sz w:val="18"/>
                <w:szCs w:val="18"/>
                <w:color w:val="auto"/>
                <w:w w:val="85"/>
              </w:rPr>
              <w:t>23.1</w:t>
            </w:r>
          </w:p>
        </w:tc>
        <w:tc>
          <w:tcPr>
            <w:tcW w:w="460" w:type="dxa"/>
            <w:vAlign w:val="bottom"/>
          </w:tcPr>
          <w:p>
            <w:pPr>
              <w:spacing w:after="0"/>
              <w:rPr>
                <w:sz w:val="24"/>
                <w:szCs w:val="24"/>
                <w:color w:val="auto"/>
              </w:rPr>
            </w:pPr>
          </w:p>
        </w:tc>
        <w:tc>
          <w:tcPr>
            <w:tcW w:w="6360" w:type="dxa"/>
            <w:vAlign w:val="bottom"/>
            <w:gridSpan w:val="3"/>
          </w:tcPr>
          <w:p>
            <w:pPr>
              <w:ind w:left="100"/>
              <w:spacing w:after="0"/>
              <w:rPr>
                <w:sz w:val="20"/>
                <w:szCs w:val="20"/>
                <w:color w:val="auto"/>
              </w:rPr>
            </w:pPr>
            <w:r>
              <w:rPr>
                <w:rFonts w:ascii="Arial" w:cs="Arial" w:eastAsia="Arial" w:hAnsi="Arial"/>
                <w:sz w:val="18"/>
                <w:szCs w:val="18"/>
                <w:color w:val="auto"/>
              </w:rPr>
              <w:t>Consent of Davis Polk &amp; Wardwell LLP (contained in Exhibit 5.1)</w:t>
            </w:r>
          </w:p>
        </w:tc>
      </w:tr>
    </w:tbl>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Roper Technologies, Inc.</w:t>
      </w:r>
    </w:p>
    <w:p>
      <w:pPr>
        <w:spacing w:after="0" w:line="226" w:lineRule="exact"/>
        <w:rPr>
          <w:sz w:val="20"/>
          <w:szCs w:val="20"/>
          <w:color w:val="auto"/>
        </w:rPr>
      </w:pPr>
    </w:p>
    <w:p>
      <w:pPr>
        <w:spacing w:after="0"/>
        <w:tabs>
          <w:tab w:leader="none" w:pos="5100" w:val="left"/>
          <w:tab w:leader="none" w:pos="5720" w:val="left"/>
        </w:tabs>
        <w:rPr>
          <w:sz w:val="20"/>
          <w:szCs w:val="20"/>
          <w:color w:val="auto"/>
        </w:rPr>
      </w:pPr>
      <w:r>
        <w:rPr>
          <w:rFonts w:ascii="Arial" w:cs="Arial" w:eastAsia="Arial" w:hAnsi="Arial"/>
          <w:sz w:val="18"/>
          <w:szCs w:val="18"/>
          <w:color w:val="auto"/>
        </w:rPr>
        <w:t>Date: December 19,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Humphrey</w:t>
      </w:r>
    </w:p>
    <w:p>
      <w:pPr>
        <w:spacing w:after="0" w:line="23" w:lineRule="exact"/>
        <w:rPr>
          <w:sz w:val="20"/>
          <w:szCs w:val="20"/>
          <w:color w:val="auto"/>
        </w:rPr>
      </w:pPr>
    </w:p>
    <w:tbl>
      <w:tblPr>
        <w:tblLayout w:type="fixed"/>
        <w:tblInd w:w="574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1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John Humphrey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8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40" w:type="dxa"/>
            <w:vAlign w:val="bottom"/>
          </w:tcPr>
          <w:p>
            <w:pPr>
              <w:ind w:left="322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171"/>
        </w:trPr>
        <w:tc>
          <w:tcPr>
            <w:tcW w:w="5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62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05"/>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1"/>
              </w:rPr>
              <w:t>Officer’s Certificate setting forth the terms of the Notes (with forms of Notes attached)</w:t>
            </w: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520" w:type="dxa"/>
            <w:vAlign w:val="bottom"/>
          </w:tcPr>
          <w:p>
            <w:pPr>
              <w:jc w:val="right"/>
              <w:ind w:right="117"/>
              <w:spacing w:after="0"/>
              <w:rPr>
                <w:sz w:val="20"/>
                <w:szCs w:val="20"/>
                <w:color w:val="auto"/>
              </w:rPr>
            </w:pPr>
            <w:r>
              <w:rPr>
                <w:rFonts w:ascii="Arial" w:cs="Arial" w:eastAsia="Arial" w:hAnsi="Arial"/>
                <w:sz w:val="18"/>
                <w:szCs w:val="18"/>
                <w:color w:val="auto"/>
                <w:w w:val="85"/>
              </w:rPr>
              <w:t>23.1</w:t>
            </w:r>
          </w:p>
        </w:tc>
        <w:tc>
          <w:tcPr>
            <w:tcW w:w="56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Consent of Davis Polk &amp; Wardwell LLP (contained in Exhibit 5.1)</w:t>
            </w:r>
          </w:p>
        </w:tc>
      </w:tr>
    </w:tbl>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ROPER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19, 2016</w:t>
      </w:r>
    </w:p>
    <w:p>
      <w:pPr>
        <w:spacing w:after="0" w:line="2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7"/>
          <w:szCs w:val="17"/>
          <w:color w:val="auto"/>
        </w:rPr>
        <w:t>Reference is made to the Indenture dated as of August 4, 2008 (the “</w:t>
      </w:r>
      <w:r>
        <w:rPr>
          <w:rFonts w:ascii="Arial" w:cs="Arial" w:eastAsia="Arial" w:hAnsi="Arial"/>
          <w:sz w:val="17"/>
          <w:szCs w:val="17"/>
          <w:b w:val="1"/>
          <w:bCs w:val="1"/>
          <w:color w:val="auto"/>
        </w:rPr>
        <w:t>Indenture</w:t>
      </w:r>
      <w:r>
        <w:rPr>
          <w:rFonts w:ascii="Arial" w:cs="Arial" w:eastAsia="Arial" w:hAnsi="Arial"/>
          <w:sz w:val="17"/>
          <w:szCs w:val="17"/>
          <w:color w:val="auto"/>
        </w:rPr>
        <w:t>”) between Roper Technologies, Inc. (the “</w:t>
      </w:r>
      <w:r>
        <w:rPr>
          <w:rFonts w:ascii="Arial" w:cs="Arial" w:eastAsia="Arial" w:hAnsi="Arial"/>
          <w:sz w:val="17"/>
          <w:szCs w:val="17"/>
          <w:b w:val="1"/>
          <w:bCs w:val="1"/>
          <w:color w:val="auto"/>
        </w:rPr>
        <w:t>Issuer</w:t>
      </w:r>
      <w:r>
        <w:rPr>
          <w:rFonts w:ascii="Arial" w:cs="Arial" w:eastAsia="Arial" w:hAnsi="Arial"/>
          <w:sz w:val="17"/>
          <w:szCs w:val="17"/>
          <w:color w:val="auto"/>
        </w:rPr>
        <w:t>,”) and Wells Fargo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The Trustee is the trustee for any and all securities issued under the Indenture. Pursuant to Section 2.01 and Section 2.03 of the Indenture the undersigned officer does hereby certify, in connection with the issuance of $500,000,000 aggregate principal amount of 2.800% senior notes due 2021 (the “</w:t>
      </w:r>
      <w:r>
        <w:rPr>
          <w:rFonts w:ascii="Arial" w:cs="Arial" w:eastAsia="Arial" w:hAnsi="Arial"/>
          <w:sz w:val="17"/>
          <w:szCs w:val="17"/>
          <w:b w:val="1"/>
          <w:bCs w:val="1"/>
          <w:color w:val="auto"/>
        </w:rPr>
        <w:t>2021 Notes</w:t>
      </w:r>
      <w:r>
        <w:rPr>
          <w:rFonts w:ascii="Arial" w:cs="Arial" w:eastAsia="Arial" w:hAnsi="Arial"/>
          <w:sz w:val="17"/>
          <w:szCs w:val="17"/>
          <w:color w:val="auto"/>
        </w:rPr>
        <w:t>”) and $700,000,000 aggregate principal amount of 3.800% senior notes due 2026 (the “</w:t>
      </w:r>
      <w:r>
        <w:rPr>
          <w:rFonts w:ascii="Arial" w:cs="Arial" w:eastAsia="Arial" w:hAnsi="Arial"/>
          <w:sz w:val="17"/>
          <w:szCs w:val="17"/>
          <w:b w:val="1"/>
          <w:bCs w:val="1"/>
          <w:color w:val="auto"/>
        </w:rPr>
        <w:t>2026 Notes</w:t>
      </w:r>
      <w:r>
        <w:rPr>
          <w:rFonts w:ascii="Arial" w:cs="Arial" w:eastAsia="Arial" w:hAnsi="Arial"/>
          <w:sz w:val="17"/>
          <w:szCs w:val="17"/>
          <w:color w:val="auto"/>
        </w:rPr>
        <w:t>”, together with the 2021 Notes, the “</w:t>
      </w:r>
      <w:r>
        <w:rPr>
          <w:rFonts w:ascii="Arial" w:cs="Arial" w:eastAsia="Arial" w:hAnsi="Arial"/>
          <w:sz w:val="17"/>
          <w:szCs w:val="17"/>
          <w:b w:val="1"/>
          <w:bCs w:val="1"/>
          <w:color w:val="auto"/>
        </w:rPr>
        <w:t>Notes</w:t>
      </w:r>
      <w:r>
        <w:rPr>
          <w:rFonts w:ascii="Arial" w:cs="Arial" w:eastAsia="Arial" w:hAnsi="Arial"/>
          <w:sz w:val="17"/>
          <w:szCs w:val="17"/>
          <w:color w:val="auto"/>
        </w:rPr>
        <w:t>”) that the terms of the Notes are as follows: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Notes</w:t>
      </w:r>
    </w:p>
    <w:p>
      <w:pPr>
        <w:sectPr>
          <w:pgSz w:w="11900" w:h="16838" w:orient="portrait"/>
          <w:cols w:equalWidth="0" w:num="1">
            <w:col w:w="11420"/>
          </w:cols>
          <w:pgMar w:left="240" w:top="121"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2.800% Senior Notes due 2021</w:t>
      </w:r>
    </w:p>
    <w:p>
      <w:pPr>
        <w:spacing w:after="0" w:line="140"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Roper Technologies, Inc.</w:t>
      </w:r>
    </w:p>
    <w:p>
      <w:pPr>
        <w:spacing w:after="0" w:line="140"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Wells Fargo Bank, National Association</w:t>
      </w:r>
    </w:p>
    <w:p>
      <w:pPr>
        <w:spacing w:after="0" w:line="356" w:lineRule="exact"/>
        <w:rPr>
          <w:sz w:val="20"/>
          <w:szCs w:val="20"/>
          <w:color w:val="auto"/>
        </w:rPr>
      </w:pPr>
    </w:p>
    <w:p>
      <w:pPr>
        <w:sectPr>
          <w:pgSz w:w="11900" w:h="16838" w:orient="portrait"/>
          <w:cols w:equalWidth="0" w:num="2">
            <w:col w:w="2980" w:space="360"/>
            <w:col w:w="80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$500,000,000</w:t>
      </w:r>
    </w:p>
    <w:p>
      <w:pPr>
        <w:spacing w:after="0" w:line="140" w:lineRule="exact"/>
        <w:rPr>
          <w:sz w:val="20"/>
          <w:szCs w:val="20"/>
          <w:color w:val="auto"/>
        </w:rPr>
      </w:pPr>
    </w:p>
    <w:p>
      <w:pPr>
        <w:sectPr>
          <w:pgSz w:w="11900" w:h="16838" w:orient="portrait"/>
          <w:cols w:equalWidth="0" w:num="2">
            <w:col w:w="3000" w:space="340"/>
            <w:col w:w="80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15, 2021</w:t>
      </w:r>
    </w:p>
    <w:p>
      <w:pPr>
        <w:spacing w:after="0" w:line="151"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spacing w:after="0"/>
        <w:rPr>
          <w:sz w:val="20"/>
          <w:szCs w:val="20"/>
          <w:color w:val="auto"/>
        </w:rPr>
      </w:pPr>
      <w:r>
        <w:rPr>
          <w:rFonts w:ascii="Arial" w:cs="Arial" w:eastAsia="Arial" w:hAnsi="Arial"/>
          <w:sz w:val="17"/>
          <w:szCs w:val="17"/>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2.800% per annum</w:t>
      </w:r>
    </w:p>
    <w:p>
      <w:pPr>
        <w:spacing w:after="0" w:line="140"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19, 2016</w:t>
      </w:r>
    </w:p>
    <w:p>
      <w:pPr>
        <w:spacing w:after="0" w:line="151" w:lineRule="exact"/>
        <w:rPr>
          <w:sz w:val="20"/>
          <w:szCs w:val="20"/>
          <w:color w:val="auto"/>
        </w:rPr>
      </w:pPr>
    </w:p>
    <w:p>
      <w:pPr>
        <w:sectPr>
          <w:pgSz w:w="11900" w:h="16838" w:orient="portrait"/>
          <w:cols w:equalWidth="0" w:num="2">
            <w:col w:w="2720" w:space="620"/>
            <w:col w:w="80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June 15 and December 15, commencing on June 15, 2017</w:t>
      </w:r>
    </w:p>
    <w:p>
      <w:pPr>
        <w:spacing w:after="0" w:line="151"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Optional Redemption:</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The Issuer may at its option redeem the 2021 Notes in whole or in part, at any time or from time to time prior to November 15, 2021 (one month prior to maturity date), on at least 30 days’, but not more than 60 days’, prior notice mailed to the registered address of each holder of the 2021 Notes, at a redemption price, calculated by the Issuer, equal to the greater of:</w:t>
      </w:r>
    </w:p>
    <w:p>
      <w:pPr>
        <w:spacing w:after="0" w:line="92" w:lineRule="exact"/>
        <w:rPr>
          <w:sz w:val="20"/>
          <w:szCs w:val="20"/>
          <w:color w:val="auto"/>
        </w:rPr>
      </w:pPr>
    </w:p>
    <w:p>
      <w:pPr>
        <w:sectPr>
          <w:pgSz w:w="11900" w:h="16838" w:orient="portrait"/>
          <w:cols w:equalWidth="0" w:num="2">
            <w:col w:w="2620" w:space="720"/>
            <w:col w:w="8080"/>
          </w:cols>
          <w:pgMar w:left="240" w:top="121" w:right="239" w:bottom="1440" w:gutter="0" w:footer="0" w:header="0"/>
          <w:type w:val="continuous"/>
        </w:sectPr>
      </w:pPr>
    </w:p>
    <w:p>
      <w:pPr>
        <w:ind w:left="3340"/>
        <w:spacing w:after="0"/>
        <w:rPr>
          <w:sz w:val="20"/>
          <w:szCs w:val="20"/>
          <w:color w:val="auto"/>
        </w:rPr>
      </w:pPr>
      <w:r>
        <w:rPr>
          <w:rFonts w:ascii="Arial" w:cs="Arial" w:eastAsia="Arial" w:hAnsi="Arial"/>
          <w:sz w:val="18"/>
          <w:szCs w:val="18"/>
          <w:color w:val="auto"/>
        </w:rPr>
        <w:t>(i) 100% of the principal amount of the 2021 Notes being redeemed; or</w:t>
      </w:r>
    </w:p>
    <w:p>
      <w:pPr>
        <w:spacing w:after="0" w:line="131" w:lineRule="exact"/>
        <w:rPr>
          <w:sz w:val="20"/>
          <w:szCs w:val="20"/>
          <w:color w:val="auto"/>
        </w:rPr>
      </w:pPr>
    </w:p>
    <w:p>
      <w:pPr>
        <w:ind w:left="3340" w:right="160"/>
        <w:spacing w:after="0" w:line="279" w:lineRule="auto"/>
        <w:rPr>
          <w:sz w:val="20"/>
          <w:szCs w:val="20"/>
          <w:color w:val="auto"/>
        </w:rPr>
      </w:pPr>
      <w:r>
        <w:rPr>
          <w:rFonts w:ascii="Arial" w:cs="Arial" w:eastAsia="Arial" w:hAnsi="Arial"/>
          <w:sz w:val="17"/>
          <w:szCs w:val="17"/>
          <w:color w:val="auto"/>
        </w:rPr>
        <w:t>(ii) the sum of the present values of the remaining scheduled payments of principal and interest thereon (exclusive of interest accrued as of the date of redemption) discounted to the redemption date on a semiannual basis (assuming a 360-day year consisting of twelve 30-day months) of the 2021 Notes being redeemed at the Treasury Rate (as defined in the 2021 Notes) plus 15 basis points,</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Mandatory Redemption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Sinking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plus, in each case, accrued and unpaid interest thereon to the date of redemption (such excess, if any, of (ii) over (i) with respect to the 2021 Notes, the “2021 Notes Make-Whole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-387985</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6"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For the avoidance of doubt, the requirement to pay any 2021 Notes Make-Whole Premium shall only arise in connection with the Issuer’s voluntary election, if any, to redeem the 2021 Notes, and no 2021 Notes Make-Whole Premium in respect of the 2021 Notes shall be payable as a result of any default or event of default.</w:t>
      </w:r>
    </w:p>
    <w:p>
      <w:pPr>
        <w:spacing w:after="0" w:line="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any time on or after November 15, 2021 (one month prior to the maturity date), the Issuer may redeem the 2021 Notes, in whole or in part, at a redemption price equal to 100% of the principal amount of the 2021 Notes, plus accrued and unpaid interest thereon to the date of redemption.</w:t>
      </w:r>
    </w:p>
    <w:p>
      <w:pPr>
        <w:spacing w:after="0" w:line="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If the closing of the Deltek acquisition described in the prospectus supplement has not occurred on or prior to the earlier of (i) March 6, 2017 and (ii) the date the purchase agreement is terminated, the Issuer will be required to redeem all outstanding 2021 Notes at a redemption price equal to 101% of the aggregate principal amount plus accrued and unpaid interest, if any, to, but excluding, the special mandatory redemption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terms of the 2021 Notes shall include such other terms as are set forth in the form of 2021 Notes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and in the Indenture.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3.800% Senior Notes due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Roper Technologies,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$700,000,000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3.800%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15 and December 15, commencing on June 15, 2017</w:t>
      </w:r>
    </w:p>
    <w:p>
      <w:pPr>
        <w:sectPr>
          <w:pgSz w:w="11900" w:h="16838" w:orient="portrait"/>
          <w:cols w:equalWidth="0" w:num="2">
            <w:col w:w="3000" w:space="340"/>
            <w:col w:w="8060"/>
          </w:cols>
          <w:pgMar w:left="240" w:top="274"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i w:val="1"/>
                <w:iCs w:val="1"/>
                <w:color w:val="auto"/>
              </w:rPr>
              <w:t>Optional Redemption:</w:t>
            </w: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1"/>
              </w:rPr>
              <w:t>The Issuer may at its option redeem the 2026 Notes in whole or in part, at any time or from time to time prior to</w:t>
            </w:r>
          </w:p>
        </w:tc>
      </w:tr>
      <w:tr>
        <w:trPr>
          <w:trHeight w:val="216"/>
        </w:trPr>
        <w:tc>
          <w:tcPr>
            <w:tcW w:w="2800" w:type="dxa"/>
            <w:vAlign w:val="bottom"/>
          </w:tcPr>
          <w:p>
            <w:pPr>
              <w:spacing w:after="0"/>
              <w:rPr>
                <w:sz w:val="18"/>
                <w:szCs w:val="18"/>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0"/>
              </w:rPr>
              <w:t>September 15, 2026 (three months prior to maturity date), on at least 30 days’, but not more than 60 days’, prior</w:t>
            </w:r>
          </w:p>
        </w:tc>
      </w:tr>
      <w:tr>
        <w:trPr>
          <w:trHeight w:val="216"/>
        </w:trPr>
        <w:tc>
          <w:tcPr>
            <w:tcW w:w="2800" w:type="dxa"/>
            <w:vAlign w:val="bottom"/>
          </w:tcPr>
          <w:p>
            <w:pPr>
              <w:spacing w:after="0"/>
              <w:rPr>
                <w:sz w:val="18"/>
                <w:szCs w:val="18"/>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2"/>
              </w:rPr>
              <w:t>notice mailed to the registered address of each holder of the 2026 Notes, at a redemption price, calculated by</w:t>
            </w:r>
          </w:p>
        </w:tc>
      </w:tr>
      <w:tr>
        <w:trPr>
          <w:trHeight w:val="230"/>
        </w:trPr>
        <w:tc>
          <w:tcPr>
            <w:tcW w:w="2800" w:type="dxa"/>
            <w:vAlign w:val="bottom"/>
          </w:tcPr>
          <w:p>
            <w:pPr>
              <w:spacing w:after="0"/>
              <w:rPr>
                <w:sz w:val="20"/>
                <w:szCs w:val="20"/>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rPr>
              <w:t>the Issuer, equal to the greater of:</w:t>
            </w:r>
          </w:p>
        </w:tc>
      </w:tr>
      <w:tr>
        <w:trPr>
          <w:trHeight w:val="338"/>
        </w:trPr>
        <w:tc>
          <w:tcPr>
            <w:tcW w:w="2800" w:type="dxa"/>
            <w:vAlign w:val="bottom"/>
          </w:tcPr>
          <w:p>
            <w:pPr>
              <w:spacing w:after="0"/>
              <w:rPr>
                <w:sz w:val="24"/>
                <w:szCs w:val="24"/>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rPr>
              <w:t>(i) 100% of the principal amount of the 2026 Notes being redeemed; or</w:t>
            </w:r>
          </w:p>
        </w:tc>
      </w:tr>
      <w:tr>
        <w:trPr>
          <w:trHeight w:val="323"/>
        </w:trPr>
        <w:tc>
          <w:tcPr>
            <w:tcW w:w="2800" w:type="dxa"/>
            <w:vAlign w:val="bottom"/>
          </w:tcPr>
          <w:p>
            <w:pPr>
              <w:spacing w:after="0"/>
              <w:rPr>
                <w:sz w:val="24"/>
                <w:szCs w:val="24"/>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7"/>
              </w:rPr>
              <w:t>(ii) the sum of the present values of the remaining scheduled payments of principal and interest thereon</w:t>
            </w:r>
          </w:p>
        </w:tc>
      </w:tr>
      <w:tr>
        <w:trPr>
          <w:trHeight w:val="216"/>
        </w:trPr>
        <w:tc>
          <w:tcPr>
            <w:tcW w:w="2800" w:type="dxa"/>
            <w:vAlign w:val="bottom"/>
          </w:tcPr>
          <w:p>
            <w:pPr>
              <w:spacing w:after="0"/>
              <w:rPr>
                <w:sz w:val="18"/>
                <w:szCs w:val="18"/>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1"/>
              </w:rPr>
              <w:t>(exclusive of interest accrued as of the date of redemption) discounted to the redemption date on a semiannual</w:t>
            </w:r>
          </w:p>
        </w:tc>
      </w:tr>
      <w:tr>
        <w:trPr>
          <w:trHeight w:val="216"/>
        </w:trPr>
        <w:tc>
          <w:tcPr>
            <w:tcW w:w="2800" w:type="dxa"/>
            <w:vAlign w:val="bottom"/>
          </w:tcPr>
          <w:p>
            <w:pPr>
              <w:spacing w:after="0"/>
              <w:rPr>
                <w:sz w:val="18"/>
                <w:szCs w:val="18"/>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1"/>
              </w:rPr>
              <w:t>basis (assuming a 360-day year consisting of twelve 30-day months) of the 2026 Notes being redeemed at the</w:t>
            </w:r>
          </w:p>
        </w:tc>
      </w:tr>
      <w:tr>
        <w:trPr>
          <w:trHeight w:val="230"/>
        </w:trPr>
        <w:tc>
          <w:tcPr>
            <w:tcW w:w="2800" w:type="dxa"/>
            <w:vAlign w:val="bottom"/>
          </w:tcPr>
          <w:p>
            <w:pPr>
              <w:spacing w:after="0"/>
              <w:rPr>
                <w:sz w:val="20"/>
                <w:szCs w:val="20"/>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rPr>
              <w:t>Treasury Rate (as defined in the 2026 Notes) plus 25 basis points,</w:t>
            </w:r>
          </w:p>
        </w:tc>
      </w:tr>
      <w:tr>
        <w:trPr>
          <w:trHeight w:val="323"/>
        </w:trPr>
        <w:tc>
          <w:tcPr>
            <w:tcW w:w="2800" w:type="dxa"/>
            <w:vAlign w:val="bottom"/>
          </w:tcPr>
          <w:p>
            <w:pPr>
              <w:spacing w:after="0"/>
              <w:rPr>
                <w:sz w:val="24"/>
                <w:szCs w:val="24"/>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89"/>
              </w:rPr>
              <w:t>plus, in each case, accrued and unpaid interest thereon to the date of redemption (such excess, if any, of (ii) over</w:t>
            </w:r>
          </w:p>
        </w:tc>
      </w:tr>
      <w:tr>
        <w:trPr>
          <w:trHeight w:val="230"/>
        </w:trPr>
        <w:tc>
          <w:tcPr>
            <w:tcW w:w="2800" w:type="dxa"/>
            <w:vAlign w:val="bottom"/>
          </w:tcPr>
          <w:p>
            <w:pPr>
              <w:spacing w:after="0"/>
              <w:rPr>
                <w:sz w:val="20"/>
                <w:szCs w:val="20"/>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rPr>
              <w:t>(i) with respect to the 2026 Notes, the “2026 Notes Make-Whole Premium”).</w:t>
            </w:r>
          </w:p>
        </w:tc>
      </w:tr>
      <w:tr>
        <w:trPr>
          <w:trHeight w:val="323"/>
        </w:trPr>
        <w:tc>
          <w:tcPr>
            <w:tcW w:w="2800" w:type="dxa"/>
            <w:vAlign w:val="bottom"/>
          </w:tcPr>
          <w:p>
            <w:pPr>
              <w:spacing w:after="0"/>
              <w:rPr>
                <w:sz w:val="24"/>
                <w:szCs w:val="24"/>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3"/>
              </w:rPr>
              <w:t>For the avoidance of doubt, the requirement to pay any 2026 Notes Make-Whole Premium shall only arise in</w:t>
            </w:r>
          </w:p>
        </w:tc>
      </w:tr>
      <w:tr>
        <w:trPr>
          <w:trHeight w:val="216"/>
        </w:trPr>
        <w:tc>
          <w:tcPr>
            <w:tcW w:w="2800" w:type="dxa"/>
            <w:vAlign w:val="bottom"/>
          </w:tcPr>
          <w:p>
            <w:pPr>
              <w:spacing w:after="0"/>
              <w:rPr>
                <w:sz w:val="18"/>
                <w:szCs w:val="18"/>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4"/>
              </w:rPr>
              <w:t>connection with the Issuer’s voluntary election, if any, to redeem the 2026 Notes, and no 2026 Make-Whole</w:t>
            </w:r>
          </w:p>
        </w:tc>
      </w:tr>
      <w:tr>
        <w:trPr>
          <w:trHeight w:val="230"/>
        </w:trPr>
        <w:tc>
          <w:tcPr>
            <w:tcW w:w="2800" w:type="dxa"/>
            <w:vAlign w:val="bottom"/>
          </w:tcPr>
          <w:p>
            <w:pPr>
              <w:spacing w:after="0"/>
              <w:rPr>
                <w:sz w:val="20"/>
                <w:szCs w:val="20"/>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rPr>
              <w:t>Premium in respect of the 2026 Notes shall be payable as a result of any default or event of default.</w:t>
            </w:r>
          </w:p>
        </w:tc>
      </w:tr>
      <w:tr>
        <w:trPr>
          <w:trHeight w:val="323"/>
        </w:trPr>
        <w:tc>
          <w:tcPr>
            <w:tcW w:w="2800" w:type="dxa"/>
            <w:vAlign w:val="bottom"/>
          </w:tcPr>
          <w:p>
            <w:pPr>
              <w:spacing w:after="0"/>
              <w:rPr>
                <w:sz w:val="24"/>
                <w:szCs w:val="24"/>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0"/>
              </w:rPr>
              <w:t>At any time on or after September 15, 2026 (three months prior to the maturity date), the Issuer may redeem the</w:t>
            </w:r>
          </w:p>
        </w:tc>
      </w:tr>
      <w:tr>
        <w:trPr>
          <w:trHeight w:val="216"/>
        </w:trPr>
        <w:tc>
          <w:tcPr>
            <w:tcW w:w="2800" w:type="dxa"/>
            <w:vAlign w:val="bottom"/>
          </w:tcPr>
          <w:p>
            <w:pPr>
              <w:spacing w:after="0"/>
              <w:rPr>
                <w:sz w:val="18"/>
                <w:szCs w:val="18"/>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1"/>
              </w:rPr>
              <w:t>2026 Notes, in whole or in part, at a redemption price equal to 100% of the principal amount of the 2026 Notes,</w:t>
            </w:r>
          </w:p>
        </w:tc>
      </w:tr>
      <w:tr>
        <w:trPr>
          <w:trHeight w:val="230"/>
        </w:trPr>
        <w:tc>
          <w:tcPr>
            <w:tcW w:w="2800" w:type="dxa"/>
            <w:vAlign w:val="bottom"/>
          </w:tcPr>
          <w:p>
            <w:pPr>
              <w:spacing w:after="0"/>
              <w:rPr>
                <w:sz w:val="20"/>
                <w:szCs w:val="20"/>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rPr>
              <w:t>plus accrued and unpaid interest thereon to the date of redemption.</w:t>
            </w:r>
          </w:p>
        </w:tc>
      </w:tr>
      <w:tr>
        <w:trPr>
          <w:trHeight w:val="323"/>
        </w:trPr>
        <w:tc>
          <w:tcPr>
            <w:tcW w:w="2800" w:type="dxa"/>
            <w:vAlign w:val="bottom"/>
          </w:tcPr>
          <w:p>
            <w:pPr>
              <w:spacing w:after="0"/>
              <w:rPr>
                <w:sz w:val="20"/>
                <w:szCs w:val="20"/>
                <w:color w:val="auto"/>
              </w:rPr>
            </w:pPr>
            <w:r>
              <w:rPr>
                <w:rFonts w:ascii="Arial" w:cs="Arial" w:eastAsia="Arial" w:hAnsi="Arial"/>
                <w:sz w:val="18"/>
                <w:szCs w:val="18"/>
                <w:i w:val="1"/>
                <w:iCs w:val="1"/>
                <w:color w:val="auto"/>
              </w:rPr>
              <w:t>Special Mandatory Redemption</w:t>
            </w: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2"/>
              </w:rPr>
              <w:t>If the closing of the Deltek acquisition described in the prospectus supplement has not occurred on or prior to</w:t>
            </w:r>
          </w:p>
        </w:tc>
      </w:tr>
      <w:tr>
        <w:trPr>
          <w:trHeight w:val="216"/>
        </w:trPr>
        <w:tc>
          <w:tcPr>
            <w:tcW w:w="2800" w:type="dxa"/>
            <w:vAlign w:val="bottom"/>
          </w:tcPr>
          <w:p>
            <w:pPr>
              <w:spacing w:after="0"/>
              <w:rPr>
                <w:sz w:val="18"/>
                <w:szCs w:val="18"/>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7"/>
              </w:rPr>
              <w:t>the earlier of (i) March 6, 2017 and (ii) the date the purchase agreement is terminated, the Issuer will be</w:t>
            </w:r>
          </w:p>
        </w:tc>
      </w:tr>
      <w:tr>
        <w:trPr>
          <w:trHeight w:val="216"/>
        </w:trPr>
        <w:tc>
          <w:tcPr>
            <w:tcW w:w="2800" w:type="dxa"/>
            <w:vAlign w:val="bottom"/>
          </w:tcPr>
          <w:p>
            <w:pPr>
              <w:spacing w:after="0"/>
              <w:rPr>
                <w:sz w:val="18"/>
                <w:szCs w:val="18"/>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2"/>
              </w:rPr>
              <w:t>required to redeem all outstanding 2026 Notes at a redemption price equal to 101% of the aggregate principal</w:t>
            </w:r>
          </w:p>
        </w:tc>
      </w:tr>
      <w:tr>
        <w:trPr>
          <w:trHeight w:val="230"/>
        </w:trPr>
        <w:tc>
          <w:tcPr>
            <w:tcW w:w="2800" w:type="dxa"/>
            <w:vAlign w:val="bottom"/>
          </w:tcPr>
          <w:p>
            <w:pPr>
              <w:spacing w:after="0"/>
              <w:rPr>
                <w:sz w:val="20"/>
                <w:szCs w:val="20"/>
                <w:color w:val="auto"/>
              </w:rPr>
            </w:pP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5"/>
              </w:rPr>
              <w:t>amount plus accrued and unpaid interest, if any, to, but excluding, the special mandatory redemption date.</w:t>
            </w:r>
          </w:p>
        </w:tc>
      </w:tr>
      <w:tr>
        <w:trPr>
          <w:trHeight w:val="324"/>
        </w:trPr>
        <w:tc>
          <w:tcPr>
            <w:tcW w:w="28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rPr>
              <w:t>None</w:t>
            </w:r>
          </w:p>
        </w:tc>
      </w:tr>
      <w:tr>
        <w:trPr>
          <w:trHeight w:val="324"/>
        </w:trPr>
        <w:tc>
          <w:tcPr>
            <w:tcW w:w="28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rPr>
              <w:t>None</w:t>
            </w:r>
          </w:p>
        </w:tc>
      </w:tr>
      <w:tr>
        <w:trPr>
          <w:trHeight w:val="324"/>
        </w:trPr>
        <w:tc>
          <w:tcPr>
            <w:tcW w:w="2800" w:type="dxa"/>
            <w:vAlign w:val="bottom"/>
          </w:tcPr>
          <w:p>
            <w:pPr>
              <w:spacing w:after="0"/>
              <w:rPr>
                <w:sz w:val="20"/>
                <w:szCs w:val="20"/>
                <w:color w:val="auto"/>
              </w:rPr>
            </w:pPr>
            <w:r>
              <w:rPr>
                <w:rFonts w:ascii="Arial" w:cs="Arial" w:eastAsia="Arial" w:hAnsi="Arial"/>
                <w:sz w:val="18"/>
                <w:szCs w:val="18"/>
                <w:i w:val="1"/>
                <w:iCs w:val="1"/>
                <w:color w:val="auto"/>
              </w:rPr>
              <w:t>Denominations:</w:t>
            </w: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rPr>
              <w:t>$2,000 and multiples of $1,000 thereafter</w:t>
            </w:r>
          </w:p>
        </w:tc>
      </w:tr>
      <w:tr>
        <w:trPr>
          <w:trHeight w:val="306"/>
        </w:trPr>
        <w:tc>
          <w:tcPr>
            <w:tcW w:w="28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600" w:type="dxa"/>
            <w:vAlign w:val="bottom"/>
            <w:gridSpan w:val="3"/>
          </w:tcPr>
          <w:p>
            <w:pPr>
              <w:ind w:left="540"/>
              <w:spacing w:after="0"/>
              <w:rPr>
                <w:sz w:val="20"/>
                <w:szCs w:val="20"/>
                <w:color w:val="auto"/>
              </w:rPr>
            </w:pPr>
            <w:r>
              <w:rPr>
                <w:rFonts w:ascii="Arial" w:cs="Arial" w:eastAsia="Arial" w:hAnsi="Arial"/>
                <w:sz w:val="18"/>
                <w:szCs w:val="18"/>
                <w:color w:val="auto"/>
                <w:w w:val="91"/>
              </w:rPr>
              <w:t>The terms of the 2026 Notes shall include such other terms as are set forth in the form of 2026 Notes attached</w:t>
            </w:r>
          </w:p>
        </w:tc>
      </w:tr>
      <w:tr>
        <w:trPr>
          <w:trHeight w:val="194"/>
        </w:trPr>
        <w:tc>
          <w:tcPr>
            <w:tcW w:w="2800" w:type="dxa"/>
            <w:vAlign w:val="bottom"/>
          </w:tcPr>
          <w:p>
            <w:pPr>
              <w:spacing w:after="0"/>
              <w:rPr>
                <w:sz w:val="16"/>
                <w:szCs w:val="16"/>
                <w:color w:val="auto"/>
              </w:rPr>
            </w:pPr>
          </w:p>
        </w:tc>
        <w:tc>
          <w:tcPr>
            <w:tcW w:w="8600" w:type="dxa"/>
            <w:vAlign w:val="bottom"/>
            <w:gridSpan w:val="3"/>
          </w:tcPr>
          <w:p>
            <w:pPr>
              <w:ind w:left="540"/>
              <w:spacing w:after="0" w:line="194"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in the Indenture.</w:t>
            </w:r>
          </w:p>
        </w:tc>
      </w:tr>
      <w:tr>
        <w:trPr>
          <w:trHeight w:val="20"/>
        </w:trPr>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20" w:firstLine="456"/>
        <w:spacing w:after="0" w:line="257" w:lineRule="auto"/>
        <w:rPr>
          <w:sz w:val="20"/>
          <w:szCs w:val="20"/>
          <w:color w:val="auto"/>
        </w:rPr>
      </w:pPr>
      <w:r>
        <w:rPr>
          <w:rFonts w:ascii="Arial" w:cs="Arial" w:eastAsia="Arial" w:hAnsi="Arial"/>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Notes issued on the issue date, other than with respect to the date of issuance and the issue price (together the “</w:t>
      </w:r>
      <w:r>
        <w:rPr>
          <w:rFonts w:ascii="Arial" w:cs="Arial" w:eastAsia="Arial" w:hAnsi="Arial"/>
          <w:sz w:val="18"/>
          <w:szCs w:val="18"/>
          <w:b w:val="1"/>
          <w:bCs w:val="1"/>
          <w:color w:val="auto"/>
        </w:rPr>
        <w:t>Additional Notes</w:t>
      </w:r>
      <w:r>
        <w:rPr>
          <w:rFonts w:ascii="Arial" w:cs="Arial" w:eastAsia="Arial" w:hAnsi="Arial"/>
          <w:sz w:val="18"/>
          <w:szCs w:val="18"/>
          <w:color w:val="auto"/>
        </w:rPr>
        <w:t>”). Any Additional Notes will be issued in accordance with Section 2.03 of the Indenture.</w:t>
      </w:r>
    </w:p>
    <w:p>
      <w:pPr>
        <w:sectPr>
          <w:pgSz w:w="11900" w:h="16838" w:orient="portrait"/>
          <w:cols w:equalWidth="0" w:num="1">
            <w:col w:w="11400"/>
          </w:cols>
          <w:pgMar w:left="240" w:top="274" w:right="259" w:bottom="1440" w:gutter="0" w:footer="0" w:header="0"/>
        </w:sectPr>
      </w:pPr>
    </w:p>
    <w:bookmarkStart w:id="7" w:name="page8"/>
    <w:bookmarkEnd w:id="7"/>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officer has read and understands the provisions of the Indenture and the definitions relating thereto. The statements made in this Officer’s Certificate are based upon the examination of the provisions of the Indenture and upon the relevant books and records of the Issuer. In such officer’s opinion, he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1320"/>
          </w:cols>
          <w:pgMar w:left="240" w:top="274" w:right="3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I have signed this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18,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ROPER TECHNOLOGIES,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Stipancich</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5"/>
          <w:szCs w:val="15"/>
          <w:color w:val="auto"/>
        </w:rPr>
        <w:t>Title:</w:t>
        <w:tab/>
        <w:t>Vice President, General Counsel and Secretary</w:t>
      </w: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Indenture</w:t>
      </w:r>
      <w:r>
        <w:rPr>
          <w:rFonts w:ascii="Arial" w:cs="Arial" w:eastAsia="Arial" w:hAnsi="Arial"/>
          <w:sz w:val="18"/>
          <w:szCs w:val="18"/>
          <w:color w:val="auto"/>
        </w:rPr>
        <w:t>]</w:t>
      </w:r>
    </w:p>
    <w:p>
      <w:pPr>
        <w:sectPr>
          <w:pgSz w:w="11900" w:h="16838" w:orient="portrait"/>
          <w:cols w:equalWidth="0" w:num="1">
            <w:col w:w="11140"/>
          </w:cols>
          <w:pgMar w:left="240" w:top="274" w:right="5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Global Note]</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jc w:val="both"/>
        <w:ind w:right="800" w:firstLine="456"/>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ROPER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2.800% Senior Notes due 2021</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776743AC0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US776743AC03</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7023100</wp:posOffset>
            </wp:positionH>
            <wp:positionV relativeFrom="paragraph">
              <wp:posOffset>-10160</wp:posOffset>
            </wp:positionV>
            <wp:extent cx="2286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ROPER TECHNOLOGIES, INC.,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for value received promises to pay to CEDE &amp; CO. or registered assigns the</w:t>
      </w:r>
    </w:p>
    <w:p>
      <w:pPr>
        <w:spacing w:after="0" w:line="50"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principal sum of</w:t>
      </w:r>
      <w:r>
        <w:rPr>
          <w:sz w:val="20"/>
          <w:szCs w:val="20"/>
          <w:color w:val="auto"/>
        </w:rPr>
        <w:tab/>
      </w:r>
      <w:r>
        <w:rPr>
          <w:rFonts w:ascii="Arial" w:cs="Arial" w:eastAsia="Arial" w:hAnsi="Arial"/>
          <w:sz w:val="16"/>
          <w:szCs w:val="16"/>
          <w:color w:val="auto"/>
        </w:rPr>
        <w:t>UNITED STATES DOLLARS on December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-19050</wp:posOffset>
            </wp:positionV>
            <wp:extent cx="571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June 15 and December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June 15,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June 1 and December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ROPER TECHNOLOGIES,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John Stipancich</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5"/>
          <w:szCs w:val="15"/>
          <w:color w:val="auto"/>
        </w:rPr>
        <w:t>Title:</w:t>
        <w:tab/>
        <w:t>Vice President, General Counsel and Secretary</w:t>
      </w:r>
    </w:p>
    <w:p>
      <w:pPr>
        <w:sectPr>
          <w:pgSz w:w="11900" w:h="16838" w:orient="portrait"/>
          <w:cols w:equalWidth="0" w:num="1">
            <w:col w:w="10680"/>
          </w:cols>
          <w:pgMar w:left="700" w:top="274" w:right="51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Dated: December</w:t>
      </w:r>
      <w:r>
        <w:rPr>
          <w:sz w:val="20"/>
          <w:szCs w:val="20"/>
          <w:color w:val="auto"/>
        </w:rPr>
        <w:tab/>
      </w:r>
      <w:r>
        <w:rPr>
          <w:rFonts w:ascii="Arial" w:cs="Arial" w:eastAsia="Arial" w:hAnsi="Arial"/>
          <w:sz w:val="15"/>
          <w:szCs w:val="15"/>
          <w:color w:val="auto"/>
        </w:rPr>
        <w:t>, 2016</w:t>
      </w:r>
    </w:p>
    <w:p>
      <w:pPr>
        <w:spacing w:after="0" w:line="252"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74" w:right="1440"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ROPER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2.800% Senior Notes due 2021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Roper Technologies, Inc. (the “</w:t>
      </w:r>
      <w:r>
        <w:rPr>
          <w:rFonts w:ascii="Arial" w:cs="Arial" w:eastAsia="Arial" w:hAnsi="Arial"/>
          <w:sz w:val="17"/>
          <w:szCs w:val="17"/>
          <w:b w:val="1"/>
          <w:bCs w:val="1"/>
          <w:color w:val="auto"/>
        </w:rPr>
        <w:t>Issuer</w:t>
      </w:r>
      <w:r>
        <w:rPr>
          <w:rFonts w:ascii="Arial" w:cs="Arial" w:eastAsia="Arial" w:hAnsi="Arial"/>
          <w:sz w:val="17"/>
          <w:szCs w:val="17"/>
          <w:color w:val="auto"/>
        </w:rPr>
        <w:t>”) promises to pay interest on the principal amount of this Note at the rate per annum described above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Interest Rate</w:t>
      </w:r>
      <w:r>
        <w:rPr>
          <w:rFonts w:ascii="Arial" w:cs="Arial" w:eastAsia="Arial" w:hAnsi="Arial"/>
          <w:sz w:val="16"/>
          <w:szCs w:val="16"/>
          <w:color w:val="auto"/>
        </w:rPr>
        <w:t>”). Cash interest on the Notes will accrue from the most recent date to which interest has been paid; or, if no interest has been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December 19, 2016. Interest on this Note will be paid to but excluding the relevant Interest Payment Date or on such earlier date as the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become due in accordance with the provisions hereof. The Issuer will pay interest semi-annually in arrears on each Interest Payment Date, commencing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15, 2017. Interest will be computed on the basis of a 360-day year consisting of twelve 30-day months.</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221"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Initially, Wells Fargo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22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This Note is one of the 2.800% Notes due 2021 issued under the indenture dated as of August 4, 2008 (the “</w:t>
      </w:r>
      <w:r>
        <w:rPr>
          <w:rFonts w:ascii="Arial" w:cs="Arial" w:eastAsia="Arial" w:hAnsi="Arial"/>
          <w:sz w:val="18"/>
          <w:szCs w:val="18"/>
          <w:b w:val="1"/>
          <w:bCs w:val="1"/>
          <w:color w:val="auto"/>
        </w:rPr>
        <w:t>Base Indenture</w:t>
      </w:r>
      <w:r>
        <w:rPr>
          <w:rFonts w:ascii="Arial" w:cs="Arial" w:eastAsia="Arial" w:hAnsi="Arial"/>
          <w:sz w:val="18"/>
          <w:szCs w:val="18"/>
          <w:color w:val="auto"/>
        </w:rPr>
        <w:t>”) by and between the Issuer and the Trustee, and established pursuant to an Officer’s Certificate dated December 19, 2016, issued pursuant to Section 2.01 and Section 2.03 thereof (together, the “</w:t>
      </w:r>
      <w:r>
        <w:rPr>
          <w:rFonts w:ascii="Arial" w:cs="Arial" w:eastAsia="Arial" w:hAnsi="Arial"/>
          <w:sz w:val="18"/>
          <w:szCs w:val="18"/>
          <w:b w:val="1"/>
          <w:bCs w:val="1"/>
          <w:color w:val="auto"/>
        </w:rPr>
        <w:t>Indenture</w:t>
      </w:r>
      <w:r>
        <w:rPr>
          <w:rFonts w:ascii="Arial" w:cs="Arial" w:eastAsia="Arial" w:hAnsi="Arial"/>
          <w:sz w:val="18"/>
          <w:szCs w:val="18"/>
          <w:color w:val="auto"/>
        </w:rPr>
        <w:t>”). This Note is a “Security” and the Notes are “Securities” under the Indenture.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those stated in the Indenture and those made part of the Indenture by reference to the Trust Indenture Act of 1939 (15 U.S.C. Sections 77aaa-77bbbb)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Notwithstanding anything to the contrary herein, the Notes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such terms, and holders of Notes are referred to the Indenture and the TIA for a statement of them. To the extent the terms of the Indenture and this Note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inconsistent, except for terms as described under the sections titled “6. Optional Redemption” and “7. Special Mandatory Redemption” (in which case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shall govern), the terms of the Indenture shall govern.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Denominations; Transfer; Exchange.</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ectPr>
          <w:pgSz w:w="11900" w:h="16838" w:orient="portrait"/>
          <w:cols w:equalWidth="0" w:num="1">
            <w:col w:w="11380"/>
          </w:cols>
          <w:pgMar w:left="240" w:top="274" w:right="27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Amendment; Supplement; Waiver.</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defect or inconsistency or comply with any requirements of the Commission in connection with the qualification of the Indenture under the TIA, or make any other change that does not adversely affect the rights of any Holder of a Note.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Optional Redemption.</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Issuer may redeem the Notes in whole or in part, at its option, at any time or from time to time prior to November 15, 2021 (one month prior to maturity date), on at least 30 days’, but not more than 60 days’, prior notice mailed to the registered address of each Holder of the Notes (any such date of redemption, a “</w:t>
      </w:r>
      <w:r>
        <w:rPr>
          <w:rFonts w:ascii="Arial" w:cs="Arial" w:eastAsia="Arial" w:hAnsi="Arial"/>
          <w:sz w:val="18"/>
          <w:szCs w:val="18"/>
          <w:b w:val="1"/>
          <w:bCs w:val="1"/>
          <w:color w:val="auto"/>
        </w:rPr>
        <w:t>Redemption Date</w:t>
      </w:r>
      <w:r>
        <w:rPr>
          <w:rFonts w:ascii="Arial" w:cs="Arial" w:eastAsia="Arial" w:hAnsi="Arial"/>
          <w:sz w:val="18"/>
          <w:szCs w:val="18"/>
          <w:color w:val="auto"/>
        </w:rPr>
        <w:t>”). The redemption price will be equal to the greater of:</w:t>
      </w:r>
    </w:p>
    <w:p>
      <w:pPr>
        <w:spacing w:after="0" w:line="73" w:lineRule="exact"/>
        <w:rPr>
          <w:sz w:val="20"/>
          <w:szCs w:val="20"/>
          <w:color w:val="auto"/>
        </w:rPr>
      </w:pPr>
    </w:p>
    <w:p>
      <w:pPr>
        <w:ind w:left="1560" w:hanging="219"/>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460" w:right="560" w:firstLine="881"/>
        <w:spacing w:after="0" w:line="342" w:lineRule="auto"/>
        <w:tabs>
          <w:tab w:leader="none" w:pos="1601"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discounted to the Redemption Date, on a semi-annual basis (assuming a 360-day year consisting of twelve 30-day months), at a rate equal to the sum of the Treasury Rate plus 15 basis points,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plus, in each case, accrued and unpaid interest thereon to the Redemption Date (such excess, if any, of (ii) over (i), the “</w:t>
      </w:r>
      <w:r>
        <w:rPr>
          <w:rFonts w:ascii="Arial" w:cs="Arial" w:eastAsia="Arial" w:hAnsi="Arial"/>
          <w:sz w:val="16"/>
          <w:szCs w:val="16"/>
          <w:b w:val="1"/>
          <w:bCs w:val="1"/>
          <w:color w:val="auto"/>
        </w:rPr>
        <w:t>Make-Whole Premium</w:t>
      </w:r>
      <w:r>
        <w:rPr>
          <w:rFonts w:ascii="Arial" w:cs="Arial" w:eastAsia="Arial" w:hAnsi="Arial"/>
          <w:sz w:val="16"/>
          <w:szCs w:val="16"/>
          <w:color w:val="auto"/>
        </w:rPr>
        <w:t>”).</w:t>
      </w:r>
    </w:p>
    <w:p>
      <w:pPr>
        <w:spacing w:after="0" w:line="252"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the avoidance of doubt, the requirement to pay any Make-Whole Premium shall only arise in connection with the Issuer’s voluntary election, if any, to redeem the Notes, and no Make-Whole Premium in respect of the Notes shall be payable as a result of any default or event of default.</w:t>
      </w:r>
    </w:p>
    <w:p>
      <w:pPr>
        <w:spacing w:after="0" w:line="147" w:lineRule="exact"/>
        <w:rPr>
          <w:sz w:val="20"/>
          <w:szCs w:val="20"/>
          <w:color w:val="auto"/>
        </w:rPr>
      </w:pPr>
    </w:p>
    <w:p>
      <w:pPr>
        <w:ind w:right="820" w:firstLine="456"/>
        <w:spacing w:after="0" w:line="342" w:lineRule="auto"/>
        <w:rPr>
          <w:sz w:val="20"/>
          <w:szCs w:val="20"/>
          <w:color w:val="auto"/>
        </w:rPr>
      </w:pPr>
      <w:r>
        <w:rPr>
          <w:rFonts w:ascii="Arial" w:cs="Arial" w:eastAsia="Arial" w:hAnsi="Arial"/>
          <w:sz w:val="16"/>
          <w:szCs w:val="16"/>
          <w:color w:val="auto"/>
        </w:rPr>
        <w:t>At any time on or after November 15, 2021 (one month prior to the maturity date), the Issuer may redeem the Notes, in whole or in part, at a redemption price equal to 100% of the principal amount of the Notes, plus accrued and unpaid interest thereon to the date of redemption.</w:t>
      </w:r>
    </w:p>
    <w:p>
      <w:pPr>
        <w:spacing w:after="0" w:line="124"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ind w:right="5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interpolation (on a day count basis) of the interpolated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Comparable Treasury Issue</w:t>
      </w:r>
      <w:r>
        <w:rPr>
          <w:rFonts w:ascii="Arial" w:cs="Arial" w:eastAsia="Arial" w:hAnsi="Arial"/>
          <w:sz w:val="16"/>
          <w:szCs w:val="16"/>
          <w:color w:val="auto"/>
        </w:rPr>
        <w:t>”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ectPr>
          <w:pgSz w:w="11900" w:h="16838" w:orient="portrait"/>
          <w:cols w:equalWidth="0" w:num="1">
            <w:col w:w="11400"/>
          </w:cols>
          <w:pgMar w:left="240" w:top="274" w:right="259" w:bottom="1440" w:gutter="0" w:footer="0" w:header="0"/>
        </w:sectPr>
      </w:pPr>
    </w:p>
    <w:bookmarkStart w:id="15" w:name="page16"/>
    <w:bookmarkEnd w:id="15"/>
    <w:p>
      <w:pPr>
        <w:jc w:val="both"/>
        <w:ind w:right="3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four such Reference Treasury Dealer Quotations, the average of all such quotations.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Investment Banker</w:t>
      </w:r>
      <w:r>
        <w:rPr>
          <w:rFonts w:ascii="Arial" w:cs="Arial" w:eastAsia="Arial" w:hAnsi="Arial"/>
          <w:sz w:val="17"/>
          <w:szCs w:val="17"/>
          <w:color w:val="auto"/>
        </w:rPr>
        <w:t>” means one of the Reference Treasury Dealers, appointed by the Trustee after consultation with the Issuer.</w:t>
      </w:r>
    </w:p>
    <w:p>
      <w:pPr>
        <w:spacing w:after="0" w:line="237"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means each of (i) J.P. Morgan Securities LLC, Merrill Lynch, Pierce, Fenner &amp; Smith Incorporated and Wells Fargo Securities, LLC and their respective affiliates, and their respective successors and (ii) one other nationally recognized investment banking firm that is a primary U.S. government securities dealer in the City of New York (a “</w:t>
      </w:r>
      <w:r>
        <w:rPr>
          <w:rFonts w:ascii="Arial" w:cs="Arial" w:eastAsia="Arial" w:hAnsi="Arial"/>
          <w:sz w:val="17"/>
          <w:szCs w:val="17"/>
          <w:b w:val="1"/>
          <w:bCs w:val="1"/>
          <w:color w:val="auto"/>
        </w:rPr>
        <w:t>Primary Treasury Dealer</w:t>
      </w:r>
      <w:r>
        <w:rPr>
          <w:rFonts w:ascii="Arial" w:cs="Arial" w:eastAsia="Arial" w:hAnsi="Arial"/>
          <w:sz w:val="17"/>
          <w:szCs w:val="17"/>
          <w:color w:val="auto"/>
        </w:rPr>
        <w:t>”) as selected by the Issuer. If any of the foregoing or their affiliates shall cease to be a Primary Treasury Dealer, the Issuer shall substitute therefor another Primary Treasury Dealer.</w:t>
      </w:r>
    </w:p>
    <w:p>
      <w:pPr>
        <w:spacing w:after="0" w:line="165"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 prices for the Comparable Treasury Issue (expressed in each case as a percentage of its principal amount) quoted in writing to the Trustee by such Reference Treasury Dealer at 3:30 p.m., New York City time, on the third Business Day preceding such Redemption Date.</w:t>
      </w:r>
    </w:p>
    <w:p>
      <w:pPr>
        <w:spacing w:after="0" w:line="14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Scheduled Payments</w:t>
      </w:r>
      <w:r>
        <w:rPr>
          <w:rFonts w:ascii="Arial" w:cs="Arial" w:eastAsia="Arial" w:hAnsi="Arial"/>
          <w:sz w:val="18"/>
          <w:szCs w:val="18"/>
          <w:color w:val="auto"/>
        </w:rPr>
        <w:t>” means, with respect to each Note to be redeemed, the remaining scheduled payments of principal of and interest on the Note that would be due after the related Redemption Date but for the redemption. If that Redemption Date is not an Interest Payment Date with respect to a Note, the amount of the next succeeding scheduled interest payment on the Note will be reduced by the amount of interest accrued on the Note to the Redemption Date.</w:t>
      </w:r>
    </w:p>
    <w:p>
      <w:pPr>
        <w:spacing w:after="0" w:line="184"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On and after the Redemption Date, interest will cease to accrue on the Notes or any portion of the Notes called for redemption, unless the Issuer defaults in the payment of the redemption price and accrued interest. On or before the Redemption Date, the Issuer will deposit with a paying agent or the Trustee money sufficient to pay the redemption price of, and accrued interest on, the Notes to be redeemed on that date.</w:t>
      </w:r>
    </w:p>
    <w:p>
      <w:pPr>
        <w:spacing w:after="0" w:line="16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No Notes of a principal amount of $2,000 or less shall be redeemed in part. Notice of redemption will be mailed by first-class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Notes or portions thereof called for redemption as long as the Issuer has deposited with the paying agent funds in satisfaction of the applicable redemption price.</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selection of the Notes for redemption will be made by the Trustee in compliance with the requirements of the principal national securities exchange, if any, on which the Notes are listed; or, if the Notes are not so listed, on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basis, by lot or by such method as the Trustee shall deem fair and appropriate.</w:t>
      </w:r>
    </w:p>
    <w:p>
      <w:pPr>
        <w:sectPr>
          <w:pgSz w:w="11900" w:h="16838" w:orient="portrait"/>
          <w:cols w:equalWidth="0" w:num="1">
            <w:col w:w="11420"/>
          </w:cols>
          <w:pgMar w:left="240" w:top="270"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 Special Mandatory Redemption</w:t>
      </w:r>
    </w:p>
    <w:p>
      <w:pPr>
        <w:spacing w:after="0" w:line="225" w:lineRule="exact"/>
        <w:rPr>
          <w:sz w:val="20"/>
          <w:szCs w:val="20"/>
          <w:color w:val="auto"/>
        </w:rPr>
      </w:pPr>
    </w:p>
    <w:p>
      <w:pPr>
        <w:ind w:firstLine="464"/>
        <w:spacing w:after="0" w:line="270" w:lineRule="auto"/>
        <w:tabs>
          <w:tab w:leader="none" w:pos="701"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the closing of the Deltek Acquisition (as defined below) has not occurred on or prior to the earlier of (i) March 6, 2017 and (ii) the date the Merger Agreement is terminated (each, a “</w:t>
      </w:r>
      <w:r>
        <w:rPr>
          <w:rFonts w:ascii="Arial" w:cs="Arial" w:eastAsia="Arial" w:hAnsi="Arial"/>
          <w:sz w:val="17"/>
          <w:szCs w:val="17"/>
          <w:b w:val="1"/>
          <w:bCs w:val="1"/>
          <w:color w:val="auto"/>
        </w:rPr>
        <w:t>Special Mandatory Redemption Event</w:t>
      </w:r>
      <w:r>
        <w:rPr>
          <w:rFonts w:ascii="Arial" w:cs="Arial" w:eastAsia="Arial" w:hAnsi="Arial"/>
          <w:sz w:val="17"/>
          <w:szCs w:val="17"/>
          <w:color w:val="auto"/>
        </w:rPr>
        <w:t>”), the Issuer shall redeem the notes in whole at a special mandatory redemption price equal to 101% of the aggregate principal amount of the Notes, plus accrued and unpaid interest on the principal amount of the Notes to, but not including, the Special Mandatory Redemption Date (as defined below) (the “</w:t>
      </w:r>
      <w:r>
        <w:rPr>
          <w:rFonts w:ascii="Arial" w:cs="Arial" w:eastAsia="Arial" w:hAnsi="Arial"/>
          <w:sz w:val="17"/>
          <w:szCs w:val="17"/>
          <w:b w:val="1"/>
          <w:bCs w:val="1"/>
          <w:color w:val="auto"/>
        </w:rPr>
        <w:t>Special Mandatory Redemption Price</w:t>
      </w:r>
      <w:r>
        <w:rPr>
          <w:rFonts w:ascii="Arial" w:cs="Arial" w:eastAsia="Arial" w:hAnsi="Arial"/>
          <w:sz w:val="17"/>
          <w:szCs w:val="17"/>
          <w:color w:val="auto"/>
        </w:rPr>
        <w:t>”). Upon the occurrence of a Special Mandatory Redemption Event, the Issuer shall promptly (but in no event later than five (5) calendar days following such Special Mandatory Redemption Event) cause notice to be delivered electronically or mailed, with a copy to the Trustee, to each Holder at its registered address (such date of notification to the Holders, the “</w:t>
      </w:r>
      <w:r>
        <w:rPr>
          <w:rFonts w:ascii="Arial" w:cs="Arial" w:eastAsia="Arial" w:hAnsi="Arial"/>
          <w:sz w:val="17"/>
          <w:szCs w:val="17"/>
          <w:b w:val="1"/>
          <w:bCs w:val="1"/>
          <w:color w:val="auto"/>
        </w:rPr>
        <w:t>Redemption Notice Date</w:t>
      </w:r>
      <w:r>
        <w:rPr>
          <w:rFonts w:ascii="Arial" w:cs="Arial" w:eastAsia="Arial" w:hAnsi="Arial"/>
          <w:sz w:val="17"/>
          <w:szCs w:val="17"/>
          <w:color w:val="auto"/>
        </w:rPr>
        <w:t>”). The notice will inform Holders that the Notes will be redeemed on the tenth (10</w:t>
      </w:r>
      <w:r>
        <w:rPr>
          <w:rFonts w:ascii="Arial" w:cs="Arial" w:eastAsia="Arial" w:hAnsi="Arial"/>
          <w:sz w:val="14"/>
          <w:szCs w:val="14"/>
          <w:color w:val="auto"/>
        </w:rPr>
        <w:t>th</w:t>
      </w:r>
      <w:r>
        <w:rPr>
          <w:rFonts w:ascii="Arial" w:cs="Arial" w:eastAsia="Arial" w:hAnsi="Arial"/>
          <w:sz w:val="17"/>
          <w:szCs w:val="17"/>
          <w:color w:val="auto"/>
        </w:rPr>
        <w:t>) calendar day (or if such day is not a business day, the first business day thereafter) following the Redemption Notice Date (such date, the “</w:t>
      </w:r>
      <w:r>
        <w:rPr>
          <w:rFonts w:ascii="Arial" w:cs="Arial" w:eastAsia="Arial" w:hAnsi="Arial"/>
          <w:sz w:val="17"/>
          <w:szCs w:val="17"/>
          <w:b w:val="1"/>
          <w:bCs w:val="1"/>
          <w:color w:val="auto"/>
        </w:rPr>
        <w:t>Special Mandatory Redemption Date</w:t>
      </w:r>
      <w:r>
        <w:rPr>
          <w:rFonts w:ascii="Arial" w:cs="Arial" w:eastAsia="Arial" w:hAnsi="Arial"/>
          <w:sz w:val="17"/>
          <w:szCs w:val="17"/>
          <w:color w:val="auto"/>
        </w:rPr>
        <w:t>”) and that all of the outstanding Notes will be redeemed at the Special Mandatory Redemption Price on the Special Mandatory Redemption Date automatically and without any further action by the Holders of the Notes.</w:t>
      </w:r>
    </w:p>
    <w:p>
      <w:pPr>
        <w:spacing w:after="0" w:line="177" w:lineRule="exact"/>
        <w:rPr>
          <w:rFonts w:ascii="Arial" w:cs="Arial" w:eastAsia="Arial" w:hAnsi="Arial"/>
          <w:sz w:val="17"/>
          <w:szCs w:val="17"/>
          <w:color w:val="auto"/>
        </w:rPr>
      </w:pPr>
    </w:p>
    <w:p>
      <w:pPr>
        <w:jc w:val="both"/>
        <w:ind w:right="240" w:firstLine="464"/>
        <w:spacing w:after="0" w:line="264" w:lineRule="auto"/>
        <w:tabs>
          <w:tab w:leader="none" w:pos="711"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the business day immediately preceding the Special Mandatory Redemption Date, the Issuer shall deposit with the Trustee funds sufficient to pay the Special Mandatory Redemption Price for the Notes. If such deposit is made as provided above, the Notes will cease to bear interest on and after the Special Mandatory Redemption Date.</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Deltek</w:t>
      </w:r>
      <w:r>
        <w:rPr>
          <w:rFonts w:ascii="Arial" w:cs="Arial" w:eastAsia="Arial" w:hAnsi="Arial"/>
          <w:sz w:val="18"/>
          <w:szCs w:val="18"/>
          <w:color w:val="auto"/>
        </w:rPr>
        <w:t>” means Deltek, Inc., a Delaware Corporation.</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Deltek Acquisition</w:t>
      </w:r>
      <w:r>
        <w:rPr>
          <w:rFonts w:ascii="Arial" w:cs="Arial" w:eastAsia="Arial" w:hAnsi="Arial"/>
          <w:sz w:val="18"/>
          <w:szCs w:val="18"/>
          <w:color w:val="auto"/>
        </w:rPr>
        <w:t>” means the acquisition of Project Diamond Holdings Corporation, the parent of Deltek, by the Issuer pursuant to the Merger Agreement.</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by and among Project Diamond Holdings Corporation, the Issuer, Dash I, Inc., and Thoma Bravo, LLC, as Representative of the Stockholders and Optionholders dated December 6, 2016.</w:t>
      </w:r>
    </w:p>
    <w:p>
      <w:pPr>
        <w:spacing w:after="0" w:line="166" w:lineRule="exact"/>
        <w:rPr>
          <w:sz w:val="20"/>
          <w:szCs w:val="20"/>
          <w:color w:val="auto"/>
        </w:rPr>
      </w:pPr>
    </w:p>
    <w:p>
      <w:pPr>
        <w:ind w:left="460" w:right="320" w:firstLine="4"/>
        <w:spacing w:after="0" w:line="501" w:lineRule="auto"/>
        <w:tabs>
          <w:tab w:leader="none" w:pos="7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foregoing provisions in this Section 7 shall supersede the provisions in Article 11 of the Base Indenture to the extent inconsistent therewith. 8. Offer to Repurchase Upon Change of Control</w:t>
      </w:r>
    </w:p>
    <w:p>
      <w:pPr>
        <w:ind w:right="100" w:firstLine="456"/>
        <w:spacing w:after="0" w:line="255" w:lineRule="auto"/>
        <w:rPr>
          <w:sz w:val="20"/>
          <w:szCs w:val="20"/>
          <w:color w:val="auto"/>
        </w:rPr>
      </w:pPr>
      <w:r>
        <w:rPr>
          <w:rFonts w:ascii="Arial" w:cs="Arial" w:eastAsia="Arial" w:hAnsi="Arial"/>
          <w:sz w:val="18"/>
          <w:szCs w:val="18"/>
          <w:color w:val="auto"/>
        </w:rPr>
        <w:t>Upon the occurrence of a Change of Control Triggering Event with respect to the Notes, unless the Issuer shall have exercised its right pursuant to Section 6 hereof to redeem the Notes, each Holder of Notes shall have the right to require the Issuer to repurchase all or, at the Holder’s option, any part (in a multiple of $1,000 provided that the remaining principal amount, if any, following such repurchase shall be at least $2,000 or a multiple of $1,000 in excess thereof), of such Holder’s Notes (a “</w:t>
      </w:r>
      <w:r>
        <w:rPr>
          <w:rFonts w:ascii="Arial" w:cs="Arial" w:eastAsia="Arial" w:hAnsi="Arial"/>
          <w:sz w:val="18"/>
          <w:szCs w:val="18"/>
          <w:b w:val="1"/>
          <w:bCs w:val="1"/>
          <w:color w:val="auto"/>
        </w:rPr>
        <w:t>Change of Control Offer</w:t>
      </w:r>
      <w:r>
        <w:rPr>
          <w:rFonts w:ascii="Arial" w:cs="Arial" w:eastAsia="Arial" w:hAnsi="Arial"/>
          <w:sz w:val="18"/>
          <w:szCs w:val="18"/>
          <w:color w:val="auto"/>
        </w:rPr>
        <w:t>”) at a repurchase price in cash equal to 101% of the aggregate principal amount of the Notes repurchased plus accrued and unpaid interest, if any, on the Notes to be repurchased, to, but excluding, the repurchase date (the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w:t>
      </w:r>
    </w:p>
    <w:p>
      <w:pPr>
        <w:spacing w:after="0" w:line="193"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Within 30 days following any Change of Control Triggering Event, the Issuer shall cause a notice to be mailed to Holders of the Notes, with a copy to the Trustee, describing the transaction or transactions that constitute the Change of Control Triggering Event and offering to repurchase the Notes on the date specified in the notice, which date shall be no earlier than 30 days and no</w:t>
      </w:r>
    </w:p>
    <w:p>
      <w:pPr>
        <w:sectPr>
          <w:pgSz w:w="11900" w:h="16838" w:orient="portrait"/>
          <w:cols w:equalWidth="0" w:num="1">
            <w:col w:w="11420"/>
          </w:cols>
          <w:pgMar w:left="240" w:top="274" w:right="239" w:bottom="1440" w:gutter="0" w:footer="0" w:header="0"/>
        </w:sectPr>
      </w:pPr>
    </w:p>
    <w:bookmarkStart w:id="17" w:name="page18"/>
    <w:bookmarkEnd w:id="17"/>
    <w:p>
      <w:pPr>
        <w:ind w:right="8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later than 60 days from the date such notice is mailed (the “</w:t>
      </w:r>
      <w:r>
        <w:rPr>
          <w:rFonts w:ascii="Arial" w:cs="Arial" w:eastAsia="Arial" w:hAnsi="Arial"/>
          <w:sz w:val="18"/>
          <w:szCs w:val="18"/>
          <w:b w:val="1"/>
          <w:bCs w:val="1"/>
          <w:color w:val="auto"/>
        </w:rPr>
        <w:t>Change of Control Payment Date</w:t>
      </w:r>
      <w:r>
        <w:rPr>
          <w:rFonts w:ascii="Arial" w:cs="Arial" w:eastAsia="Arial" w:hAnsi="Arial"/>
          <w:sz w:val="18"/>
          <w:szCs w:val="18"/>
          <w:color w:val="auto"/>
        </w:rPr>
        <w:t>”), pursuant to the procedures required by the Indenture and described in such notice. The Issuer shall comply with the requirements of applicable securities laws and regulations in connection with the repurchase of the Notes as a result of a Change of Control Triggering Event.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 shall, to the extent lawful:</w:t>
      </w:r>
    </w:p>
    <w:p>
      <w:pPr>
        <w:spacing w:after="0" w:line="117" w:lineRule="exact"/>
        <w:rPr>
          <w:sz w:val="20"/>
          <w:szCs w:val="20"/>
          <w:color w:val="auto"/>
        </w:rPr>
      </w:pPr>
    </w:p>
    <w:p>
      <w:pPr>
        <w:ind w:left="1560" w:hanging="219"/>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tendered; and</w:t>
      </w:r>
    </w:p>
    <w:p>
      <w:pPr>
        <w:spacing w:after="0" w:line="102" w:lineRule="exact"/>
        <w:rPr>
          <w:rFonts w:ascii="Arial" w:cs="Arial" w:eastAsia="Arial" w:hAnsi="Arial"/>
          <w:sz w:val="16"/>
          <w:szCs w:val="16"/>
          <w:color w:val="auto"/>
        </w:rPr>
      </w:pPr>
    </w:p>
    <w:p>
      <w:pPr>
        <w:ind w:left="460" w:right="180" w:firstLine="881"/>
        <w:spacing w:after="0" w:line="277" w:lineRule="auto"/>
        <w:tabs>
          <w:tab w:leader="none" w:pos="1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paying agent shall promptly mail, to each Holder who properly tendered Notes, the repurchase price for such Notes, and the Trustee shall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Issuer shall not be required to make a Change of Control Offer upon a Change of Control Triggering Event if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If such third party terminates or defaults its Change of Control Offer, the Issuer shall be required to make a Change of Control Offer treating the date of such terminating or default as though it were the date of the Change of Control Triggering Event.</w:t>
      </w:r>
    </w:p>
    <w:p>
      <w:pPr>
        <w:spacing w:after="0" w:line="188"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Issuer shall comply with the requirements of Rule 14e-1 under the Exchange Act and any other securities laws and regulations to the extent such laws and regulations are applicable in connection with the repurchase of Notes as a result of a Change of Control Triggering Event. To the extent that the provision of any such securities laws or regulations conflicts with this Section 8, the Issuer shall comply with those securities laws and regulations and shall not be deemed to have breached its obligations under this Section 8 by virtue of any such conflict.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8, the following terms will be applicable:</w:t>
      </w:r>
    </w:p>
    <w:p>
      <w:pPr>
        <w:spacing w:after="0" w:line="2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occurrence of any one of the following: (1) the direct or indirect sale, lease, transfer, conveyance or other disposition (other than by way of merger, amalgamation, arrangement or consolidation), in one or a series of related transactions, of all or substantially all of the Issuer’s properties or assets and those of its subsidiaries, taken as a whole, to one or more persons, other than to the Issuer or one of its subsidiaries; (2) the consummation of any transaction including, without limitation, any merger, amalgamation, arrangement or consolidation the result of which is that any person becomes the beneficial owner, directly or indirectly, of more than 50% of the Issuer’s Voting Stock; (3) the Issuer consolidates with, or merge with or into, any person, or any person consolidates with, or merges with or into, the Issuer, in any such event pursuant to a transaction in which any of the outstanding Voting Stock of the Issuer or of such other person is converted into or exchanged for cash, securities or other property, other than any such transaction where the shares of the Issuer’s Voting Stock outstanding immediately prior to such transaction constitute, or are converted into or exchanged for, a majority</w:t>
      </w:r>
    </w:p>
    <w:p>
      <w:pPr>
        <w:sectPr>
          <w:pgSz w:w="11900" w:h="16838" w:orient="portrait"/>
          <w:cols w:equalWidth="0" w:num="1">
            <w:col w:w="11420"/>
          </w:cols>
          <w:pgMar w:left="240" w:top="270" w:right="239" w:bottom="1440" w:gutter="0" w:footer="0" w:header="0"/>
        </w:sectPr>
      </w:pPr>
    </w:p>
    <w:bookmarkStart w:id="18" w:name="page19"/>
    <w:bookmarkEnd w:id="18"/>
    <w:p>
      <w:pPr>
        <w:ind w:right="3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Voting Stock of the surviving person immediately after giving effect to such transaction; or (4) the adoption of a plan relating to our liquidation or dissolution. For the purposes of this definition, “person” and “beneficial owner” have the meanings used in Section 13(d) of the Exchange Act.</w:t>
      </w:r>
    </w:p>
    <w:p>
      <w:pPr>
        <w:spacing w:after="0" w:line="120" w:lineRule="exact"/>
        <w:rPr>
          <w:sz w:val="20"/>
          <w:szCs w:val="20"/>
          <w:color w:val="auto"/>
        </w:rPr>
      </w:pPr>
    </w:p>
    <w:p>
      <w:pPr>
        <w:ind w:right="160" w:firstLine="456"/>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Triggering Event</w:t>
      </w:r>
      <w:r>
        <w:rPr>
          <w:rFonts w:ascii="Arial" w:cs="Arial" w:eastAsia="Arial" w:hAnsi="Arial"/>
          <w:sz w:val="16"/>
          <w:szCs w:val="16"/>
          <w:color w:val="auto"/>
        </w:rPr>
        <w:t>” means the Notes cease to be rated Investment Grade by both Rating Agencies on any date during the period (the “Trigger Period”) commencing 60 days prior to the first public announcement of the Change of Control or the Issuer’s intention to effect a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Unless at least one Rating Agency is providing a rating for the Notes at the commencement of any Trigger Period, the Notes will be deemed to have ceased to be rated Investment Grade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162" w:lineRule="exact"/>
        <w:rPr>
          <w:sz w:val="20"/>
          <w:szCs w:val="20"/>
          <w:color w:val="auto"/>
        </w:rPr>
      </w:pPr>
    </w:p>
    <w:p>
      <w:pPr>
        <w:ind w:right="64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Grade</w:t>
      </w:r>
      <w:r>
        <w:rPr>
          <w:rFonts w:ascii="Arial" w:cs="Arial" w:eastAsia="Arial" w:hAnsi="Arial"/>
          <w:sz w:val="17"/>
          <w:szCs w:val="17"/>
          <w:color w:val="auto"/>
        </w:rPr>
        <w:t>” means a rating equal to or higher than Baa3 (or the equivalent) by Moody’s or BBB- (or the equivalent) by S&amp;P, and the equivalent investment grade credit rating from any replacement Rating Agency or Rating Agencies selected by the Issuer.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 subsidiary of Moody’s Corporation, and it successors.</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Agencies</w:t>
      </w:r>
      <w:r>
        <w:rPr>
          <w:rFonts w:ascii="Arial" w:cs="Arial" w:eastAsia="Arial" w:hAnsi="Arial"/>
          <w:sz w:val="18"/>
          <w:szCs w:val="18"/>
          <w:color w:val="auto"/>
        </w:rPr>
        <w:t>” means (a) each of Moody’s and S&amp;P; and (b) if any of the Rating Agencies ceases to provide rating services to issuers or investors, and no Change of Control Triggering Event has occurred or is occurring, a “nationally recognized statistical rating organization” within the meaning of Section 3(a)(62) of the Exchange Act that is selected by the Issuer (as certified by a resolution of the Board of Directors) as a replacement for Moody’s or S&amp;P, or both of them, as the case may be, and that is reasonably acceptable to the Trustee.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specified person as of any date means the capital stock of such person that is at the time entitled to vote generally in the election of the board of directors of such person.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Defaults and Remedies.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all series of Outstanding Securities (including the Notes) under the Indenture that are affected by such Event of Default (voting together as a single class),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Outstanding Securities (including the Notes) affected (voting together as a single class) to direct</w:t>
      </w:r>
    </w:p>
    <w:p>
      <w:pPr>
        <w:sectPr>
          <w:pgSz w:w="11900" w:h="16838" w:orient="portrait"/>
          <w:cols w:equalWidth="0" w:num="1">
            <w:col w:w="11360"/>
          </w:cols>
          <w:pgMar w:left="240" w:top="274" w:right="29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in its exercise of any trust or power. The Trustee may withhold from Holders of Notes notice of certain continuing defaults or Events of Default if it determines that withholding notice is in their interest.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 Authentication.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Abbreviations and Defined Terms.</w:t>
      </w:r>
    </w:p>
    <w:p>
      <w:pPr>
        <w:spacing w:after="0" w:line="225"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CUSIP Numbers.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60"/>
          </w:cols>
          <w:pgMar w:left="240" w:top="274"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-10160</wp:posOffset>
            </wp:positionV>
            <wp:extent cx="914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306705</wp:posOffset>
            </wp:positionV>
            <wp:extent cx="2675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58743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The following exchanges of a part of this Global Note for Physical Notes or a part of another Global Note have been made:</w:t>
      </w:r>
    </w:p>
    <w:p>
      <w:pPr>
        <w:sectPr>
          <w:pgSz w:w="11900" w:h="16838" w:orient="portrait"/>
          <w:cols w:equalWidth="0" w:num="1">
            <w:col w:w="10960"/>
          </w:cols>
          <w:pgMar w:left="240" w:top="270" w:right="69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 of Exchange</w:t>
            </w:r>
          </w:p>
        </w:tc>
        <w:tc>
          <w:tcPr>
            <w:tcW w:w="180" w:type="dxa"/>
            <w:vAlign w:val="bottom"/>
            <w:vMerge w:val="restart"/>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 amount of</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increase</w:t>
            </w: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decrease (or</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authorized signatory</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8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Trustee</w:t>
            </w:r>
          </w:p>
        </w:tc>
        <w:tc>
          <w:tcPr>
            <w:tcW w:w="0" w:type="dxa"/>
            <w:vAlign w:val="bottom"/>
          </w:tcPr>
          <w:p>
            <w:pPr>
              <w:spacing w:after="0"/>
              <w:rPr>
                <w:sz w:val="1"/>
                <w:szCs w:val="1"/>
                <w:color w:val="auto"/>
              </w:rPr>
            </w:pPr>
          </w:p>
        </w:tc>
      </w:tr>
    </w:tbl>
    <w:p>
      <w:pPr>
        <w:sectPr>
          <w:pgSz w:w="11900" w:h="16838" w:orient="portrait"/>
          <w:cols w:equalWidth="0" w:num="2">
            <w:col w:w="4500" w:space="100"/>
            <w:col w:w="6360"/>
          </w:cols>
          <w:pgMar w:left="240" w:top="270" w:right="69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REPURCHASE EXERCISE NOTICE UPON A CHANGE OF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Roper Technologies, Inc.</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undersigned registered owner of this Security hereby acknowledges receipt of a notice from Roper Technologies, Inc. (the “</w:t>
      </w:r>
      <w:r>
        <w:rPr>
          <w:rFonts w:ascii="Arial" w:cs="Arial" w:eastAsia="Arial" w:hAnsi="Arial"/>
          <w:sz w:val="17"/>
          <w:szCs w:val="17"/>
          <w:b w:val="1"/>
          <w:bCs w:val="1"/>
          <w:color w:val="auto"/>
        </w:rPr>
        <w:t>Issuer</w:t>
      </w:r>
      <w:r>
        <w:rPr>
          <w:rFonts w:ascii="Arial" w:cs="Arial" w:eastAsia="Arial" w:hAnsi="Arial"/>
          <w:sz w:val="17"/>
          <w:szCs w:val="17"/>
          <w:color w:val="auto"/>
        </w:rPr>
        <w:t>”) as to the</w:t>
      </w:r>
    </w:p>
    <w:p>
      <w:pPr>
        <w:spacing w:after="0" w:line="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occurrence of a Change of Control Triggering Event with respect to the Issuer and hereby directs the Issuer to pay, or cause the Trustee to pay, an amount in cash equal to 101% of the aggregate principal amount of the Notes, or the portion thereof (which is a multiple of $1,000, provided that the remaining principal amount, if any, following such repurchase shall be at least $2,000 or a multiple of $1,000 in excess thereof) below designated, to be repurchased plus interest accrued to, but excluding, the repurchase date, except as provided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6539230</wp:posOffset>
            </wp:positionH>
            <wp:positionV relativeFrom="paragraph">
              <wp:posOffset>-444500</wp:posOffset>
            </wp:positionV>
            <wp:extent cx="571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-10160</wp:posOffset>
            </wp:positionV>
            <wp:extent cx="571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914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amount to be repurchased (a multiple of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-10160</wp:posOffset>
            </wp:positionV>
            <wp:extent cx="571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460"/>
        <w:spacing w:after="0"/>
        <w:tabs>
          <w:tab w:leader="none" w:pos="5480" w:val="left"/>
        </w:tabs>
        <w:rPr>
          <w:sz w:val="20"/>
          <w:szCs w:val="20"/>
          <w:color w:val="auto"/>
        </w:rPr>
      </w:pPr>
      <w:r>
        <w:rPr>
          <w:rFonts w:ascii="Arial" w:cs="Arial" w:eastAsia="Arial" w:hAnsi="Arial"/>
          <w:sz w:val="18"/>
          <w:szCs w:val="18"/>
          <w:color w:val="auto"/>
        </w:rPr>
        <w:t>Remaining principal amount following such repurchase:</w:t>
      </w:r>
      <w:r>
        <w:rPr>
          <w:sz w:val="20"/>
          <w:szCs w:val="20"/>
          <w:color w:val="auto"/>
        </w:rPr>
        <w:tab/>
      </w:r>
      <w:r>
        <w:rPr>
          <w:rFonts w:ascii="Arial" w:cs="Arial" w:eastAsia="Arial" w:hAnsi="Arial"/>
          <w:sz w:val="16"/>
          <w:szCs w:val="16"/>
          <w:color w:val="auto"/>
        </w:rPr>
        <w:t>(zero or at least $2,000 or a multiple 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-10160</wp:posOffset>
            </wp:positionV>
            <wp:extent cx="571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420"/>
          </w:cols>
          <w:pgMar w:left="240" w:top="27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Global Note]</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UNLESS THIS NOTE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jc w:val="both"/>
        <w:ind w:right="800" w:firstLine="456"/>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ROPER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3.800% Senior Notes due 2026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No.: 776743AD8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US776743AD85</w:t>
      </w:r>
    </w:p>
    <w:p>
      <w:pPr>
        <w:spacing w:after="0" w:line="21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7023100</wp:posOffset>
            </wp:positionH>
            <wp:positionV relativeFrom="paragraph">
              <wp:posOffset>-10160</wp:posOffset>
            </wp:positionV>
            <wp:extent cx="2286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ROPER TECHNOLOGIES, INC., a Delaware corporation (the “</w:t>
      </w:r>
      <w:r>
        <w:rPr>
          <w:rFonts w:ascii="Arial" w:cs="Arial" w:eastAsia="Arial" w:hAnsi="Arial"/>
          <w:sz w:val="16"/>
          <w:szCs w:val="16"/>
          <w:b w:val="1"/>
          <w:bCs w:val="1"/>
          <w:color w:val="auto"/>
        </w:rPr>
        <w:t>Issuer</w:t>
      </w:r>
      <w:r>
        <w:rPr>
          <w:rFonts w:ascii="Arial" w:cs="Arial" w:eastAsia="Arial" w:hAnsi="Arial"/>
          <w:sz w:val="16"/>
          <w:szCs w:val="16"/>
          <w:color w:val="auto"/>
        </w:rPr>
        <w:t>”), for value received promises to pay to CEDE &amp; CO. or registered assigns the</w:t>
      </w:r>
    </w:p>
    <w:p>
      <w:pPr>
        <w:spacing w:after="0" w:line="50"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principal sum of</w:t>
      </w:r>
      <w:r>
        <w:rPr>
          <w:sz w:val="20"/>
          <w:szCs w:val="20"/>
          <w:color w:val="auto"/>
        </w:rPr>
        <w:tab/>
      </w:r>
      <w:r>
        <w:rPr>
          <w:rFonts w:ascii="Arial" w:cs="Arial" w:eastAsia="Arial" w:hAnsi="Arial"/>
          <w:sz w:val="16"/>
          <w:szCs w:val="16"/>
          <w:color w:val="auto"/>
        </w:rPr>
        <w:t>UNITED STATES DOLLARS on December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-19050</wp:posOffset>
            </wp:positionV>
            <wp:extent cx="571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June 15 and December 15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June 15,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June 1 and December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ROPER TECHNOLOGIES,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John Stipancich</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5"/>
          <w:szCs w:val="15"/>
          <w:color w:val="auto"/>
        </w:rPr>
        <w:t>Title:</w:t>
        <w:tab/>
        <w:t>Vice President, General Counsel and Secretary</w:t>
      </w:r>
    </w:p>
    <w:p>
      <w:pPr>
        <w:sectPr>
          <w:pgSz w:w="11900" w:h="16838" w:orient="portrait"/>
          <w:cols w:equalWidth="0" w:num="1">
            <w:col w:w="10680"/>
          </w:cols>
          <w:pgMar w:left="700" w:top="274" w:right="51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Dated: December</w:t>
      </w:r>
      <w:r>
        <w:rPr>
          <w:sz w:val="20"/>
          <w:szCs w:val="20"/>
          <w:color w:val="auto"/>
        </w:rPr>
        <w:tab/>
      </w:r>
      <w:r>
        <w:rPr>
          <w:rFonts w:ascii="Arial" w:cs="Arial" w:eastAsia="Arial" w:hAnsi="Arial"/>
          <w:sz w:val="15"/>
          <w:szCs w:val="15"/>
          <w:color w:val="auto"/>
        </w:rPr>
        <w:t>, 2016</w:t>
      </w:r>
    </w:p>
    <w:p>
      <w:pPr>
        <w:spacing w:after="0" w:line="252"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74" w:right="1440"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ROPER TECHNOLOGIES,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3.800% Senior Notes due 2026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Roper Technologies, Inc. (the “</w:t>
      </w:r>
      <w:r>
        <w:rPr>
          <w:rFonts w:ascii="Arial" w:cs="Arial" w:eastAsia="Arial" w:hAnsi="Arial"/>
          <w:sz w:val="17"/>
          <w:szCs w:val="17"/>
          <w:b w:val="1"/>
          <w:bCs w:val="1"/>
          <w:color w:val="auto"/>
        </w:rPr>
        <w:t>Issuer</w:t>
      </w:r>
      <w:r>
        <w:rPr>
          <w:rFonts w:ascii="Arial" w:cs="Arial" w:eastAsia="Arial" w:hAnsi="Arial"/>
          <w:sz w:val="17"/>
          <w:szCs w:val="17"/>
          <w:color w:val="auto"/>
        </w:rPr>
        <w:t>”) promises to pay interest on the principal amount of this Note at the rate per annum described above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Original Interest Rate</w:t>
      </w:r>
      <w:r>
        <w:rPr>
          <w:rFonts w:ascii="Arial" w:cs="Arial" w:eastAsia="Arial" w:hAnsi="Arial"/>
          <w:sz w:val="16"/>
          <w:szCs w:val="16"/>
          <w:color w:val="auto"/>
        </w:rPr>
        <w:t>”). Cash interest on the Notes will accrue from the most recent date to which interest has been paid; or, if no interest has been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December 19, 2016. Interest on this Note will be paid to but excluding the relevant Interest Payment Date or on such earlier date as the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become due in accordance with the provisions hereof. The Issuer will pay interest semi-annually in arrears on each Interest Payment Date, commencing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15, 2017. Interest will be computed on the basis of a 360-day year consisting of twelve 30-day months.</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221"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Initially, Wells Fargo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221"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This Note is one of the </w:t>
      </w:r>
      <w:r>
        <w:rPr>
          <w:rFonts w:ascii="Arial" w:cs="Arial" w:eastAsia="Arial" w:hAnsi="Arial"/>
          <w:sz w:val="18"/>
          <w:szCs w:val="18"/>
          <w:b w:val="1"/>
          <w:bCs w:val="1"/>
          <w:color w:val="auto"/>
        </w:rPr>
        <w:t>3.800</w:t>
      </w:r>
      <w:r>
        <w:rPr>
          <w:rFonts w:ascii="Arial" w:cs="Arial" w:eastAsia="Arial" w:hAnsi="Arial"/>
          <w:sz w:val="18"/>
          <w:szCs w:val="18"/>
          <w:color w:val="auto"/>
        </w:rPr>
        <w:t>% Notes due 2026 issued under the indenture dated as of August 4, 2008 (the “</w:t>
      </w:r>
      <w:r>
        <w:rPr>
          <w:rFonts w:ascii="Arial" w:cs="Arial" w:eastAsia="Arial" w:hAnsi="Arial"/>
          <w:sz w:val="18"/>
          <w:szCs w:val="18"/>
          <w:b w:val="1"/>
          <w:bCs w:val="1"/>
          <w:color w:val="auto"/>
        </w:rPr>
        <w:t>Base Indenture</w:t>
      </w:r>
      <w:r>
        <w:rPr>
          <w:rFonts w:ascii="Arial" w:cs="Arial" w:eastAsia="Arial" w:hAnsi="Arial"/>
          <w:sz w:val="18"/>
          <w:szCs w:val="18"/>
          <w:color w:val="auto"/>
        </w:rPr>
        <w:t>”) by and between the Issuer and the Trustee, and established pursuant to an Officer’s Certificate dated December 19, 2016, issued pursuant to Section 2.01 and Section 2.03 thereof (together, the “</w:t>
      </w:r>
      <w:r>
        <w:rPr>
          <w:rFonts w:ascii="Arial" w:cs="Arial" w:eastAsia="Arial" w:hAnsi="Arial"/>
          <w:sz w:val="18"/>
          <w:szCs w:val="18"/>
          <w:b w:val="1"/>
          <w:bCs w:val="1"/>
          <w:color w:val="auto"/>
        </w:rPr>
        <w:t>Indenture</w:t>
      </w:r>
      <w:r>
        <w:rPr>
          <w:rFonts w:ascii="Arial" w:cs="Arial" w:eastAsia="Arial" w:hAnsi="Arial"/>
          <w:sz w:val="18"/>
          <w:szCs w:val="18"/>
          <w:color w:val="auto"/>
        </w:rPr>
        <w:t>”). This Note is a “Security” and the Notes are “Securities” under the Indenture.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Note, unless otherwise defined herein, capitalized terms herein are used as defined in the Indenture. The terms of the Notes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those stated in the Indenture and those made part of the Indenture by reference to the Trust Indenture Act of 1939 (15 U.S.C. Sections 77aaa-77bbbb)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on which the Indenture was qualified under the TIA. Notwithstanding anything to the contrary herein, the Notes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such terms, and holders of Notes are referred to the Indenture and the TIA for a statement of them. To the extent the terms of the Indenture and this Note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inconsistent, except for terms as described under the sections titled “6. Optional Redemption” and “7. Special Mandatory Redemption” (in which case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shall govern), the terms of the Indenture shall govern.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Denominations; Transfer; Exchange.</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ectPr>
          <w:pgSz w:w="11900" w:h="16838" w:orient="portrait"/>
          <w:cols w:equalWidth="0" w:num="1">
            <w:col w:w="11380"/>
          </w:cols>
          <w:pgMar w:left="240" w:top="274" w:right="27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 Amendment; Supplement; Waiver.</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defect or inconsistency or comply with any requirements of the Commission in connection with the qualification of the Indenture under the TIA, or make any other change that does not adversely affect the rights of any Holder of a Note.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Optional Redemption.</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Issuer may redeem the Notes in whole or in part, at its option, at any time or from time to time prior to September 15, 2026 (three months prior to maturity date), on at least 30 days’, but not more than 60 days’, prior notice mailed to the registered address of each Holder of the Notes (any such date of redemption, a “</w:t>
      </w:r>
      <w:r>
        <w:rPr>
          <w:rFonts w:ascii="Arial" w:cs="Arial" w:eastAsia="Arial" w:hAnsi="Arial"/>
          <w:sz w:val="18"/>
          <w:szCs w:val="18"/>
          <w:b w:val="1"/>
          <w:bCs w:val="1"/>
          <w:color w:val="auto"/>
        </w:rPr>
        <w:t>Redemption Date</w:t>
      </w:r>
      <w:r>
        <w:rPr>
          <w:rFonts w:ascii="Arial" w:cs="Arial" w:eastAsia="Arial" w:hAnsi="Arial"/>
          <w:sz w:val="18"/>
          <w:szCs w:val="18"/>
          <w:color w:val="auto"/>
        </w:rPr>
        <w:t>”). The redemption price will be equal to the greater of:</w:t>
      </w:r>
    </w:p>
    <w:p>
      <w:pPr>
        <w:spacing w:after="0" w:line="73" w:lineRule="exact"/>
        <w:rPr>
          <w:sz w:val="20"/>
          <w:szCs w:val="20"/>
          <w:color w:val="auto"/>
        </w:rPr>
      </w:pPr>
    </w:p>
    <w:p>
      <w:pPr>
        <w:ind w:left="1560" w:hanging="219"/>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460" w:right="560" w:firstLine="881"/>
        <w:spacing w:after="0" w:line="342" w:lineRule="auto"/>
        <w:tabs>
          <w:tab w:leader="none" w:pos="160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discounted to the Redemption Date, on a semi-annual basis (assuming a 360-day year consisting of twelve 30-day months), at a rate equal to the sum of the Treasury Rate plus 25 basis points,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plus, in each case, accrued and unpaid interest thereon to the Redemption Date (such excess, if any, of (ii) over (i), the “</w:t>
      </w:r>
      <w:r>
        <w:rPr>
          <w:rFonts w:ascii="Arial" w:cs="Arial" w:eastAsia="Arial" w:hAnsi="Arial"/>
          <w:sz w:val="16"/>
          <w:szCs w:val="16"/>
          <w:b w:val="1"/>
          <w:bCs w:val="1"/>
          <w:color w:val="auto"/>
        </w:rPr>
        <w:t>Make-Whole Premium</w:t>
      </w:r>
      <w:r>
        <w:rPr>
          <w:rFonts w:ascii="Arial" w:cs="Arial" w:eastAsia="Arial" w:hAnsi="Arial"/>
          <w:sz w:val="16"/>
          <w:szCs w:val="16"/>
          <w:color w:val="auto"/>
        </w:rPr>
        <w:t>”).</w:t>
      </w:r>
    </w:p>
    <w:p>
      <w:pPr>
        <w:spacing w:after="0" w:line="252"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For the avoidance of doubt, the requirement to pay any Make-Whole Premium shall only arise in connection with the Issuer’s voluntary election, if any, to redeem the Notes, and no Make-Whole Premium in respect of the Notes shall be payable as a result of any default or event of default.</w:t>
      </w:r>
    </w:p>
    <w:p>
      <w:pPr>
        <w:spacing w:after="0" w:line="147"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At any time on or after September 15, 2026 (three months prior to the maturity date), the Issuer may redeem the Notes, in whole or in part, at a redemption price equal to 100% of the principal amount of the Notes, plus accrued and unpaid interest thereon to the date of redemption.</w:t>
      </w:r>
    </w:p>
    <w:p>
      <w:pPr>
        <w:spacing w:after="0" w:line="124"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ind w:right="5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interpolation (on a day count basis) of the interpolated Comparable Treasury Issue, assuming a price for the Comparable Treasury Issue (expressed as a percentage of its principal amount) equal to the Comparable Treasury Price for such Redemption Date.</w:t>
      </w:r>
    </w:p>
    <w:p>
      <w:pPr>
        <w:sectPr>
          <w:pgSz w:w="11900" w:h="16838" w:orient="portrait"/>
          <w:cols w:equalWidth="0" w:num="1">
            <w:col w:w="11400"/>
          </w:cols>
          <w:pgMar w:left="240" w:top="274" w:right="259" w:bottom="1440" w:gutter="0" w:footer="0" w:header="0"/>
        </w:sectPr>
      </w:pPr>
    </w:p>
    <w:bookmarkStart w:id="29" w:name="page30"/>
    <w:bookmarkEnd w:id="29"/>
    <w:p>
      <w:pPr>
        <w:ind w:right="20" w:firstLine="456"/>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Comparable Treasury Issue</w:t>
      </w:r>
      <w:r>
        <w:rPr>
          <w:rFonts w:ascii="Arial" w:cs="Arial" w:eastAsia="Arial" w:hAnsi="Arial"/>
          <w:sz w:val="16"/>
          <w:szCs w:val="16"/>
          <w:color w:val="auto"/>
        </w:rPr>
        <w:t>”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142"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four such Reference Treasury Dealer Quotations, the average of all such quotations.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Investment Banker</w:t>
      </w:r>
      <w:r>
        <w:rPr>
          <w:rFonts w:ascii="Arial" w:cs="Arial" w:eastAsia="Arial" w:hAnsi="Arial"/>
          <w:sz w:val="17"/>
          <w:szCs w:val="17"/>
          <w:color w:val="auto"/>
        </w:rPr>
        <w:t>” means one of the Reference Treasury Dealers, appointed by the Trustee after consultation with the Issuer.</w:t>
      </w:r>
    </w:p>
    <w:p>
      <w:pPr>
        <w:spacing w:after="0" w:line="237" w:lineRule="exact"/>
        <w:rPr>
          <w:sz w:val="20"/>
          <w:szCs w:val="20"/>
          <w:color w:val="auto"/>
        </w:rPr>
      </w:pPr>
    </w:p>
    <w:p>
      <w:pPr>
        <w:ind w:right="12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means each of (i) J.P. Morgan Securities LLC, Merrill Lynch, Pierce, Fenner &amp; Smith Incorporated and Wells Fargo Securities, LLC and their respective affiliates, and their respective successors and (ii) one other nationally recognized investment banking firm that is a primary U.S. government securities dealer in the City of New York (a “</w:t>
      </w:r>
      <w:r>
        <w:rPr>
          <w:rFonts w:ascii="Arial" w:cs="Arial" w:eastAsia="Arial" w:hAnsi="Arial"/>
          <w:sz w:val="17"/>
          <w:szCs w:val="17"/>
          <w:b w:val="1"/>
          <w:bCs w:val="1"/>
          <w:color w:val="auto"/>
        </w:rPr>
        <w:t>Primary Treasury Dealer</w:t>
      </w:r>
      <w:r>
        <w:rPr>
          <w:rFonts w:ascii="Arial" w:cs="Arial" w:eastAsia="Arial" w:hAnsi="Arial"/>
          <w:sz w:val="17"/>
          <w:szCs w:val="17"/>
          <w:color w:val="auto"/>
        </w:rPr>
        <w:t>”) as selected by the Issuer. If any of the foregoing or their affiliates shall cease to be a Primary Treasury Dealer, the Issuer shall substitute therefor another Primary Treasury Dealer.</w:t>
      </w:r>
    </w:p>
    <w:p>
      <w:pPr>
        <w:spacing w:after="0" w:line="165"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the Trustee, of the bid and ask prices for the Comparable Treasury Issue (expressed in each case as a percentage of its principal amount) quoted in writing to the Trustee by such Reference Treasury Dealer at 3:30 p.m., New York City time, on the third Business Day preceding such Redemption Date.</w:t>
      </w:r>
    </w:p>
    <w:p>
      <w:pPr>
        <w:spacing w:after="0" w:line="142"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Scheduled Payments</w:t>
      </w:r>
      <w:r>
        <w:rPr>
          <w:rFonts w:ascii="Arial" w:cs="Arial" w:eastAsia="Arial" w:hAnsi="Arial"/>
          <w:sz w:val="18"/>
          <w:szCs w:val="18"/>
          <w:color w:val="auto"/>
        </w:rPr>
        <w:t>” means, with respect to each Note to be redeemed, the remaining scheduled payments of principal of and interest on the Note that would be due after the related Redemption Date but for the redemption. If that Redemption Date is not an Interest Payment Date with respect to a Note, the amount of the next succeeding scheduled interest payment on the Note will be reduced by the amount of interest accrued on the Note to the Redemption Date.</w:t>
      </w:r>
    </w:p>
    <w:p>
      <w:pPr>
        <w:spacing w:after="0" w:line="184"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On and after the Redemption Date, interest will cease to accrue on the Notes or any portion of the Notes called for redemption, unless the Issuer defaults in the payment of the redemption price and accrued interest. On or before the Redemption Date, the Issuer will deposit with a paying agent or the Trustee money sufficient to pay the redemption price of, and accrued interest on, the Notes to be redeemed on that date.</w:t>
      </w:r>
    </w:p>
    <w:p>
      <w:pPr>
        <w:spacing w:after="0" w:line="16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No Notes of a principal amount of $2,000 or less shall be redeemed in part. Notice of redemption will be mailed by first-class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Notes or portions thereof called for redemption as long as the Issuer has deposited with the paying agent funds in satisfaction of the applicable redemption price.</w:t>
      </w:r>
    </w:p>
    <w:p>
      <w:pPr>
        <w:spacing w:after="0" w:line="193"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Notice of any redemption will be mailed at least 30 days but not more than 60 days before the redemption date to each Holder of the Notes to be redeemed. Unless the Issuer defaults in payment of the redemption price, on and after the Redemption Date, interest will cease to</w:t>
      </w:r>
    </w:p>
    <w:p>
      <w:pPr>
        <w:sectPr>
          <w:pgSz w:w="11900" w:h="16838" w:orient="portrait"/>
          <w:cols w:equalWidth="0" w:num="1">
            <w:col w:w="11420"/>
          </w:cols>
          <w:pgMar w:left="240" w:top="270" w:right="239" w:bottom="1440" w:gutter="0" w:footer="0" w:header="0"/>
        </w:sectPr>
      </w:pPr>
    </w:p>
    <w:bookmarkStart w:id="30" w:name="page31"/>
    <w:bookmarkEnd w:id="30"/>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accrue on the Notes or portions thereof called for redemption. If less than all of the Notes are to be redeemed, selection of the Notes for redemption will be made by the Trustee in compliance with the requirements of the principal national securities exchange, if any, on which the Notes are listed; or, if the Notes are not so listed,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by lot or by such method as the Trustee shall deem fair and appropriate.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Special Mandatory Redemption</w:t>
      </w:r>
    </w:p>
    <w:p>
      <w:pPr>
        <w:spacing w:after="0" w:line="225" w:lineRule="exact"/>
        <w:rPr>
          <w:sz w:val="20"/>
          <w:szCs w:val="20"/>
          <w:color w:val="auto"/>
        </w:rPr>
      </w:pPr>
    </w:p>
    <w:p>
      <w:pPr>
        <w:ind w:firstLine="464"/>
        <w:spacing w:after="0" w:line="270" w:lineRule="auto"/>
        <w:tabs>
          <w:tab w:leader="none" w:pos="701"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closing of the Deltek Acquisition (as defined below) has not occurred on or prior to the earlier of (i) March 6, 2017 and (ii) the date the Merger Agreement is terminated (each, a “</w:t>
      </w:r>
      <w:r>
        <w:rPr>
          <w:rFonts w:ascii="Arial" w:cs="Arial" w:eastAsia="Arial" w:hAnsi="Arial"/>
          <w:sz w:val="17"/>
          <w:szCs w:val="17"/>
          <w:b w:val="1"/>
          <w:bCs w:val="1"/>
          <w:color w:val="auto"/>
        </w:rPr>
        <w:t>Special Mandatory Redemption Event</w:t>
      </w:r>
      <w:r>
        <w:rPr>
          <w:rFonts w:ascii="Arial" w:cs="Arial" w:eastAsia="Arial" w:hAnsi="Arial"/>
          <w:sz w:val="17"/>
          <w:szCs w:val="17"/>
          <w:color w:val="auto"/>
        </w:rPr>
        <w:t>”), the Issuer shall redeem the notes in whole at a special mandatory redemption price equal to 101% of the aggregate principal amount of the Notes, plus accrued and unpaid interest on the principal amount of the Notes to, but not including, the Special Mandatory Redemption Date (as defined below) (the “</w:t>
      </w:r>
      <w:r>
        <w:rPr>
          <w:rFonts w:ascii="Arial" w:cs="Arial" w:eastAsia="Arial" w:hAnsi="Arial"/>
          <w:sz w:val="17"/>
          <w:szCs w:val="17"/>
          <w:b w:val="1"/>
          <w:bCs w:val="1"/>
          <w:color w:val="auto"/>
        </w:rPr>
        <w:t>Special Mandatory Redemption Price</w:t>
      </w:r>
      <w:r>
        <w:rPr>
          <w:rFonts w:ascii="Arial" w:cs="Arial" w:eastAsia="Arial" w:hAnsi="Arial"/>
          <w:sz w:val="17"/>
          <w:szCs w:val="17"/>
          <w:color w:val="auto"/>
        </w:rPr>
        <w:t>”). Upon the occurrence of a Special Mandatory Redemption Event, the Issuer shall promptly (but in no event later than five (5) calendar days following such Special Mandatory Redemption Event) cause notice to be delivered electronically or mailed, with a copy to the Trustee, to each Holder at its registered address (such date of notification to the Holders, the “</w:t>
      </w:r>
      <w:r>
        <w:rPr>
          <w:rFonts w:ascii="Arial" w:cs="Arial" w:eastAsia="Arial" w:hAnsi="Arial"/>
          <w:sz w:val="17"/>
          <w:szCs w:val="17"/>
          <w:b w:val="1"/>
          <w:bCs w:val="1"/>
          <w:color w:val="auto"/>
        </w:rPr>
        <w:t>Redemption Notice Date</w:t>
      </w:r>
      <w:r>
        <w:rPr>
          <w:rFonts w:ascii="Arial" w:cs="Arial" w:eastAsia="Arial" w:hAnsi="Arial"/>
          <w:sz w:val="17"/>
          <w:szCs w:val="17"/>
          <w:color w:val="auto"/>
        </w:rPr>
        <w:t>”). The notice will inform Holders that the Notes will be redeemed on the tenth (10</w:t>
      </w:r>
      <w:r>
        <w:rPr>
          <w:rFonts w:ascii="Arial" w:cs="Arial" w:eastAsia="Arial" w:hAnsi="Arial"/>
          <w:sz w:val="14"/>
          <w:szCs w:val="14"/>
          <w:color w:val="auto"/>
        </w:rPr>
        <w:t>th</w:t>
      </w:r>
      <w:r>
        <w:rPr>
          <w:rFonts w:ascii="Arial" w:cs="Arial" w:eastAsia="Arial" w:hAnsi="Arial"/>
          <w:sz w:val="17"/>
          <w:szCs w:val="17"/>
          <w:color w:val="auto"/>
        </w:rPr>
        <w:t>) calendar day (or if such day is not a business day, the first business day thereafter) following the Redemption Notice Date (such date, the “</w:t>
      </w:r>
      <w:r>
        <w:rPr>
          <w:rFonts w:ascii="Arial" w:cs="Arial" w:eastAsia="Arial" w:hAnsi="Arial"/>
          <w:sz w:val="17"/>
          <w:szCs w:val="17"/>
          <w:b w:val="1"/>
          <w:bCs w:val="1"/>
          <w:color w:val="auto"/>
        </w:rPr>
        <w:t>Special Mandatory Redemption Date</w:t>
      </w:r>
      <w:r>
        <w:rPr>
          <w:rFonts w:ascii="Arial" w:cs="Arial" w:eastAsia="Arial" w:hAnsi="Arial"/>
          <w:sz w:val="17"/>
          <w:szCs w:val="17"/>
          <w:color w:val="auto"/>
        </w:rPr>
        <w:t>”) and that all of the outstanding Notes will be redeemed at the Special Mandatory Redemption Price on the Special Mandatory Redemption Date automatically and without any further action by the Holders of the Notes.</w:t>
      </w:r>
    </w:p>
    <w:p>
      <w:pPr>
        <w:spacing w:after="0" w:line="177" w:lineRule="exact"/>
        <w:rPr>
          <w:rFonts w:ascii="Arial" w:cs="Arial" w:eastAsia="Arial" w:hAnsi="Arial"/>
          <w:sz w:val="17"/>
          <w:szCs w:val="17"/>
          <w:color w:val="auto"/>
        </w:rPr>
      </w:pPr>
    </w:p>
    <w:p>
      <w:pPr>
        <w:jc w:val="both"/>
        <w:ind w:right="240" w:firstLine="464"/>
        <w:spacing w:after="0" w:line="264"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the business day immediately preceding the Special Mandatory Redemption Date, the Issuer shall deposit with the Trustee funds sufficient to pay the Special Mandatory Redemption Price for the Notes. If such deposit is made as provided above, the Notes will cease to bear interest on and after the Special Mandatory Redemption Date.</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Deltek</w:t>
      </w:r>
      <w:r>
        <w:rPr>
          <w:rFonts w:ascii="Arial" w:cs="Arial" w:eastAsia="Arial" w:hAnsi="Arial"/>
          <w:sz w:val="18"/>
          <w:szCs w:val="18"/>
          <w:color w:val="auto"/>
        </w:rPr>
        <w:t>” means Deltek, Inc., a Delaware Corporation.</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Deltek Acquisition</w:t>
      </w:r>
      <w:r>
        <w:rPr>
          <w:rFonts w:ascii="Arial" w:cs="Arial" w:eastAsia="Arial" w:hAnsi="Arial"/>
          <w:sz w:val="18"/>
          <w:szCs w:val="18"/>
          <w:color w:val="auto"/>
        </w:rPr>
        <w:t>” means the acquisition of Project Diamond Holdings Corporation, the parent of Deltek, by the Issuer pursuant to the Merger Agreement.</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Agreement and Plan of Merger by and among Project Diamond Holdings Corporation, the Issuer, Dash I, Inc., and Thoma Bravo, LLC, as Representative of the Stockholders and Optionholders dated December 6, 2016.</w:t>
      </w:r>
    </w:p>
    <w:p>
      <w:pPr>
        <w:spacing w:after="0" w:line="166" w:lineRule="exact"/>
        <w:rPr>
          <w:sz w:val="20"/>
          <w:szCs w:val="20"/>
          <w:color w:val="auto"/>
        </w:rPr>
      </w:pPr>
    </w:p>
    <w:p>
      <w:pPr>
        <w:ind w:left="460" w:right="320" w:firstLine="4"/>
        <w:spacing w:after="0" w:line="501" w:lineRule="auto"/>
        <w:tabs>
          <w:tab w:leader="none" w:pos="7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foregoing provisions in this Section 7 shall supersede the provisions in Article 11 of the Base Indenture to the extent inconsistent therewith. 8. Offer to Repurchase Upon Change of Control</w:t>
      </w:r>
    </w:p>
    <w:p>
      <w:pPr>
        <w:ind w:right="100" w:firstLine="456"/>
        <w:spacing w:after="0" w:line="255" w:lineRule="auto"/>
        <w:rPr>
          <w:sz w:val="20"/>
          <w:szCs w:val="20"/>
          <w:color w:val="auto"/>
        </w:rPr>
      </w:pPr>
      <w:r>
        <w:rPr>
          <w:rFonts w:ascii="Arial" w:cs="Arial" w:eastAsia="Arial" w:hAnsi="Arial"/>
          <w:sz w:val="18"/>
          <w:szCs w:val="18"/>
          <w:color w:val="auto"/>
        </w:rPr>
        <w:t>Upon the occurrence of a Change of Control Triggering Event with respect to the Notes, unless the Issuer shall have exercised its right pursuant to Section 6 hereof to redeem the Notes, each Holder of Notes shall have the right to require the Issuer to repurchase all or, at the Holder’s option, any part (in a multiple of $1,000 provided that the remaining principal amount, if any, following such repurchase shall be at least $2,000 or a multiple of $1,000 in excess thereof), of such Holder’s Notes (a “</w:t>
      </w:r>
      <w:r>
        <w:rPr>
          <w:rFonts w:ascii="Arial" w:cs="Arial" w:eastAsia="Arial" w:hAnsi="Arial"/>
          <w:sz w:val="18"/>
          <w:szCs w:val="18"/>
          <w:b w:val="1"/>
          <w:bCs w:val="1"/>
          <w:color w:val="auto"/>
        </w:rPr>
        <w:t>Change of Control Offer</w:t>
      </w:r>
      <w:r>
        <w:rPr>
          <w:rFonts w:ascii="Arial" w:cs="Arial" w:eastAsia="Arial" w:hAnsi="Arial"/>
          <w:sz w:val="18"/>
          <w:szCs w:val="18"/>
          <w:color w:val="auto"/>
        </w:rPr>
        <w:t>”) at a repurchase price in cash equal to 101% of the aggregate principal amount of the Notes repurchased plus accrued and unpaid interest, if any, on the Notes to be repurchased, to, but excluding, the repurchase date (the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Payment</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31" w:name="page32"/>
    <w:bookmarkEnd w:id="31"/>
    <w:p>
      <w:pPr>
        <w:ind w:right="8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30 days following any Change of Control Triggering Event, the Issuer shall cause a notice to be mailed to Holders of the Notes, with a copy to the Trustee, describing the transaction or transactions that constitute the Change of Control Triggering Event and offering to repurchase the Notes on the date specified in the notice, which date shall be no earlier than 30 days and no later than 60 days from the date such notice is mailed (the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Payment Date</w:t>
      </w:r>
      <w:r>
        <w:rPr>
          <w:rFonts w:ascii="Arial" w:cs="Arial" w:eastAsia="Arial" w:hAnsi="Arial"/>
          <w:sz w:val="16"/>
          <w:szCs w:val="16"/>
          <w:color w:val="auto"/>
        </w:rPr>
        <w:t>”), pursuant to the procedures required by the Indenture and described in such notice. The Issuer shall comply with the requirements of</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securities laws and regulations in connection with the repurchase of the Notes as a result of a Change of Control Triggering Event.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 shall, to the extent lawful:</w:t>
      </w:r>
    </w:p>
    <w:p>
      <w:pPr>
        <w:spacing w:after="0" w:line="117" w:lineRule="exact"/>
        <w:rPr>
          <w:sz w:val="20"/>
          <w:szCs w:val="20"/>
          <w:color w:val="auto"/>
        </w:rPr>
      </w:pPr>
    </w:p>
    <w:p>
      <w:pPr>
        <w:ind w:left="1560" w:hanging="219"/>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tendered; and</w:t>
      </w:r>
    </w:p>
    <w:p>
      <w:pPr>
        <w:spacing w:after="0" w:line="102" w:lineRule="exact"/>
        <w:rPr>
          <w:rFonts w:ascii="Arial" w:cs="Arial" w:eastAsia="Arial" w:hAnsi="Arial"/>
          <w:sz w:val="16"/>
          <w:szCs w:val="16"/>
          <w:color w:val="auto"/>
        </w:rPr>
      </w:pPr>
    </w:p>
    <w:p>
      <w:pPr>
        <w:ind w:left="460" w:right="160" w:firstLine="881"/>
        <w:spacing w:after="0" w:line="277" w:lineRule="auto"/>
        <w:tabs>
          <w:tab w:leader="none" w:pos="1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paying agent shall promptly mail, to each Holder who properly tendered Notes, the repurchase price for such Notes, and the Trustee shall promptly authenticate and mail (or cause to be transferred by book entry) to each such Holder a new Note equal in principal amount to any unpurchased portion of the Notes surrendered, if any; provided that each new Note will be in a principal amount of $2,000 or a multiple of $1,000 in excess thereof.</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Issuer shall not be required to make a Change of Control Offer upon a Change of Control Triggering Event if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If such third party terminates or defaults its Change of Control Offer, the Issuer shall be required to make a Change of Control Offer treating the date of such terminating or default as though it were the date of the Change of Control Triggering Event.</w:t>
      </w:r>
    </w:p>
    <w:p>
      <w:pPr>
        <w:spacing w:after="0" w:line="18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Issuer shall comply with the requirements of Rule 14e-1 under the Exchange Act and any other securities laws and regulations to the extent such laws and regulations are applicable in connection with the repurchase of Notes as a result of a Change of Control Triggering Event. To the extent that the provision of any such securities laws or regulations conflicts with this Section 8, the Issuer shall comply with those securities laws and regulations and shall not be deemed to have breached its obligations under this Section 8 by virtue of any such conflict.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8, the following terms will be applicable:</w:t>
      </w:r>
    </w:p>
    <w:p>
      <w:pPr>
        <w:spacing w:after="0" w:line="221" w:lineRule="exact"/>
        <w:rPr>
          <w:sz w:val="20"/>
          <w:szCs w:val="20"/>
          <w:color w:val="auto"/>
        </w:rPr>
      </w:pPr>
    </w:p>
    <w:p>
      <w:pPr>
        <w:ind w:right="8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the occurrence of any one of the following: (1) the direct or indirect sale, lease, transfer, conveyance or other disposition (other than by way of merger, amalgamation, arrangement or consolidation), in one or a series of related transactions, of all or substantially all of the Issuer’s properties or assets and those of its subsidiaries, taken as a whole, to one or more persons, other than to the Issuer or one of its subsidiaries; (2) the consummation of any transaction including, without limitation, any merger, amalgamation, arrangement or</w:t>
      </w:r>
    </w:p>
    <w:p>
      <w:pPr>
        <w:sectPr>
          <w:pgSz w:w="11900" w:h="16838" w:orient="portrait"/>
          <w:cols w:equalWidth="0" w:num="1">
            <w:col w:w="11400"/>
          </w:cols>
          <w:pgMar w:left="240" w:top="274" w:right="25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consolidation the result of which is that any person becomes the beneficial owner, directly or indirectly, of more than 50% of the Issuer’s Voting Stock; (3) the Issuer consolidates with, or merge with or into, any person, or any person consolidates with, or merges with or into, the Issuer, in any such event pursuant to a transaction in which any of the outstanding Voting Stock of the Issuer or of such other person is converted into or exchanged for cash, securities or other property, other than any such transaction where the shares of the Issuer’s Voting Stock outstanding immediately prior to such transaction constitute, or are converted into or exchanged for, a majority of the Voting Stock of the surviving person immediately after giving effect to such transaction; or (4) the adoption of a plan relating to our liquidation or dissolution. For the purposes of this definition, “person” and “beneficial owner” have the meanings used in Section 13(d) of the Exchange Act.</w:t>
      </w:r>
    </w:p>
    <w:p>
      <w:pPr>
        <w:spacing w:after="0" w:line="185" w:lineRule="exact"/>
        <w:rPr>
          <w:sz w:val="20"/>
          <w:szCs w:val="20"/>
          <w:color w:val="auto"/>
        </w:rPr>
      </w:pPr>
    </w:p>
    <w:p>
      <w:pPr>
        <w:ind w:right="200" w:firstLine="456"/>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Triggering Event</w:t>
      </w:r>
      <w:r>
        <w:rPr>
          <w:rFonts w:ascii="Arial" w:cs="Arial" w:eastAsia="Arial" w:hAnsi="Arial"/>
          <w:sz w:val="16"/>
          <w:szCs w:val="16"/>
          <w:color w:val="auto"/>
        </w:rPr>
        <w:t>” means the Notes cease to be rated Investment Grade by both Rating Agencies on any date during the period (the “Trigger Period”) commencing 60 days prior to the first public announcement of the Change of Control or the Issuer’s intention to effect a Change of Control and ending 60 days following consummation of such Change of Control, which Trigger Period will be extended following consummation of a Change of Control for so long as any of the Rating Agencies has publicly announced that it is considering a possible ratings change. Unless at least one Rating Agency is providing a rating for the Notes at the commencement of any Trigger Period, the Notes will be deemed to have ceased to be rated Investment Grade during that Trigger Period. Notwithstanding the foregoing, no Change of Control Triggering Event will be deemed to have occurred in connection with any particular Change of Control unless and until such Change of Control has actually been consummated.</w:t>
      </w:r>
    </w:p>
    <w:p>
      <w:pPr>
        <w:spacing w:after="0" w:line="162"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 Grade</w:t>
      </w:r>
      <w:r>
        <w:rPr>
          <w:rFonts w:ascii="Arial" w:cs="Arial" w:eastAsia="Arial" w:hAnsi="Arial"/>
          <w:sz w:val="17"/>
          <w:szCs w:val="17"/>
          <w:color w:val="auto"/>
        </w:rPr>
        <w:t>” means a rating equal to or higher than Baa3 (or the equivalent) by Moody’s or BBB- (or the equivalent) by S&amp;P, and the equivalent investment grade credit rating from any replacement Rating Agency or Rating Agencies selected by the Issuer.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 subsidiary of Moody’s Corporation, and it successors.</w:t>
      </w:r>
    </w:p>
    <w:p>
      <w:pPr>
        <w:spacing w:after="0" w:line="225"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Agencies</w:t>
      </w:r>
      <w:r>
        <w:rPr>
          <w:rFonts w:ascii="Arial" w:cs="Arial" w:eastAsia="Arial" w:hAnsi="Arial"/>
          <w:sz w:val="18"/>
          <w:szCs w:val="18"/>
          <w:color w:val="auto"/>
        </w:rPr>
        <w:t>” means (a) each of Moody’s and S&amp;P; and (b) if any of the Rating Agencies ceases to provide rating services to issuers or investors, and no Change of Control Triggering Event has occurred or is occurring, a “nationally recognized statistical rating organization” within the meaning of Section 3(a)(62) of the Exchange Act that is selected by the Issuer (as certified by a resolution of the Board of Directors) as a replacement for Moody’s or S&amp;P, or both of them, as the case may be, and that is reasonably acceptable to the Trustee.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 a division of The McGraw-Hill Companies, Inc., and its successors.</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specified person as of any date means the capital stock of such person that is at the time entitled to vote generally in the election of the board of directors of such person.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Defaults and Remedies.</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all series of Outstanding Securities (including the Notes) under the Indenture that are affected by such Event of Default (voting together as a single class), shall by written notice, require the Issuer to repay immediately the entire principal amount of the Outstanding Notes, together with all accrued and unpaid interest and premium, if any. If a bankruptcy Event of Default with respect to the Issuer</w:t>
      </w:r>
    </w:p>
    <w:p>
      <w:pPr>
        <w:sectPr>
          <w:pgSz w:w="11900" w:h="16838" w:orient="portrait"/>
          <w:cols w:equalWidth="0" w:num="1">
            <w:col w:w="11400"/>
          </w:cols>
          <w:pgMar w:left="240" w:top="274" w:right="259" w:bottom="1440" w:gutter="0" w:footer="0" w:header="0"/>
        </w:sectPr>
      </w:pPr>
    </w:p>
    <w:bookmarkStart w:id="33" w:name="page34"/>
    <w:bookmarkEnd w:id="3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Outstanding Securities (including the Notes) affected (voting together as a single class) to direct the Trustee in its exercise of any trust or power. The Trustee may withhold from Holders of Notes notice of certain continuing defaults or Events of Default if it determines that withholding notice is in their interest.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 Authentication.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Abbreviations and Defined Terms.</w:t>
      </w:r>
    </w:p>
    <w:p>
      <w:pPr>
        <w:spacing w:after="0" w:line="225"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CUSIP Numbers.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60"/>
          </w:cols>
          <w:pgMar w:left="240" w:top="274" w:right="2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 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-10160</wp:posOffset>
            </wp:positionV>
            <wp:extent cx="914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306705</wp:posOffset>
            </wp:positionV>
            <wp:extent cx="2675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58743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left="4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The following exchanges of a part of this Global Note for Physical Notes or a part of another Global Note have been made:</w:t>
      </w:r>
    </w:p>
    <w:p>
      <w:pPr>
        <w:sectPr>
          <w:pgSz w:w="11900" w:h="16838" w:orient="portrait"/>
          <w:cols w:equalWidth="0" w:num="1">
            <w:col w:w="10960"/>
          </w:cols>
          <w:pgMar w:left="240" w:top="270" w:right="69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Date of Exchange</w:t>
            </w:r>
          </w:p>
        </w:tc>
        <w:tc>
          <w:tcPr>
            <w:tcW w:w="180" w:type="dxa"/>
            <w:vAlign w:val="bottom"/>
            <w:vMerge w:val="restart"/>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85"/>
        </w:trPr>
        <w:tc>
          <w:tcPr>
            <w:tcW w:w="18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 amount of</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Amount of increase</w:t>
            </w: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0" w:type="dxa"/>
            <w:vAlign w:val="bottom"/>
          </w:tcPr>
          <w:p>
            <w:pPr>
              <w:spacing w:after="0"/>
              <w:rPr>
                <w:sz w:val="1"/>
                <w:szCs w:val="1"/>
                <w:color w:val="auto"/>
              </w:rPr>
            </w:pPr>
          </w:p>
        </w:tc>
      </w:tr>
      <w:tr>
        <w:trPr>
          <w:trHeight w:val="149"/>
        </w:trPr>
        <w:tc>
          <w:tcPr>
            <w:tcW w:w="2180" w:type="dxa"/>
            <w:vAlign w:val="bottom"/>
            <w:gridSpan w:val="2"/>
            <w:vMerge w:val="continue"/>
          </w:tcPr>
          <w:p>
            <w:pPr>
              <w:spacing w:after="0"/>
              <w:rPr>
                <w:sz w:val="12"/>
                <w:szCs w:val="12"/>
                <w:color w:val="auto"/>
              </w:rPr>
            </w:pPr>
          </w:p>
        </w:tc>
        <w:tc>
          <w:tcPr>
            <w:tcW w:w="2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decrease (or</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authorized signatory</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8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Trustee</w:t>
            </w:r>
          </w:p>
        </w:tc>
        <w:tc>
          <w:tcPr>
            <w:tcW w:w="0" w:type="dxa"/>
            <w:vAlign w:val="bottom"/>
          </w:tcPr>
          <w:p>
            <w:pPr>
              <w:spacing w:after="0"/>
              <w:rPr>
                <w:sz w:val="1"/>
                <w:szCs w:val="1"/>
                <w:color w:val="auto"/>
              </w:rPr>
            </w:pPr>
          </w:p>
        </w:tc>
      </w:tr>
    </w:tbl>
    <w:p>
      <w:pPr>
        <w:sectPr>
          <w:pgSz w:w="11900" w:h="16838" w:orient="portrait"/>
          <w:cols w:equalWidth="0" w:num="2">
            <w:col w:w="4500" w:space="100"/>
            <w:col w:w="6360"/>
          </w:cols>
          <w:pgMar w:left="240" w:top="270" w:right="699" w:bottom="1440" w:gutter="0" w:footer="0" w:header="0"/>
          <w:type w:val="continuous"/>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REPURCHASE EXERCISE NOTICE UPON A CHANGE OF CONTROL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Roper Technologies, Inc.</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undersigned registered owner of this Security hereby acknowledges receipt of a notice from Roper Technologies, Inc. (the “</w:t>
      </w:r>
      <w:r>
        <w:rPr>
          <w:rFonts w:ascii="Arial" w:cs="Arial" w:eastAsia="Arial" w:hAnsi="Arial"/>
          <w:sz w:val="17"/>
          <w:szCs w:val="17"/>
          <w:b w:val="1"/>
          <w:bCs w:val="1"/>
          <w:color w:val="auto"/>
        </w:rPr>
        <w:t>Issuer</w:t>
      </w:r>
      <w:r>
        <w:rPr>
          <w:rFonts w:ascii="Arial" w:cs="Arial" w:eastAsia="Arial" w:hAnsi="Arial"/>
          <w:sz w:val="17"/>
          <w:szCs w:val="17"/>
          <w:color w:val="auto"/>
        </w:rPr>
        <w:t>”) as to the</w:t>
      </w:r>
    </w:p>
    <w:p>
      <w:pPr>
        <w:spacing w:after="0" w:line="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occurrence of a Change of Control Triggering Event with respect to the Issuer and hereby directs the Issuer to pay, or cause the Trustee to pay, an amount in cash equal to 101% of the aggregate principal amount of the Notes, or the portion thereof (which is a multiple of $1,000, provided that the remaining principal amount, if any, following such repurchase shall be at least $2,000 or a multiple of $1,000 in excess thereof) below designated, to be repurchased plus interest accrued to, but excluding, the repurchase date, except as provided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-444500</wp:posOffset>
            </wp:positionV>
            <wp:extent cx="571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-10160</wp:posOffset>
            </wp:positionV>
            <wp:extent cx="571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-10160</wp:posOffset>
            </wp:positionV>
            <wp:extent cx="914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amount to be repurchased (a multiple of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-10160</wp:posOffset>
            </wp:positionV>
            <wp:extent cx="571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left="460"/>
        <w:spacing w:after="0"/>
        <w:tabs>
          <w:tab w:leader="none" w:pos="5480" w:val="left"/>
        </w:tabs>
        <w:rPr>
          <w:sz w:val="20"/>
          <w:szCs w:val="20"/>
          <w:color w:val="auto"/>
        </w:rPr>
      </w:pPr>
      <w:r>
        <w:rPr>
          <w:rFonts w:ascii="Arial" w:cs="Arial" w:eastAsia="Arial" w:hAnsi="Arial"/>
          <w:sz w:val="18"/>
          <w:szCs w:val="18"/>
          <w:color w:val="auto"/>
        </w:rPr>
        <w:t>Remaining principal amount following such repurchase:</w:t>
      </w:r>
      <w:r>
        <w:rPr>
          <w:sz w:val="20"/>
          <w:szCs w:val="20"/>
          <w:color w:val="auto"/>
        </w:rPr>
        <w:tab/>
      </w:r>
      <w:r>
        <w:rPr>
          <w:rFonts w:ascii="Arial" w:cs="Arial" w:eastAsia="Arial" w:hAnsi="Arial"/>
          <w:sz w:val="16"/>
          <w:szCs w:val="16"/>
          <w:color w:val="auto"/>
        </w:rPr>
        <w:t>(zero or at least $2,000 or a multiple 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-10160</wp:posOffset>
            </wp:positionV>
            <wp:extent cx="571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1360"/>
          </w:cols>
          <w:pgMar w:left="240" w:top="270" w:right="299" w:bottom="1440" w:gutter="0" w:footer="0" w:header="0"/>
        </w:sectPr>
      </w:pPr>
    </w:p>
    <w:bookmarkStart w:id="37" w:name="page38"/>
    <w:bookmarkEnd w:id="37"/>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337945" cy="266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3794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340" w:space="720"/>
            <w:col w:w="136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tc>
        <w:tc>
          <w:tcPr>
            <w:tcW w:w="2060" w:type="dxa"/>
            <w:vAlign w:val="bottom"/>
          </w:tcPr>
          <w:p>
            <w:pPr>
              <w:ind w:left="800"/>
              <w:spacing w:after="0"/>
              <w:rPr>
                <w:sz w:val="20"/>
                <w:szCs w:val="20"/>
                <w:color w:val="auto"/>
              </w:rPr>
            </w:pPr>
            <w:r>
              <w:rPr>
                <w:rFonts w:ascii="Arial" w:cs="Arial" w:eastAsia="Arial" w:hAnsi="Arial"/>
                <w:sz w:val="18"/>
                <w:szCs w:val="18"/>
                <w:color w:val="auto"/>
                <w:w w:val="92"/>
              </w:rPr>
              <w:t>650 752 2000 tel</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1600 El Camino Real</w:t>
            </w:r>
          </w:p>
        </w:tc>
        <w:tc>
          <w:tcPr>
            <w:tcW w:w="2060" w:type="dxa"/>
            <w:vAlign w:val="bottom"/>
          </w:tcPr>
          <w:p>
            <w:pPr>
              <w:ind w:left="800"/>
              <w:spacing w:after="0"/>
              <w:rPr>
                <w:sz w:val="20"/>
                <w:szCs w:val="20"/>
                <w:color w:val="auto"/>
              </w:rPr>
            </w:pPr>
            <w:r>
              <w:rPr>
                <w:rFonts w:ascii="Arial" w:cs="Arial" w:eastAsia="Arial" w:hAnsi="Arial"/>
                <w:sz w:val="18"/>
                <w:szCs w:val="18"/>
                <w:color w:val="auto"/>
                <w:w w:val="89"/>
              </w:rPr>
              <w:t>650 752 2111 fax</w:t>
            </w:r>
          </w:p>
        </w:tc>
      </w:tr>
    </w:tbl>
    <w:p>
      <w:pPr>
        <w:spacing w:after="0"/>
        <w:rPr>
          <w:sz w:val="20"/>
          <w:szCs w:val="20"/>
          <w:color w:val="auto"/>
        </w:rPr>
      </w:pPr>
      <w:r>
        <w:rPr>
          <w:rFonts w:ascii="Arial" w:cs="Arial" w:eastAsia="Arial" w:hAnsi="Arial"/>
          <w:sz w:val="18"/>
          <w:szCs w:val="18"/>
          <w:color w:val="auto"/>
        </w:rPr>
        <w:t>Menlo Park, 94025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Roper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6901 Professional Parkway East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Sarasota, Florida 34240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Roper Technologies,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has filed with the Securities and Exchange Commission a Registration Statement 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Form S-3 (File No. 333-208200)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Act</w:t>
      </w:r>
      <w:r>
        <w:rPr>
          <w:rFonts w:ascii="Arial" w:cs="Arial" w:eastAsia="Arial" w:hAnsi="Arial"/>
          <w:sz w:val="17"/>
          <w:szCs w:val="17"/>
          <w:color w:val="auto"/>
        </w:rPr>
        <w:t>”), certain securities, including $500,000,000 aggregate principal amount of the Company’s 2.800% senior notes due 2021 (the “</w:t>
      </w:r>
      <w:r>
        <w:rPr>
          <w:rFonts w:ascii="Arial" w:cs="Arial" w:eastAsia="Arial" w:hAnsi="Arial"/>
          <w:sz w:val="17"/>
          <w:szCs w:val="17"/>
          <w:b w:val="1"/>
          <w:bCs w:val="1"/>
          <w:color w:val="auto"/>
        </w:rPr>
        <w:t>2021 Notes</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$700,000,000 aggregate principal amount of the Company’s 3.800% senior notes due 2026 (the “</w:t>
      </w:r>
      <w:r>
        <w:rPr>
          <w:rFonts w:ascii="Arial" w:cs="Arial" w:eastAsia="Arial" w:hAnsi="Arial"/>
          <w:sz w:val="16"/>
          <w:szCs w:val="16"/>
          <w:b w:val="1"/>
          <w:bCs w:val="1"/>
          <w:color w:val="auto"/>
        </w:rPr>
        <w:t>2026 Notes</w:t>
      </w:r>
      <w:r>
        <w:rPr>
          <w:rFonts w:ascii="Arial" w:cs="Arial" w:eastAsia="Arial" w:hAnsi="Arial"/>
          <w:sz w:val="16"/>
          <w:szCs w:val="16"/>
          <w:color w:val="auto"/>
        </w:rPr>
        <w:t>”, together with the 2021 notes, the “</w:t>
      </w:r>
      <w:r>
        <w:rPr>
          <w:rFonts w:ascii="Arial" w:cs="Arial" w:eastAsia="Arial" w:hAnsi="Arial"/>
          <w:sz w:val="16"/>
          <w:szCs w:val="16"/>
          <w:b w:val="1"/>
          <w:bCs w:val="1"/>
          <w:color w:val="auto"/>
        </w:rPr>
        <w:t>Notes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are to be issued pursuant to the provisions of the Indenture dated as of August 4, 2008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Wells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Fargo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Notes are to be sold pursuant to the Underwriting Agreement dated December 8, 2016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among the Company and the several underwriters named therein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Based on the foregoing, and subject to the additional assumptions and qualifications set forth below, we advise you that, in our opinion, when the Notes have been duly executed and authenticated in accordance with the provisions of the Indenture and delivered to and paid for by the Underwriters in accordance with the Underwriting Agreement, the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opinion expressed above, we have assumed that the Company is validly existing as a corporation in good standing under the laws of Delaware. In addition, we have assumed that the Indenture and the Notes (collectively, the “Documents”)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lowerRoman"/>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2020-01-22T01:30:53Z</dcterms:created>
  <dcterms:modified xsi:type="dcterms:W3CDTF">2020-01-22T01:30:53Z</dcterms:modified>
</cp:coreProperties>
</file>